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683EF">
      <w:pPr>
        <w:spacing w:line="360" w:lineRule="auto"/>
        <w:ind w:firstLine="560"/>
        <w:rPr>
          <w:rFonts w:eastAsia="仿宋_GB2312"/>
          <w:color w:val="000000"/>
          <w:sz w:val="28"/>
          <w:szCs w:val="28"/>
        </w:rPr>
      </w:pPr>
    </w:p>
    <w:p w14:paraId="18C58E0B">
      <w:pPr>
        <w:spacing w:line="360" w:lineRule="auto"/>
        <w:ind w:firstLine="560"/>
        <w:rPr>
          <w:rFonts w:eastAsia="仿宋_GB2312"/>
          <w:color w:val="000000"/>
          <w:sz w:val="28"/>
          <w:szCs w:val="28"/>
        </w:rPr>
      </w:pPr>
    </w:p>
    <w:p w14:paraId="3A0FAFC9">
      <w:pPr>
        <w:spacing w:after="120" w:line="360" w:lineRule="auto"/>
        <w:jc w:val="center"/>
        <w:rPr>
          <w:rFonts w:hint="eastAsia" w:ascii="黑体" w:hAnsi="宋体" w:eastAsia="黑体"/>
          <w:color w:val="000000"/>
          <w:sz w:val="48"/>
          <w:szCs w:val="48"/>
        </w:rPr>
      </w:pPr>
      <w:bookmarkStart w:id="0" w:name="_Hlk149571683"/>
      <w:r>
        <w:rPr>
          <w:rFonts w:hint="eastAsia" w:ascii="黑体" w:hAnsi="宋体" w:eastAsia="黑体"/>
          <w:color w:val="000000"/>
          <w:sz w:val="48"/>
          <w:szCs w:val="48"/>
        </w:rPr>
        <w:t>江苏省广电有线信息网络股份有限公司</w:t>
      </w:r>
    </w:p>
    <w:p w14:paraId="36545A42">
      <w:pPr>
        <w:spacing w:after="120" w:line="360" w:lineRule="auto"/>
        <w:jc w:val="center"/>
        <w:rPr>
          <w:rFonts w:hint="eastAsia" w:ascii="黑体" w:hAnsi="宋体" w:eastAsia="黑体"/>
          <w:color w:val="FF0000"/>
          <w:sz w:val="48"/>
          <w:szCs w:val="48"/>
        </w:rPr>
      </w:pPr>
      <w:bookmarkStart w:id="1" w:name="_Toc227057880"/>
      <w:r>
        <w:rPr>
          <w:rFonts w:hint="eastAsia" w:ascii="黑体" w:hAnsi="宋体" w:eastAsia="黑体"/>
          <w:color w:val="000000"/>
          <w:sz w:val="48"/>
          <w:szCs w:val="48"/>
        </w:rPr>
        <w:t>加密定向传送经批准落地境外卫星频道平台建设(终端配套集成)</w:t>
      </w:r>
    </w:p>
    <w:p w14:paraId="30B32345">
      <w:pPr>
        <w:spacing w:after="120"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竞争性谈判文件</w:t>
      </w:r>
      <w:bookmarkEnd w:id="0"/>
    </w:p>
    <w:p w14:paraId="3B44C748">
      <w:pPr>
        <w:spacing w:after="120" w:line="360" w:lineRule="auto"/>
        <w:jc w:val="center"/>
        <w:rPr>
          <w:b/>
          <w:bCs/>
          <w:color w:val="000000"/>
          <w:sz w:val="32"/>
          <w:szCs w:val="32"/>
        </w:rPr>
      </w:pPr>
    </w:p>
    <w:p w14:paraId="05F840AC">
      <w:pPr>
        <w:jc w:val="center"/>
        <w:rPr>
          <w:rFonts w:hint="eastAsia" w:ascii="仿宋_GB2312" w:hAnsi="宋体" w:eastAsia="仿宋_GB2312"/>
          <w:b/>
          <w:color w:val="000000"/>
          <w:sz w:val="32"/>
          <w:szCs w:val="32"/>
        </w:rPr>
      </w:pPr>
    </w:p>
    <w:p w14:paraId="194A0D56">
      <w:pPr>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lang w:val="en-US" w:eastAsia="zh-CN"/>
        </w:rPr>
        <w:t>项目</w:t>
      </w:r>
      <w:bookmarkStart w:id="170" w:name="_GoBack"/>
      <w:bookmarkEnd w:id="170"/>
      <w:r>
        <w:rPr>
          <w:rFonts w:hint="eastAsia" w:ascii="仿宋_GB2312" w:hAnsi="宋体" w:eastAsia="仿宋_GB2312"/>
          <w:b/>
          <w:color w:val="000000"/>
          <w:sz w:val="32"/>
          <w:szCs w:val="32"/>
        </w:rPr>
        <w:t>编号：JSCN</w:t>
      </w:r>
      <w:r>
        <w:rPr>
          <w:rFonts w:hint="eastAsia" w:ascii="仿宋_GB2312" w:hAnsi="宋体" w:eastAsia="仿宋_GB2312"/>
          <w:b/>
          <w:color w:val="000000"/>
          <w:sz w:val="32"/>
          <w:szCs w:val="32"/>
          <w:lang w:val="en-US" w:eastAsia="zh-CN"/>
        </w:rPr>
        <w:t>[</w:t>
      </w:r>
      <w:r>
        <w:rPr>
          <w:rFonts w:hint="eastAsia" w:ascii="仿宋_GB2312" w:hAnsi="宋体" w:eastAsia="仿宋_GB2312"/>
          <w:b/>
          <w:color w:val="000000"/>
          <w:sz w:val="32"/>
          <w:szCs w:val="32"/>
        </w:rPr>
        <w:t>2024</w:t>
      </w:r>
      <w:r>
        <w:rPr>
          <w:rFonts w:hint="eastAsia" w:ascii="仿宋_GB2312" w:hAnsi="宋体" w:eastAsia="仿宋_GB2312"/>
          <w:b/>
          <w:color w:val="000000"/>
          <w:sz w:val="32"/>
          <w:szCs w:val="32"/>
          <w:lang w:val="en-US" w:eastAsia="zh-CN"/>
        </w:rPr>
        <w:t>]</w:t>
      </w:r>
      <w:r>
        <w:rPr>
          <w:rFonts w:hint="eastAsia" w:ascii="仿宋_GB2312" w:hAnsi="宋体" w:eastAsia="仿宋_GB2312"/>
          <w:b/>
          <w:color w:val="000000"/>
          <w:sz w:val="32"/>
          <w:szCs w:val="32"/>
        </w:rPr>
        <w:t>0</w:t>
      </w:r>
      <w:r>
        <w:rPr>
          <w:rFonts w:hint="eastAsia" w:ascii="仿宋_GB2312" w:hAnsi="宋体" w:eastAsia="仿宋_GB2312"/>
          <w:b/>
          <w:color w:val="000000"/>
          <w:sz w:val="32"/>
          <w:szCs w:val="32"/>
          <w:lang w:val="en-US" w:eastAsia="zh-CN"/>
        </w:rPr>
        <w:t>61</w:t>
      </w:r>
      <w:r>
        <w:rPr>
          <w:rFonts w:hint="eastAsia" w:ascii="仿宋_GB2312" w:hAnsi="宋体" w:eastAsia="仿宋_GB2312"/>
          <w:b/>
          <w:color w:val="000000"/>
          <w:sz w:val="32"/>
          <w:szCs w:val="32"/>
        </w:rPr>
        <w:t xml:space="preserve"> </w:t>
      </w:r>
    </w:p>
    <w:p w14:paraId="5FD5F4DB">
      <w:pPr>
        <w:jc w:val="center"/>
        <w:rPr>
          <w:rFonts w:hint="eastAsia" w:ascii="仿宋_GB2312" w:hAnsi="宋体" w:eastAsia="仿宋_GB2312"/>
          <w:b/>
          <w:color w:val="000000"/>
          <w:sz w:val="32"/>
          <w:szCs w:val="32"/>
        </w:rPr>
      </w:pPr>
    </w:p>
    <w:p w14:paraId="61717D36">
      <w:pPr>
        <w:spacing w:after="120" w:line="360" w:lineRule="auto"/>
        <w:jc w:val="center"/>
        <w:rPr>
          <w:rFonts w:hint="eastAsia" w:ascii="仿宋_GB2312" w:hAnsi="宋体" w:eastAsia="仿宋_GB2312"/>
          <w:b/>
          <w:color w:val="000000"/>
          <w:sz w:val="32"/>
          <w:szCs w:val="32"/>
        </w:rPr>
      </w:pPr>
    </w:p>
    <w:p w14:paraId="02BA2E69">
      <w:pPr>
        <w:spacing w:after="120" w:line="360" w:lineRule="auto"/>
        <w:jc w:val="center"/>
        <w:rPr>
          <w:rFonts w:hint="eastAsia" w:ascii="仿宋_GB2312" w:hAnsi="宋体" w:eastAsia="仿宋_GB2312"/>
          <w:b/>
          <w:color w:val="000000"/>
          <w:sz w:val="32"/>
          <w:szCs w:val="32"/>
        </w:rPr>
      </w:pPr>
    </w:p>
    <w:p w14:paraId="763E9B5A">
      <w:pPr>
        <w:spacing w:after="120" w:line="360" w:lineRule="auto"/>
        <w:jc w:val="center"/>
        <w:rPr>
          <w:rFonts w:hint="eastAsia" w:ascii="仿宋_GB2312" w:hAnsi="宋体" w:eastAsia="仿宋_GB2312"/>
          <w:b/>
          <w:color w:val="000000"/>
          <w:sz w:val="32"/>
          <w:szCs w:val="32"/>
        </w:rPr>
      </w:pPr>
    </w:p>
    <w:p w14:paraId="55A67BDF">
      <w:pPr>
        <w:spacing w:after="120" w:line="360" w:lineRule="auto"/>
        <w:jc w:val="center"/>
        <w:rPr>
          <w:rFonts w:hint="eastAsia" w:ascii="仿宋_GB2312" w:hAnsi="宋体" w:eastAsia="仿宋_GB2312"/>
          <w:b/>
          <w:color w:val="000000"/>
          <w:sz w:val="32"/>
          <w:szCs w:val="32"/>
        </w:rPr>
      </w:pPr>
    </w:p>
    <w:p w14:paraId="78BF53A9">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767CBB7F">
      <w:pPr>
        <w:pStyle w:val="22"/>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二〇二四年九月</w:t>
      </w:r>
    </w:p>
    <w:p w14:paraId="78D7C659">
      <w:pPr>
        <w:spacing w:after="120" w:line="360" w:lineRule="auto"/>
        <w:ind w:firstLine="1405" w:firstLineChars="500"/>
        <w:rPr>
          <w:b/>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5B762684">
      <w:pPr>
        <w:spacing w:after="120" w:line="360" w:lineRule="atLeast"/>
        <w:jc w:val="center"/>
        <w:rPr>
          <w:color w:val="000000"/>
        </w:rPr>
      </w:pPr>
    </w:p>
    <w:p w14:paraId="49BC6A4A">
      <w:pPr>
        <w:pStyle w:val="125"/>
        <w:numPr>
          <w:ilvl w:val="0"/>
          <w:numId w:val="0"/>
        </w:numPr>
        <w:ind w:left="288"/>
        <w:jc w:val="center"/>
        <w:rPr>
          <w:color w:val="000000"/>
        </w:rPr>
      </w:pPr>
      <w:r>
        <w:rPr>
          <w:rFonts w:ascii="宋体" w:hAnsi="宋体" w:eastAsia="宋体"/>
          <w:color w:val="000000"/>
          <w:sz w:val="30"/>
          <w:szCs w:val="30"/>
          <w:lang w:val="zh-CN"/>
        </w:rPr>
        <w:t>目</w:t>
      </w:r>
      <w:r>
        <w:rPr>
          <w:rFonts w:hint="eastAsia" w:ascii="宋体" w:hAnsi="宋体" w:eastAsia="宋体"/>
          <w:color w:val="000000"/>
          <w:sz w:val="30"/>
          <w:szCs w:val="30"/>
        </w:rPr>
        <w:t xml:space="preserve">  </w:t>
      </w:r>
      <w:r>
        <w:rPr>
          <w:rFonts w:ascii="宋体" w:hAnsi="宋体" w:eastAsia="宋体"/>
          <w:color w:val="000000"/>
          <w:sz w:val="30"/>
          <w:szCs w:val="30"/>
          <w:lang w:val="zh-CN"/>
        </w:rPr>
        <w:t>录</w:t>
      </w:r>
    </w:p>
    <w:p w14:paraId="6E9433B1">
      <w:pPr>
        <w:pStyle w:val="40"/>
        <w:rPr>
          <w:rFonts w:ascii="Calibri" w:hAnsi="Calibri" w:eastAsia="宋体"/>
          <w:caps w:val="0"/>
          <w:color w:val="000000"/>
          <w:kern w:val="2"/>
          <w:szCs w:val="22"/>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"_Toc69378615" </w:instrText>
      </w:r>
      <w:r>
        <w:fldChar w:fldCharType="separate"/>
      </w:r>
      <w:r>
        <w:rPr>
          <w:rStyle w:val="65"/>
          <w:rFonts w:hint="eastAsia"/>
          <w:b/>
          <w:color w:val="000000"/>
        </w:rPr>
        <w:t>第一章 竞争性谈判公告</w:t>
      </w:r>
      <w:r>
        <w:rPr>
          <w:color w:val="000000"/>
        </w:rPr>
        <w:tab/>
      </w:r>
      <w:r>
        <w:rPr>
          <w:color w:val="000000"/>
        </w:rPr>
        <w:fldChar w:fldCharType="begin"/>
      </w:r>
      <w:r>
        <w:rPr>
          <w:color w:val="000000"/>
        </w:rPr>
        <w:instrText xml:space="preserve"> PAGEREF _Toc69378615 \h </w:instrText>
      </w:r>
      <w:r>
        <w:rPr>
          <w:color w:val="000000"/>
        </w:rPr>
        <w:fldChar w:fldCharType="separate"/>
      </w:r>
      <w:r>
        <w:rPr>
          <w:color w:val="000000"/>
        </w:rPr>
        <w:t>3</w:t>
      </w:r>
      <w:r>
        <w:rPr>
          <w:color w:val="000000"/>
        </w:rPr>
        <w:fldChar w:fldCharType="end"/>
      </w:r>
      <w:r>
        <w:rPr>
          <w:color w:val="000000"/>
        </w:rPr>
        <w:fldChar w:fldCharType="end"/>
      </w:r>
    </w:p>
    <w:p w14:paraId="4A19D14B">
      <w:pPr>
        <w:pStyle w:val="40"/>
        <w:rPr>
          <w:rFonts w:ascii="Calibri" w:hAnsi="Calibri"/>
          <w:caps w:val="0"/>
          <w:color w:val="000000"/>
          <w:kern w:val="2"/>
          <w:szCs w:val="22"/>
        </w:rPr>
      </w:pPr>
      <w:r>
        <w:fldChar w:fldCharType="begin"/>
      </w:r>
      <w:r>
        <w:instrText xml:space="preserve"> HYPERLINK \l "_Toc69378616" </w:instrText>
      </w:r>
      <w:r>
        <w:fldChar w:fldCharType="separate"/>
      </w:r>
      <w:r>
        <w:rPr>
          <w:rStyle w:val="65"/>
          <w:rFonts w:hint="eastAsia"/>
          <w:b/>
          <w:color w:val="000000"/>
        </w:rPr>
        <w:t>第二章 竞争性谈判须知</w:t>
      </w:r>
      <w:r>
        <w:rPr>
          <w:color w:val="000000"/>
        </w:rPr>
        <w:tab/>
      </w:r>
      <w:r>
        <w:rPr>
          <w:color w:val="000000"/>
        </w:rPr>
        <w:fldChar w:fldCharType="end"/>
      </w:r>
      <w:r>
        <w:rPr>
          <w:rFonts w:hint="eastAsia"/>
          <w:color w:val="000000"/>
        </w:rPr>
        <w:t>6</w:t>
      </w:r>
    </w:p>
    <w:p w14:paraId="52A91E02">
      <w:pPr>
        <w:pStyle w:val="40"/>
        <w:rPr>
          <w:rFonts w:ascii="Calibri" w:hAnsi="Calibri"/>
          <w:caps w:val="0"/>
          <w:color w:val="000000"/>
          <w:kern w:val="2"/>
          <w:szCs w:val="22"/>
        </w:rPr>
      </w:pPr>
      <w:r>
        <w:fldChar w:fldCharType="begin"/>
      </w:r>
      <w:r>
        <w:instrText xml:space="preserve"> HYPERLINK \l "_Toc69378617" </w:instrText>
      </w:r>
      <w:r>
        <w:fldChar w:fldCharType="separate"/>
      </w:r>
      <w:r>
        <w:rPr>
          <w:rStyle w:val="65"/>
          <w:rFonts w:hint="eastAsia"/>
          <w:b/>
          <w:color w:val="000000"/>
        </w:rPr>
        <w:t>第三章 评审办法</w:t>
      </w:r>
      <w:r>
        <w:rPr>
          <w:color w:val="000000"/>
        </w:rPr>
        <w:tab/>
      </w:r>
      <w:r>
        <w:rPr>
          <w:rFonts w:hint="eastAsia"/>
          <w:color w:val="000000"/>
        </w:rPr>
        <w:t>1</w:t>
      </w:r>
      <w:r>
        <w:rPr>
          <w:rFonts w:hint="eastAsia"/>
          <w:color w:val="000000"/>
        </w:rPr>
        <w:fldChar w:fldCharType="end"/>
      </w:r>
      <w:r>
        <w:rPr>
          <w:rFonts w:hint="eastAsia"/>
          <w:color w:val="000000"/>
        </w:rPr>
        <w:t>7</w:t>
      </w:r>
    </w:p>
    <w:p w14:paraId="343CA3DF">
      <w:pPr>
        <w:pStyle w:val="40"/>
        <w:rPr>
          <w:rFonts w:ascii="Calibri" w:hAnsi="Calibri"/>
          <w:caps w:val="0"/>
          <w:color w:val="000000"/>
          <w:kern w:val="2"/>
          <w:szCs w:val="22"/>
        </w:rPr>
      </w:pPr>
      <w:r>
        <w:fldChar w:fldCharType="begin"/>
      </w:r>
      <w:r>
        <w:instrText xml:space="preserve"> HYPERLINK \l "_Toc69378618" </w:instrText>
      </w:r>
      <w:r>
        <w:fldChar w:fldCharType="separate"/>
      </w:r>
      <w:r>
        <w:rPr>
          <w:rStyle w:val="65"/>
          <w:rFonts w:hint="eastAsia"/>
          <w:b/>
          <w:color w:val="000000"/>
        </w:rPr>
        <w:t>第四章 合同格式</w:t>
      </w:r>
      <w:r>
        <w:rPr>
          <w:color w:val="000000"/>
        </w:rPr>
        <w:tab/>
      </w:r>
      <w:r>
        <w:rPr>
          <w:color w:val="000000"/>
        </w:rPr>
        <w:fldChar w:fldCharType="end"/>
      </w:r>
      <w:r>
        <w:rPr>
          <w:rFonts w:hint="eastAsia"/>
          <w:color w:val="000000"/>
        </w:rPr>
        <w:t>19</w:t>
      </w:r>
    </w:p>
    <w:p w14:paraId="59FC75AC">
      <w:pPr>
        <w:pStyle w:val="40"/>
        <w:rPr>
          <w:rFonts w:ascii="Calibri" w:hAnsi="Calibri"/>
          <w:caps w:val="0"/>
          <w:color w:val="000000"/>
          <w:kern w:val="2"/>
          <w:szCs w:val="22"/>
        </w:rPr>
      </w:pPr>
      <w:r>
        <w:fldChar w:fldCharType="begin"/>
      </w:r>
      <w:r>
        <w:instrText xml:space="preserve"> HYPERLINK \l "_Toc69378637" </w:instrText>
      </w:r>
      <w:r>
        <w:fldChar w:fldCharType="separate"/>
      </w:r>
      <w:r>
        <w:rPr>
          <w:rStyle w:val="65"/>
          <w:rFonts w:hint="eastAsia"/>
          <w:b/>
          <w:color w:val="000000"/>
        </w:rPr>
        <w:t>第五章 技术需求书</w:t>
      </w:r>
      <w:r>
        <w:rPr>
          <w:color w:val="000000"/>
        </w:rPr>
        <w:tab/>
      </w:r>
      <w:r>
        <w:rPr>
          <w:color w:val="000000"/>
        </w:rPr>
        <w:fldChar w:fldCharType="end"/>
      </w:r>
      <w:r>
        <w:rPr>
          <w:color w:val="000000"/>
        </w:rPr>
        <w:t>2</w:t>
      </w:r>
      <w:r>
        <w:rPr>
          <w:rFonts w:hint="eastAsia"/>
          <w:color w:val="000000"/>
        </w:rPr>
        <w:t>9</w:t>
      </w:r>
    </w:p>
    <w:p w14:paraId="6D0F5437">
      <w:pPr>
        <w:pStyle w:val="40"/>
        <w:rPr>
          <w:color w:val="000000"/>
        </w:rPr>
      </w:pPr>
      <w:r>
        <w:fldChar w:fldCharType="begin"/>
      </w:r>
      <w:r>
        <w:instrText xml:space="preserve"> HYPERLINK \l "_Toc69378657" </w:instrText>
      </w:r>
      <w:r>
        <w:fldChar w:fldCharType="separate"/>
      </w:r>
      <w:r>
        <w:rPr>
          <w:rStyle w:val="65"/>
          <w:rFonts w:hint="eastAsia"/>
          <w:b/>
          <w:bCs/>
          <w:color w:val="000000"/>
          <w:kern w:val="44"/>
        </w:rPr>
        <w:t>第六章 竞争性谈判响应文件格式</w:t>
      </w:r>
      <w:r>
        <w:rPr>
          <w:color w:val="000000"/>
        </w:rPr>
        <w:tab/>
      </w:r>
      <w:r>
        <w:rPr>
          <w:rFonts w:hint="eastAsia"/>
          <w:color w:val="000000"/>
        </w:rPr>
        <w:t>41</w:t>
      </w:r>
      <w:r>
        <w:rPr>
          <w:rFonts w:hint="eastAsia"/>
          <w:color w:val="000000"/>
        </w:rPr>
        <w:fldChar w:fldCharType="end"/>
      </w:r>
    </w:p>
    <w:p w14:paraId="2B1B5BAA">
      <w:pPr>
        <w:pStyle w:val="40"/>
        <w:rPr>
          <w:rFonts w:ascii="Calibri" w:hAnsi="Calibri"/>
          <w:caps w:val="0"/>
          <w:color w:val="000000"/>
          <w:kern w:val="2"/>
          <w:szCs w:val="22"/>
        </w:rPr>
      </w:pPr>
      <w:r>
        <w:fldChar w:fldCharType="begin"/>
      </w:r>
      <w:r>
        <w:instrText xml:space="preserve"> HYPERLINK \l "_Toc69378657" </w:instrText>
      </w:r>
      <w:r>
        <w:fldChar w:fldCharType="separate"/>
      </w:r>
      <w:r>
        <w:rPr>
          <w:rStyle w:val="65"/>
          <w:rFonts w:hint="eastAsia"/>
          <w:b/>
          <w:bCs/>
          <w:color w:val="000000"/>
          <w:kern w:val="44"/>
        </w:rPr>
        <w:t>第七章 其他</w:t>
      </w:r>
      <w:bookmarkStart w:id="2" w:name="_Hlt175414710"/>
      <w:bookmarkStart w:id="3" w:name="_Hlt175414711"/>
      <w:r>
        <w:rPr>
          <w:color w:val="000000"/>
        </w:rPr>
        <w:tab/>
      </w:r>
      <w:bookmarkEnd w:id="2"/>
      <w:bookmarkEnd w:id="3"/>
      <w:r>
        <w:rPr>
          <w:color w:val="000000"/>
        </w:rPr>
        <w:fldChar w:fldCharType="end"/>
      </w:r>
      <w:r>
        <w:rPr>
          <w:rFonts w:hint="eastAsia"/>
          <w:color w:val="000000"/>
        </w:rPr>
        <w:t>58</w:t>
      </w:r>
    </w:p>
    <w:p w14:paraId="32A4685C"/>
    <w:p w14:paraId="07C27964">
      <w:pPr>
        <w:pStyle w:val="40"/>
        <w:rPr>
          <w:rFonts w:ascii="Calibri" w:hAnsi="Calibri" w:eastAsia="宋体"/>
          <w:caps w:val="0"/>
          <w:color w:val="000000"/>
          <w:kern w:val="2"/>
          <w:szCs w:val="22"/>
        </w:rPr>
      </w:pPr>
      <w:r>
        <w:rPr>
          <w:rFonts w:ascii="宋体" w:hAnsi="宋体" w:eastAsia="宋体"/>
          <w:color w:val="000000"/>
          <w:sz w:val="20"/>
          <w:szCs w:val="20"/>
        </w:rPr>
        <w:fldChar w:fldCharType="end"/>
      </w:r>
    </w:p>
    <w:p w14:paraId="794FCD04">
      <w:pPr>
        <w:widowControl/>
        <w:jc w:val="left"/>
        <w:rPr>
          <w:rFonts w:eastAsia="黑体"/>
          <w:bCs/>
          <w:color w:val="000000"/>
          <w:kern w:val="44"/>
          <w:sz w:val="30"/>
          <w:szCs w:val="44"/>
        </w:rPr>
      </w:pPr>
      <w:r>
        <w:rPr>
          <w:color w:val="000000"/>
        </w:rPr>
        <w:br w:type="page"/>
      </w:r>
    </w:p>
    <w:p w14:paraId="0747633C">
      <w:pPr>
        <w:pStyle w:val="3"/>
        <w:numPr>
          <w:ilvl w:val="0"/>
          <w:numId w:val="0"/>
        </w:numPr>
        <w:spacing w:before="0" w:after="0" w:line="360" w:lineRule="auto"/>
        <w:rPr>
          <w:b/>
          <w:color w:val="000000"/>
          <w:sz w:val="36"/>
          <w:szCs w:val="36"/>
        </w:rPr>
      </w:pPr>
      <w:bookmarkStart w:id="4" w:name="_Toc69378615"/>
      <w:r>
        <w:rPr>
          <w:rFonts w:hint="eastAsia"/>
          <w:b/>
          <w:color w:val="000000"/>
          <w:sz w:val="36"/>
          <w:szCs w:val="36"/>
        </w:rPr>
        <w:t>第一章 竞争性谈判公告</w:t>
      </w:r>
      <w:bookmarkEnd w:id="4"/>
    </w:p>
    <w:bookmarkEnd w:id="1"/>
    <w:p w14:paraId="68E27B3E">
      <w:pPr>
        <w:spacing w:line="360" w:lineRule="auto"/>
        <w:ind w:firstLine="480" w:firstLineChars="200"/>
        <w:rPr>
          <w:rFonts w:hint="eastAsia" w:ascii="宋体" w:hAnsi="宋体"/>
          <w:sz w:val="24"/>
          <w:highlight w:val="none"/>
        </w:rPr>
      </w:pPr>
      <w:r>
        <w:rPr>
          <w:rFonts w:hint="eastAsia" w:ascii="宋体" w:hAnsi="宋体"/>
          <w:sz w:val="24"/>
          <w:highlight w:val="none"/>
        </w:rPr>
        <w:t>江苏省广电有线信息网络股份有限公司就“加密定向传送经批准落地境外卫星频道平台建设(终端配套集成)项目”组织竞争性谈判采购，现欢迎符合资格条件的供应商参加报价和谈判。</w:t>
      </w:r>
    </w:p>
    <w:p w14:paraId="7F406B65">
      <w:pPr>
        <w:spacing w:line="360" w:lineRule="auto"/>
        <w:rPr>
          <w:rFonts w:hint="eastAsia" w:ascii="宋体" w:hAnsi="宋体"/>
          <w:b/>
          <w:sz w:val="24"/>
          <w:highlight w:val="none"/>
        </w:rPr>
      </w:pPr>
      <w:r>
        <w:rPr>
          <w:rFonts w:hint="eastAsia" w:ascii="宋体" w:hAnsi="宋体" w:cs="宋体"/>
          <w:b/>
          <w:kern w:val="0"/>
          <w:sz w:val="24"/>
          <w:highlight w:val="none"/>
        </w:rPr>
        <w:t>一、项目概况</w:t>
      </w:r>
    </w:p>
    <w:p w14:paraId="6564F12F">
      <w:pPr>
        <w:pStyle w:val="96"/>
        <w:numPr>
          <w:ilvl w:val="0"/>
          <w:numId w:val="7"/>
        </w:numPr>
        <w:spacing w:line="360" w:lineRule="auto"/>
        <w:ind w:left="426"/>
        <w:contextualSpacing w:val="0"/>
        <w:rPr>
          <w:rFonts w:hint="eastAsia" w:ascii="宋体" w:hAnsi="宋体"/>
          <w:sz w:val="24"/>
          <w:highlight w:val="none"/>
        </w:rPr>
      </w:pPr>
      <w:r>
        <w:rPr>
          <w:rFonts w:hint="eastAsia" w:ascii="宋体" w:hAnsi="宋体"/>
          <w:sz w:val="24"/>
          <w:highlight w:val="none"/>
        </w:rPr>
        <w:t>项目名称</w:t>
      </w:r>
    </w:p>
    <w:p w14:paraId="6C857CB3">
      <w:pPr>
        <w:spacing w:line="360" w:lineRule="auto"/>
        <w:ind w:firstLine="480" w:firstLineChars="200"/>
        <w:rPr>
          <w:rFonts w:hint="eastAsia" w:ascii="宋体" w:hAnsi="宋体"/>
          <w:sz w:val="24"/>
          <w:highlight w:val="none"/>
        </w:rPr>
      </w:pPr>
      <w:r>
        <w:rPr>
          <w:rFonts w:hint="eastAsia" w:ascii="宋体" w:hAnsi="宋体"/>
          <w:sz w:val="24"/>
          <w:highlight w:val="none"/>
        </w:rPr>
        <w:t>江苏省广电有线信息网络股份有限公司加密定向传送经批准落地境外卫星频道平台建设（终端配套集成）</w:t>
      </w:r>
    </w:p>
    <w:p w14:paraId="580DDD0E">
      <w:pPr>
        <w:pStyle w:val="96"/>
        <w:numPr>
          <w:ilvl w:val="0"/>
          <w:numId w:val="7"/>
        </w:numPr>
        <w:spacing w:line="360" w:lineRule="auto"/>
        <w:ind w:left="426"/>
        <w:contextualSpacing w:val="0"/>
        <w:rPr>
          <w:rFonts w:hint="eastAsia" w:ascii="宋体" w:hAnsi="宋体"/>
          <w:sz w:val="24"/>
          <w:highlight w:val="none"/>
        </w:rPr>
      </w:pPr>
      <w:r>
        <w:rPr>
          <w:rFonts w:hint="eastAsia" w:ascii="宋体" w:hAnsi="宋体"/>
          <w:sz w:val="24"/>
          <w:highlight w:val="none"/>
        </w:rPr>
        <w:t>项目内容</w:t>
      </w:r>
    </w:p>
    <w:tbl>
      <w:tblPr>
        <w:tblStyle w:val="58"/>
        <w:tblW w:w="8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550"/>
        <w:gridCol w:w="833"/>
        <w:gridCol w:w="4752"/>
      </w:tblGrid>
      <w:tr w14:paraId="20EB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46" w:type="dxa"/>
            <w:vAlign w:val="center"/>
          </w:tcPr>
          <w:p w14:paraId="26E65002">
            <w:pPr>
              <w:jc w:val="center"/>
              <w:rPr>
                <w:rFonts w:hint="eastAsia" w:ascii="宋体" w:hAnsi="宋体"/>
                <w:szCs w:val="21"/>
                <w:highlight w:val="none"/>
              </w:rPr>
            </w:pPr>
            <w:r>
              <w:rPr>
                <w:rFonts w:ascii="宋体" w:hAnsi="宋体"/>
                <w:szCs w:val="21"/>
                <w:highlight w:val="none"/>
              </w:rPr>
              <w:t>序号</w:t>
            </w:r>
          </w:p>
        </w:tc>
        <w:tc>
          <w:tcPr>
            <w:tcW w:w="2550" w:type="dxa"/>
            <w:vAlign w:val="center"/>
          </w:tcPr>
          <w:p w14:paraId="6C98221C">
            <w:pPr>
              <w:jc w:val="center"/>
              <w:rPr>
                <w:rFonts w:hint="eastAsia" w:ascii="宋体" w:hAnsi="宋体"/>
                <w:szCs w:val="21"/>
                <w:highlight w:val="none"/>
              </w:rPr>
            </w:pPr>
            <w:r>
              <w:rPr>
                <w:rFonts w:ascii="宋体" w:hAnsi="宋体"/>
                <w:szCs w:val="21"/>
                <w:highlight w:val="none"/>
              </w:rPr>
              <w:t>采购名称</w:t>
            </w:r>
          </w:p>
        </w:tc>
        <w:tc>
          <w:tcPr>
            <w:tcW w:w="833" w:type="dxa"/>
            <w:vAlign w:val="center"/>
          </w:tcPr>
          <w:p w14:paraId="23616DA8">
            <w:pPr>
              <w:jc w:val="center"/>
              <w:rPr>
                <w:rFonts w:hint="eastAsia" w:ascii="宋体" w:hAnsi="宋体"/>
                <w:szCs w:val="21"/>
                <w:highlight w:val="none"/>
              </w:rPr>
            </w:pPr>
            <w:r>
              <w:rPr>
                <w:rFonts w:ascii="宋体" w:hAnsi="宋体"/>
                <w:szCs w:val="21"/>
                <w:highlight w:val="none"/>
              </w:rPr>
              <w:t>数量</w:t>
            </w:r>
          </w:p>
        </w:tc>
        <w:tc>
          <w:tcPr>
            <w:tcW w:w="4752" w:type="dxa"/>
            <w:vAlign w:val="center"/>
          </w:tcPr>
          <w:p w14:paraId="6BB885A5">
            <w:pPr>
              <w:jc w:val="center"/>
              <w:rPr>
                <w:rFonts w:hint="eastAsia" w:ascii="宋体" w:hAnsi="宋体"/>
                <w:szCs w:val="21"/>
                <w:highlight w:val="none"/>
              </w:rPr>
            </w:pPr>
            <w:r>
              <w:rPr>
                <w:rFonts w:ascii="宋体" w:hAnsi="宋体"/>
                <w:szCs w:val="21"/>
                <w:highlight w:val="none"/>
              </w:rPr>
              <w:t>备注</w:t>
            </w:r>
          </w:p>
        </w:tc>
      </w:tr>
      <w:tr w14:paraId="2F3C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746" w:type="dxa"/>
            <w:vAlign w:val="center"/>
          </w:tcPr>
          <w:p w14:paraId="15EDF03C">
            <w:pPr>
              <w:jc w:val="center"/>
              <w:rPr>
                <w:rFonts w:hint="eastAsia" w:ascii="宋体" w:hAnsi="宋体"/>
                <w:szCs w:val="21"/>
                <w:highlight w:val="none"/>
              </w:rPr>
            </w:pPr>
            <w:r>
              <w:rPr>
                <w:rFonts w:ascii="宋体" w:hAnsi="宋体"/>
                <w:szCs w:val="21"/>
                <w:highlight w:val="none"/>
              </w:rPr>
              <w:t>01</w:t>
            </w:r>
          </w:p>
        </w:tc>
        <w:tc>
          <w:tcPr>
            <w:tcW w:w="2550" w:type="dxa"/>
            <w:vAlign w:val="center"/>
          </w:tcPr>
          <w:p w14:paraId="6425EBFC">
            <w:pPr>
              <w:jc w:val="center"/>
              <w:rPr>
                <w:rFonts w:hint="eastAsia" w:ascii="宋体" w:hAnsi="宋体"/>
                <w:szCs w:val="21"/>
                <w:highlight w:val="none"/>
              </w:rPr>
            </w:pPr>
            <w:r>
              <w:rPr>
                <w:rFonts w:hint="eastAsia" w:ascii="宋体" w:hAnsi="宋体"/>
                <w:szCs w:val="21"/>
                <w:highlight w:val="none"/>
              </w:rPr>
              <w:t>江苏省广电有线信息网络股份有限公司加密定向传送经批准落地境外卫星频道平台建设（终端配套集成）</w:t>
            </w:r>
          </w:p>
        </w:tc>
        <w:tc>
          <w:tcPr>
            <w:tcW w:w="833" w:type="dxa"/>
            <w:vAlign w:val="center"/>
          </w:tcPr>
          <w:p w14:paraId="1DDB199C">
            <w:pPr>
              <w:jc w:val="center"/>
              <w:rPr>
                <w:rFonts w:hint="eastAsia" w:ascii="宋体" w:hAnsi="宋体"/>
                <w:szCs w:val="21"/>
                <w:highlight w:val="none"/>
              </w:rPr>
            </w:pPr>
            <w:r>
              <w:rPr>
                <w:rFonts w:hint="eastAsia" w:ascii="宋体" w:hAnsi="宋体"/>
                <w:szCs w:val="21"/>
                <w:highlight w:val="none"/>
              </w:rPr>
              <w:t>1套</w:t>
            </w:r>
          </w:p>
        </w:tc>
        <w:tc>
          <w:tcPr>
            <w:tcW w:w="4752" w:type="dxa"/>
            <w:vAlign w:val="center"/>
          </w:tcPr>
          <w:p w14:paraId="79724132">
            <w:pPr>
              <w:pStyle w:val="146"/>
              <w:spacing w:line="320" w:lineRule="exact"/>
              <w:ind w:firstLine="0" w:firstLineChars="0"/>
              <w:rPr>
                <w:rFonts w:hint="eastAsia" w:ascii="宋体" w:hAnsi="宋体"/>
                <w:szCs w:val="21"/>
                <w:highlight w:val="none"/>
              </w:rPr>
            </w:pPr>
            <w:r>
              <w:rPr>
                <w:rFonts w:hint="eastAsia" w:ascii="宋体" w:hAnsi="宋体"/>
                <w:szCs w:val="21"/>
                <w:highlight w:val="none"/>
              </w:rPr>
              <w:t>按照江苏省有线定向传送经批准落地境外卫星电视频道建设实施方案的具体要求，对4K智能机顶盒终端软件（注：不含苏州、无锡地区4K（DVB型）智能机顶盒）进行改造，并与AAA、融合EPG系统对接集成。</w:t>
            </w:r>
            <w:r>
              <w:rPr>
                <w:rFonts w:hint="eastAsia" w:ascii="宋体" w:hAnsi="宋体"/>
                <w:color w:val="000000"/>
                <w:szCs w:val="21"/>
                <w:highlight w:val="none"/>
              </w:rPr>
              <w:t>改造后的</w:t>
            </w:r>
            <w:r>
              <w:rPr>
                <w:rFonts w:ascii="宋体" w:hAnsi="宋体"/>
                <w:color w:val="000000"/>
                <w:szCs w:val="21"/>
                <w:highlight w:val="none"/>
              </w:rPr>
              <w:t>机顶盒终端升级软件必须符合</w:t>
            </w:r>
            <w:r>
              <w:rPr>
                <w:rFonts w:hint="eastAsia" w:ascii="宋体" w:hAnsi="宋体"/>
                <w:color w:val="000000"/>
                <w:szCs w:val="21"/>
                <w:highlight w:val="none"/>
              </w:rPr>
              <w:t>国家广电</w:t>
            </w:r>
            <w:r>
              <w:rPr>
                <w:rFonts w:ascii="宋体" w:hAnsi="宋体"/>
                <w:color w:val="000000"/>
                <w:szCs w:val="21"/>
                <w:highlight w:val="none"/>
              </w:rPr>
              <w:t>总局</w:t>
            </w:r>
            <w:r>
              <w:rPr>
                <w:rFonts w:hint="eastAsia" w:ascii="宋体" w:hAnsi="宋体"/>
                <w:color w:val="000000"/>
                <w:szCs w:val="21"/>
                <w:highlight w:val="none"/>
              </w:rPr>
              <w:t>相关行业技术规范以及电视“双治理”要求</w:t>
            </w:r>
            <w:r>
              <w:rPr>
                <w:rFonts w:ascii="宋体" w:hAnsi="宋体"/>
                <w:color w:val="000000"/>
                <w:szCs w:val="21"/>
                <w:highlight w:val="none"/>
              </w:rPr>
              <w:t>。</w:t>
            </w:r>
            <w:r>
              <w:rPr>
                <w:rFonts w:hint="eastAsia" w:ascii="宋体" w:hAnsi="宋体"/>
                <w:color w:val="000000"/>
                <w:kern w:val="0"/>
                <w:szCs w:val="21"/>
                <w:highlight w:val="none"/>
              </w:rPr>
              <w:t>完全兼容和满足</w:t>
            </w:r>
            <w:r>
              <w:rPr>
                <w:rFonts w:hint="eastAsia" w:ascii="宋体" w:hAnsi="宋体"/>
                <w:color w:val="000000"/>
                <w:szCs w:val="21"/>
                <w:highlight w:val="none"/>
              </w:rPr>
              <w:t>江苏有线</w:t>
            </w:r>
            <w:r>
              <w:rPr>
                <w:rFonts w:ascii="宋体" w:hAnsi="宋体"/>
                <w:color w:val="000000"/>
                <w:szCs w:val="21"/>
                <w:highlight w:val="none"/>
              </w:rPr>
              <w:t>“全省通2.0”终端软件技术体系</w:t>
            </w:r>
            <w:r>
              <w:rPr>
                <w:rFonts w:hint="eastAsia" w:ascii="宋体" w:hAnsi="宋体"/>
                <w:color w:val="000000"/>
                <w:szCs w:val="21"/>
                <w:highlight w:val="none"/>
              </w:rPr>
              <w:t>所有功能模块和性能指标，</w:t>
            </w:r>
            <w:r>
              <w:rPr>
                <w:rFonts w:hint="eastAsia" w:ascii="宋体" w:hAnsi="宋体"/>
                <w:color w:val="000000"/>
                <w:kern w:val="0"/>
                <w:szCs w:val="21"/>
                <w:highlight w:val="none"/>
              </w:rPr>
              <w:t>包括但不限于</w:t>
            </w:r>
            <w:r>
              <w:rPr>
                <w:rFonts w:hint="eastAsia" w:ascii="宋体" w:hAnsi="宋体" w:cs="宋体"/>
                <w:color w:val="000000"/>
                <w:szCs w:val="21"/>
                <w:highlight w:val="none"/>
              </w:rPr>
              <w:t>单播/组播、IPv6、第三方播放器、</w:t>
            </w:r>
            <w:r>
              <w:rPr>
                <w:rFonts w:hint="eastAsia" w:ascii="宋体" w:hAnsi="宋体"/>
                <w:color w:val="000000"/>
                <w:kern w:val="0"/>
                <w:szCs w:val="21"/>
                <w:highlight w:val="none"/>
              </w:rPr>
              <w:t>影视APK、对外接口、广告等功能业务</w:t>
            </w:r>
            <w:r>
              <w:rPr>
                <w:rFonts w:hint="eastAsia" w:ascii="宋体" w:hAnsi="宋体"/>
                <w:szCs w:val="21"/>
                <w:highlight w:val="none"/>
              </w:rPr>
              <w:t>，具体内容详见第五章《技术需求书》</w:t>
            </w:r>
          </w:p>
        </w:tc>
      </w:tr>
    </w:tbl>
    <w:p w14:paraId="307CB0B0">
      <w:pPr>
        <w:spacing w:line="360" w:lineRule="auto"/>
        <w:rPr>
          <w:rFonts w:hint="eastAsia" w:ascii="宋体" w:hAnsi="宋体" w:cs="宋体"/>
          <w:b/>
          <w:kern w:val="0"/>
          <w:sz w:val="24"/>
          <w:highlight w:val="none"/>
        </w:rPr>
      </w:pPr>
      <w:r>
        <w:rPr>
          <w:rFonts w:hint="eastAsia" w:ascii="宋体" w:hAnsi="宋体" w:cs="宋体"/>
          <w:b/>
          <w:kern w:val="0"/>
          <w:sz w:val="24"/>
          <w:highlight w:val="none"/>
        </w:rPr>
        <w:t>二、资格审查方式</w:t>
      </w:r>
    </w:p>
    <w:p w14:paraId="3A932A4D">
      <w:pPr>
        <w:spacing w:line="360" w:lineRule="auto"/>
        <w:ind w:firstLine="472" w:firstLineChars="197"/>
        <w:rPr>
          <w:rFonts w:hint="eastAsia" w:ascii="宋体" w:hAnsi="宋体" w:cs="宋体"/>
          <w:kern w:val="0"/>
          <w:sz w:val="24"/>
          <w:highlight w:val="none"/>
        </w:rPr>
      </w:pPr>
      <w:r>
        <w:rPr>
          <w:rFonts w:hint="eastAsia" w:ascii="宋体" w:hAnsi="宋体" w:cs="宋体"/>
          <w:kern w:val="0"/>
          <w:sz w:val="24"/>
          <w:highlight w:val="none"/>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3ACAA80F">
      <w:pPr>
        <w:spacing w:line="360" w:lineRule="auto"/>
        <w:rPr>
          <w:rFonts w:hint="eastAsia" w:ascii="宋体" w:hAnsi="宋体"/>
          <w:b/>
          <w:sz w:val="24"/>
          <w:highlight w:val="none"/>
        </w:rPr>
      </w:pPr>
      <w:r>
        <w:rPr>
          <w:rFonts w:hint="eastAsia" w:ascii="宋体" w:hAnsi="宋体"/>
          <w:b/>
          <w:sz w:val="24"/>
          <w:highlight w:val="none"/>
        </w:rPr>
        <w:t>三、合格供应商的基本资格要求</w:t>
      </w:r>
    </w:p>
    <w:p w14:paraId="0B9E2A5C">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供应商须为在中华人民共和国境内合法注册的独立法人，遵守中国有关法律、法规，具有良好的商业信誉（提供营业执照复印件）。</w:t>
      </w:r>
    </w:p>
    <w:p w14:paraId="4DCBB5E8">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供应商在南京地区须具有较大规模的销售和售后服务的组织机构及完善快捷的技术支持能力。</w:t>
      </w:r>
    </w:p>
    <w:p w14:paraId="1B0E5EC0">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供应商须提供针对本项目服务的承诺。</w:t>
      </w:r>
    </w:p>
    <w:p w14:paraId="11559A95">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供应商必须为软件开发商，需提供软件开发商的资格声明。供应商须向采购人共享本项目的软件开发相关知识产权，并向采购人完全开放所有二次开发软件源代码(提供承诺函并加盖公章)。</w:t>
      </w:r>
    </w:p>
    <w:p w14:paraId="1C180DC3">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供应商须出具</w:t>
      </w:r>
      <w:r>
        <w:rPr>
          <w:rFonts w:hint="eastAsia"/>
          <w:kern w:val="0"/>
          <w:sz w:val="24"/>
          <w:highlight w:val="none"/>
        </w:rPr>
        <w:t>经第三方审计的</w:t>
      </w:r>
      <w:r>
        <w:rPr>
          <w:kern w:val="0"/>
          <w:sz w:val="24"/>
          <w:highlight w:val="none"/>
        </w:rPr>
        <w:t>202</w:t>
      </w:r>
      <w:r>
        <w:rPr>
          <w:rFonts w:hint="eastAsia"/>
          <w:kern w:val="0"/>
          <w:sz w:val="24"/>
          <w:highlight w:val="none"/>
        </w:rPr>
        <w:t>2</w:t>
      </w:r>
      <w:r>
        <w:rPr>
          <w:kern w:val="0"/>
          <w:sz w:val="24"/>
          <w:highlight w:val="none"/>
        </w:rPr>
        <w:t>年度和202</w:t>
      </w:r>
      <w:r>
        <w:rPr>
          <w:rFonts w:hint="eastAsia"/>
          <w:kern w:val="0"/>
          <w:sz w:val="24"/>
          <w:highlight w:val="none"/>
        </w:rPr>
        <w:t>3</w:t>
      </w:r>
      <w:r>
        <w:rPr>
          <w:kern w:val="0"/>
          <w:sz w:val="24"/>
          <w:highlight w:val="none"/>
        </w:rPr>
        <w:t>年度</w:t>
      </w:r>
      <w:r>
        <w:rPr>
          <w:rFonts w:hint="eastAsia"/>
          <w:kern w:val="0"/>
          <w:sz w:val="24"/>
          <w:highlight w:val="none"/>
        </w:rPr>
        <w:t>会计</w:t>
      </w:r>
      <w:r>
        <w:rPr>
          <w:rFonts w:hint="eastAsia" w:ascii="宋体" w:hAnsi="宋体" w:cs="宋体"/>
          <w:kern w:val="0"/>
          <w:sz w:val="24"/>
          <w:highlight w:val="none"/>
        </w:rPr>
        <w:t>报表（至少包括文字性报告及资产负债表、现金流量表、利润表等）。</w:t>
      </w:r>
    </w:p>
    <w:p w14:paraId="61D4BE31">
      <w:pPr>
        <w:numPr>
          <w:ilvl w:val="0"/>
          <w:numId w:val="8"/>
        </w:numPr>
        <w:spacing w:line="360" w:lineRule="auto"/>
        <w:jc w:val="left"/>
        <w:rPr>
          <w:rFonts w:hint="eastAsia" w:ascii="宋体" w:hAnsi="宋体" w:cs="宋体"/>
          <w:kern w:val="0"/>
          <w:sz w:val="24"/>
          <w:highlight w:val="none"/>
        </w:rPr>
      </w:pPr>
      <w:r>
        <w:rPr>
          <w:kern w:val="0"/>
          <w:sz w:val="24"/>
          <w:highlight w:val="none"/>
        </w:rPr>
        <w:t>供应商须具有良好的业绩和经验，自</w:t>
      </w:r>
      <w:r>
        <w:rPr>
          <w:rFonts w:hint="eastAsia"/>
          <w:kern w:val="0"/>
          <w:sz w:val="24"/>
          <w:highlight w:val="none"/>
        </w:rPr>
        <w:t>2021年1月1日至今（以合同签订时间为准）具有至少1个省级及以上公司机顶盒升级实施案例。</w:t>
      </w:r>
      <w:r>
        <w:rPr>
          <w:rFonts w:hint="eastAsia" w:ascii="宋体" w:hAnsi="宋体" w:cs="宋体"/>
          <w:kern w:val="0"/>
          <w:sz w:val="24"/>
          <w:highlight w:val="none"/>
        </w:rPr>
        <w:t>（业绩合同至少包括合同内容、合同金额和签章页。业绩合同如为单项合同，提供单项合同复印件；如为框架协议，提供框架协议复印件及相应的采购订单复印件，原件备查，同时需提供该合同用户单位联系人及联系方式）。</w:t>
      </w:r>
    </w:p>
    <w:p w14:paraId="39913B2A">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供应商单位负责人为同一人或者存在直接控股、管理关系的不同供应商，不得参加同一标段谈判或者未划分标段的同一采购项目谈判。</w:t>
      </w:r>
    </w:p>
    <w:p w14:paraId="13977A2D">
      <w:pPr>
        <w:numPr>
          <w:ilvl w:val="0"/>
          <w:numId w:val="8"/>
        </w:numPr>
        <w:spacing w:line="360" w:lineRule="auto"/>
        <w:jc w:val="left"/>
        <w:rPr>
          <w:rFonts w:hint="eastAsia" w:ascii="宋体" w:hAnsi="宋体" w:cs="宋体"/>
          <w:kern w:val="0"/>
          <w:sz w:val="24"/>
          <w:highlight w:val="none"/>
        </w:rPr>
      </w:pPr>
      <w:r>
        <w:rPr>
          <w:rFonts w:hint="eastAsia" w:ascii="宋体" w:hAnsi="宋体" w:cs="宋体"/>
          <w:kern w:val="0"/>
          <w:sz w:val="24"/>
          <w:highlight w:val="none"/>
        </w:rPr>
        <w:t>法定代表人为同一个人的两个及两个以上法人，母公司与全资子公司/由其控股的子公司，不得同时参与本项目</w:t>
      </w:r>
      <w:r>
        <w:rPr>
          <w:rFonts w:ascii="宋体" w:hAnsi="宋体" w:cs="宋体"/>
          <w:kern w:val="0"/>
          <w:sz w:val="24"/>
          <w:highlight w:val="none"/>
        </w:rPr>
        <w:t>。</w:t>
      </w:r>
    </w:p>
    <w:p w14:paraId="3536C180">
      <w:pPr>
        <w:numPr>
          <w:ilvl w:val="0"/>
          <w:numId w:val="8"/>
        </w:numPr>
        <w:spacing w:line="360" w:lineRule="auto"/>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kern w:val="0"/>
          <w:sz w:val="24"/>
          <w:highlight w:val="none"/>
        </w:rPr>
        <w:t>本项</w:t>
      </w:r>
      <w:r>
        <w:rPr>
          <w:rFonts w:hint="eastAsia" w:ascii="宋体" w:hAnsi="宋体" w:cs="宋体"/>
          <w:color w:val="000000" w:themeColor="text1"/>
          <w:kern w:val="0"/>
          <w:sz w:val="24"/>
          <w:highlight w:val="none"/>
          <w14:textFill>
            <w14:solidFill>
              <w14:schemeClr w14:val="tx1"/>
            </w14:solidFill>
          </w14:textFill>
        </w:rPr>
        <w:t>目不接受联合体响应。</w:t>
      </w:r>
    </w:p>
    <w:p w14:paraId="10AA2B56">
      <w:pPr>
        <w:widowControl/>
        <w:spacing w:line="360" w:lineRule="auto"/>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四、竞争性谈判文件的获取</w:t>
      </w:r>
    </w:p>
    <w:p w14:paraId="6B4D41EE">
      <w:pPr>
        <w:widowControl/>
        <w:spacing w:line="360" w:lineRule="auto"/>
        <w:ind w:firstLine="420"/>
        <w:jc w:val="left"/>
        <w:rPr>
          <w:rFonts w:hint="eastAsia" w:ascii="宋体" w:hAnsi="宋体" w:cs="宋体"/>
          <w:color w:val="000000" w:themeColor="text1"/>
          <w:kern w:val="0"/>
          <w:sz w:val="24"/>
          <w:highlight w:val="none"/>
          <w:shd w:val="clear" w:color="auto" w:fill="FFFFFF"/>
          <w14:textFill>
            <w14:solidFill>
              <w14:schemeClr w14:val="tx1"/>
            </w14:solidFill>
          </w14:textFill>
        </w:rPr>
      </w:pPr>
      <w:bookmarkStart w:id="5" w:name="bookmark1"/>
      <w:bookmarkEnd w:id="5"/>
      <w:bookmarkStart w:id="6" w:name="_Hlk174353753"/>
      <w:bookmarkStart w:id="7" w:name="_Hlk140565123"/>
      <w:bookmarkStart w:id="8" w:name="_Hlk149739994"/>
      <w:bookmarkStart w:id="9" w:name="_Hlk174116281"/>
      <w:r>
        <w:rPr>
          <w:rFonts w:hint="eastAsia" w:ascii="宋体" w:hAnsi="宋体" w:cs="宋体"/>
          <w:color w:val="000000" w:themeColor="text1"/>
          <w:kern w:val="0"/>
          <w:sz w:val="24"/>
          <w:highlight w:val="none"/>
          <w:shd w:val="clear" w:color="auto" w:fill="FFFFFF"/>
          <w14:textFill>
            <w14:solidFill>
              <w14:schemeClr w14:val="tx1"/>
            </w14:solidFill>
          </w14:textFill>
        </w:rPr>
        <w:t>发布及登记时间：</w:t>
      </w:r>
      <w:r>
        <w:rPr>
          <w:rFonts w:ascii="宋体" w:hAnsi="宋体" w:cs="宋体"/>
          <w:color w:val="000000" w:themeColor="text1"/>
          <w:kern w:val="0"/>
          <w:sz w:val="24"/>
          <w:highlight w:val="none"/>
          <w:shd w:val="clear" w:color="auto" w:fill="FFFFFF"/>
          <w14:textFill>
            <w14:solidFill>
              <w14:schemeClr w14:val="tx1"/>
            </w14:solidFill>
          </w14:textFill>
        </w:rPr>
        <w:t>202</w:t>
      </w:r>
      <w:r>
        <w:rPr>
          <w:rFonts w:hint="eastAsia" w:ascii="宋体" w:hAnsi="宋体" w:cs="宋体"/>
          <w:color w:val="000000" w:themeColor="text1"/>
          <w:kern w:val="0"/>
          <w:sz w:val="24"/>
          <w:highlight w:val="none"/>
          <w:shd w:val="clear" w:color="auto" w:fill="FFFFFF"/>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14:textFill>
            <w14:solidFill>
              <w14:schemeClr w14:val="tx1"/>
            </w14:solidFill>
          </w14:textFill>
        </w:rPr>
        <w:t>9月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24</w:t>
      </w:r>
      <w:r>
        <w:rPr>
          <w:rFonts w:hint="eastAsia" w:ascii="宋体" w:hAnsi="宋体" w:cs="宋体"/>
          <w:color w:val="000000" w:themeColor="text1"/>
          <w:kern w:val="0"/>
          <w:sz w:val="24"/>
          <w:highlight w:val="none"/>
          <w:shd w:val="clear" w:color="auto" w:fill="FFFFFF"/>
          <w14:textFill>
            <w14:solidFill>
              <w14:schemeClr w14:val="tx1"/>
            </w14:solidFill>
          </w14:textFill>
        </w:rPr>
        <w:t>日</w:t>
      </w:r>
      <w:r>
        <w:rPr>
          <w:rFonts w:ascii="宋体" w:hAnsi="宋体" w:cs="宋体"/>
          <w:color w:val="000000" w:themeColor="text1"/>
          <w:kern w:val="0"/>
          <w:sz w:val="24"/>
          <w:highlight w:val="none"/>
          <w:shd w:val="clear" w:color="auto" w:fill="FFFFFF"/>
          <w14:textFill>
            <w14:solidFill>
              <w14:schemeClr w14:val="tx1"/>
            </w14:solidFill>
          </w14:textFill>
        </w:rPr>
        <w:t>至202</w:t>
      </w:r>
      <w:r>
        <w:rPr>
          <w:rFonts w:hint="eastAsia" w:ascii="宋体" w:hAnsi="宋体" w:cs="宋体"/>
          <w:color w:val="000000" w:themeColor="text1"/>
          <w:kern w:val="0"/>
          <w:sz w:val="24"/>
          <w:highlight w:val="none"/>
          <w:shd w:val="clear" w:color="auto" w:fill="FFFFFF"/>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14:textFill>
            <w14:solidFill>
              <w14:schemeClr w14:val="tx1"/>
            </w14:solidFill>
          </w14:textFill>
        </w:rPr>
        <w:t>9月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29</w:t>
      </w:r>
      <w:r>
        <w:rPr>
          <w:rFonts w:hint="eastAsia" w:ascii="宋体" w:hAnsi="宋体" w:cs="宋体"/>
          <w:color w:val="000000" w:themeColor="text1"/>
          <w:kern w:val="0"/>
          <w:sz w:val="24"/>
          <w:highlight w:val="none"/>
          <w:shd w:val="clear" w:color="auto" w:fill="FFFFFF"/>
          <w14:textFill>
            <w14:solidFill>
              <w14:schemeClr w14:val="tx1"/>
            </w14:solidFill>
          </w14:textFill>
        </w:rPr>
        <w:t>日</w:t>
      </w:r>
      <w:r>
        <w:rPr>
          <w:rFonts w:ascii="宋体" w:hAnsi="宋体" w:cs="宋体"/>
          <w:color w:val="000000" w:themeColor="text1"/>
          <w:kern w:val="0"/>
          <w:sz w:val="24"/>
          <w:highlight w:val="none"/>
          <w:shd w:val="clear" w:color="auto" w:fill="FFFFFF"/>
          <w14:textFill>
            <w14:solidFill>
              <w14:schemeClr w14:val="tx1"/>
            </w14:solidFill>
          </w14:textFill>
        </w:rPr>
        <w:t>止，每日上午9：00-12：00，下午14：00-17：00（北京时间）。</w:t>
      </w:r>
    </w:p>
    <w:p w14:paraId="0DE73070">
      <w:pPr>
        <w:widowControl/>
        <w:spacing w:line="360" w:lineRule="auto"/>
        <w:ind w:firstLine="420"/>
        <w:jc w:val="left"/>
        <w:rPr>
          <w:rFonts w:hint="eastAsia" w:ascii="宋体" w:hAnsi="宋体" w:cs="宋体"/>
          <w:color w:val="000000" w:themeColor="text1"/>
          <w:kern w:val="0"/>
          <w:sz w:val="24"/>
          <w:highlight w:val="none"/>
          <w:shd w:val="clear" w:color="auto" w:fill="FFFFFF"/>
          <w14:textFill>
            <w14:solidFill>
              <w14:schemeClr w14:val="tx1"/>
            </w14:solidFill>
          </w14:textFill>
        </w:rPr>
      </w:pPr>
      <w:bookmarkStart w:id="10" w:name="_Hlk140238335"/>
      <w:r>
        <w:rPr>
          <w:rFonts w:hint="eastAsia" w:ascii="宋体" w:hAnsi="宋体" w:cs="宋体"/>
          <w:color w:val="000000" w:themeColor="text1"/>
          <w:kern w:val="0"/>
          <w:sz w:val="24"/>
          <w:highlight w:val="none"/>
          <w:shd w:val="clear" w:color="auto" w:fill="FFFFFF"/>
          <w14:textFill>
            <w14:solidFill>
              <w14:schemeClr w14:val="tx1"/>
            </w14:solidFill>
          </w14:textFill>
        </w:rPr>
        <w:t>发放方式：竞争性谈判文件在报名后自行下载。</w:t>
      </w:r>
    </w:p>
    <w:p w14:paraId="7939FE98">
      <w:pPr>
        <w:widowControl/>
        <w:spacing w:line="360" w:lineRule="auto"/>
        <w:ind w:firstLine="420"/>
        <w:jc w:val="left"/>
        <w:rPr>
          <w:rFonts w:hint="eastAsia" w:ascii="宋体" w:hAnsi="宋体" w:cs="宋体"/>
          <w:color w:val="000000" w:themeColor="text1"/>
          <w:kern w:val="0"/>
          <w:sz w:val="24"/>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登记方式：请响应人将该项目负责人姓名、联系电话（手机）、联系信箱发至采购人该项目联系人（参考竞争性谈判文件第七章响应确认信息表），同时附营业执照扫描件和法定代表人授权委托函，发至</w:t>
      </w:r>
      <w:r>
        <w:rPr>
          <w:rFonts w:hint="eastAsia" w:ascii="宋体" w:hAnsi="宋体" w:cs="宋体"/>
          <w:color w:val="000000" w:themeColor="text1"/>
          <w:kern w:val="0"/>
          <w:sz w:val="24"/>
          <w:highlight w:val="none"/>
          <w14:textFill>
            <w14:solidFill>
              <w14:schemeClr w14:val="tx1"/>
            </w14:solidFill>
          </w14:textFill>
        </w:rPr>
        <w:t>邮箱</w:t>
      </w:r>
      <w:bookmarkStart w:id="11" w:name="_Hlk174353718"/>
      <w:r>
        <w:rPr>
          <w:rFonts w:hint="eastAsia" w:ascii="宋体" w:hAnsi="宋体" w:cs="宋体"/>
          <w:color w:val="000000" w:themeColor="text1"/>
          <w:kern w:val="0"/>
          <w:sz w:val="24"/>
          <w:highlight w:val="none"/>
          <w14:textFill>
            <w14:solidFill>
              <w14:schemeClr w14:val="tx1"/>
            </w14:solidFill>
          </w14:textFill>
        </w:rPr>
        <w:t>zhuangyin@jscnnet.com</w:t>
      </w:r>
      <w:bookmarkEnd w:id="11"/>
      <w:r>
        <w:rPr>
          <w:rFonts w:hint="eastAsia" w:ascii="宋体" w:hAnsi="宋体" w:cs="宋体"/>
          <w:color w:val="000000" w:themeColor="text1"/>
          <w:kern w:val="0"/>
          <w:sz w:val="24"/>
          <w:highlight w:val="none"/>
          <w:shd w:val="clear" w:color="auto" w:fill="FFFFFF"/>
          <w14:textFill>
            <w14:solidFill>
              <w14:schemeClr w14:val="tx1"/>
            </w14:solidFill>
          </w14:textFill>
        </w:rPr>
        <w:t>，未在文件发放日内完成登记的不得参与本项目，超过</w:t>
      </w:r>
      <w:r>
        <w:rPr>
          <w:rFonts w:ascii="宋体" w:hAnsi="宋体" w:cs="宋体"/>
          <w:color w:val="000000" w:themeColor="text1"/>
          <w:kern w:val="0"/>
          <w:sz w:val="24"/>
          <w:highlight w:val="none"/>
          <w:shd w:val="clear" w:color="auto" w:fill="FFFFFF"/>
          <w14:textFill>
            <w14:solidFill>
              <w14:schemeClr w14:val="tx1"/>
            </w14:solidFill>
          </w14:textFill>
        </w:rPr>
        <w:t>202</w:t>
      </w:r>
      <w:r>
        <w:rPr>
          <w:rFonts w:hint="eastAsia" w:ascii="宋体" w:hAnsi="宋体" w:cs="宋体"/>
          <w:color w:val="000000" w:themeColor="text1"/>
          <w:kern w:val="0"/>
          <w:sz w:val="24"/>
          <w:highlight w:val="none"/>
          <w:shd w:val="clear" w:color="auto" w:fill="FFFFFF"/>
          <w14:textFill>
            <w14:solidFill>
              <w14:schemeClr w14:val="tx1"/>
            </w14:solidFill>
          </w14:textFill>
        </w:rPr>
        <w:t>4</w:t>
      </w:r>
      <w:r>
        <w:rPr>
          <w:rFonts w:ascii="宋体" w:hAnsi="宋体" w:cs="宋体"/>
          <w:color w:val="000000" w:themeColor="text1"/>
          <w:kern w:val="0"/>
          <w:sz w:val="24"/>
          <w:highlight w:val="none"/>
          <w:shd w:val="clear" w:color="auto" w:fill="FFFFFF"/>
          <w14:textFill>
            <w14:solidFill>
              <w14:schemeClr w14:val="tx1"/>
            </w14:solidFill>
          </w14:textFill>
        </w:rPr>
        <w:t>年</w:t>
      </w:r>
      <w:r>
        <w:rPr>
          <w:rFonts w:hint="eastAsia" w:ascii="宋体" w:hAnsi="宋体" w:cs="宋体"/>
          <w:color w:val="000000" w:themeColor="text1"/>
          <w:kern w:val="0"/>
          <w:sz w:val="24"/>
          <w:highlight w:val="none"/>
          <w:shd w:val="clear" w:color="auto" w:fill="FFFFFF"/>
          <w14:textFill>
            <w14:solidFill>
              <w14:schemeClr w14:val="tx1"/>
            </w14:solidFill>
          </w14:textFill>
        </w:rPr>
        <w:t>9月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29</w:t>
      </w:r>
      <w:r>
        <w:rPr>
          <w:rFonts w:hint="eastAsia" w:ascii="宋体" w:hAnsi="宋体" w:cs="宋体"/>
          <w:color w:val="000000" w:themeColor="text1"/>
          <w:kern w:val="0"/>
          <w:sz w:val="24"/>
          <w:highlight w:val="none"/>
          <w:shd w:val="clear" w:color="auto" w:fill="FFFFFF"/>
          <w14:textFill>
            <w14:solidFill>
              <w14:schemeClr w14:val="tx1"/>
            </w14:solidFill>
          </w14:textFill>
        </w:rPr>
        <w:t>日</w:t>
      </w:r>
      <w:r>
        <w:rPr>
          <w:rFonts w:ascii="宋体" w:hAnsi="宋体" w:cs="宋体"/>
          <w:color w:val="000000" w:themeColor="text1"/>
          <w:kern w:val="0"/>
          <w:sz w:val="24"/>
          <w:highlight w:val="none"/>
          <w:shd w:val="clear" w:color="auto" w:fill="FFFFFF"/>
          <w14:textFill>
            <w14:solidFill>
              <w14:schemeClr w14:val="tx1"/>
            </w14:solidFill>
          </w14:textFill>
        </w:rPr>
        <w:t>下午17:00再登记的视为无效。</w:t>
      </w:r>
      <w:bookmarkEnd w:id="10"/>
    </w:p>
    <w:p w14:paraId="40E8F91E">
      <w:pPr>
        <w:widowControl/>
        <w:spacing w:line="360" w:lineRule="auto"/>
        <w:ind w:firstLine="42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项目联系人：</w:t>
      </w:r>
      <w:bookmarkStart w:id="12" w:name="_Hlk174353703"/>
      <w:r>
        <w:rPr>
          <w:rFonts w:hint="eastAsia" w:ascii="宋体" w:hAnsi="宋体" w:cs="宋体"/>
          <w:color w:val="000000" w:themeColor="text1"/>
          <w:kern w:val="0"/>
          <w:sz w:val="24"/>
          <w:highlight w:val="none"/>
          <w:shd w:val="clear" w:color="auto" w:fill="FFFFFF"/>
          <w14:textFill>
            <w14:solidFill>
              <w14:schemeClr w14:val="tx1"/>
            </w14:solidFill>
          </w14:textFill>
        </w:rPr>
        <w:t>庄崟（025-87231545</w:t>
      </w:r>
      <w:r>
        <w:rPr>
          <w:rFonts w:ascii="宋体" w:hAnsi="宋体" w:cs="宋体"/>
          <w:color w:val="000000" w:themeColor="text1"/>
          <w:kern w:val="0"/>
          <w:sz w:val="24"/>
          <w:highlight w:val="none"/>
          <w14:textFill>
            <w14:solidFill>
              <w14:schemeClr w14:val="tx1"/>
            </w14:solidFill>
          </w14:textFill>
        </w:rPr>
        <w:t>）</w:t>
      </w:r>
      <w:bookmarkEnd w:id="12"/>
    </w:p>
    <w:p w14:paraId="44A9BCF4">
      <w:pPr>
        <w:widowControl/>
        <w:spacing w:line="360" w:lineRule="auto"/>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五、响应文件的递交和谈判</w:t>
      </w:r>
    </w:p>
    <w:p w14:paraId="3EC2BA4D">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递交竞争性谈判响应文件截止时间：2024年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10</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8</w:t>
      </w:r>
      <w:r>
        <w:rPr>
          <w:rFonts w:hint="eastAsia" w:ascii="宋体" w:hAnsi="宋体" w:cs="宋体"/>
          <w:color w:val="000000" w:themeColor="text1"/>
          <w:kern w:val="0"/>
          <w:sz w:val="24"/>
          <w:highlight w:val="none"/>
          <w:shd w:val="clear" w:color="auto" w:fill="FFFFFF"/>
          <w14:textFill>
            <w14:solidFill>
              <w14:schemeClr w14:val="tx1"/>
            </w14:solidFill>
          </w14:textFill>
        </w:rPr>
        <w:t>日14:30，逾期收到或不按照竞争性谈判文件要求密封的响应文件恕不接受。</w:t>
      </w:r>
    </w:p>
    <w:p w14:paraId="4F71F7C2">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递交竞争性谈判响应文件地点：南京市玄武区运粮河西路</w:t>
      </w:r>
      <w:r>
        <w:rPr>
          <w:rFonts w:eastAsia="微软雅黑"/>
          <w:color w:val="000000" w:themeColor="text1"/>
          <w:kern w:val="0"/>
          <w:sz w:val="24"/>
          <w:highlight w:val="none"/>
          <w:shd w:val="clear" w:color="auto" w:fill="FFFFFF"/>
          <w14:textFill>
            <w14:solidFill>
              <w14:schemeClr w14:val="tx1"/>
            </w14:solidFill>
          </w14:textFill>
        </w:rPr>
        <w:t>101</w:t>
      </w:r>
      <w:r>
        <w:rPr>
          <w:rFonts w:hint="eastAsia" w:ascii="宋体" w:hAnsi="宋体" w:cs="宋体"/>
          <w:color w:val="000000" w:themeColor="text1"/>
          <w:kern w:val="0"/>
          <w:sz w:val="24"/>
          <w:highlight w:val="none"/>
          <w:shd w:val="clear" w:color="auto" w:fill="FFFFFF"/>
          <w14:textFill>
            <w14:solidFill>
              <w14:schemeClr w14:val="tx1"/>
            </w14:solidFill>
          </w14:textFill>
        </w:rPr>
        <w:t>号</w:t>
      </w:r>
      <w:r>
        <w:rPr>
          <w:rFonts w:hint="eastAsia" w:eastAsia="微软雅黑"/>
          <w:color w:val="000000" w:themeColor="text1"/>
          <w:kern w:val="0"/>
          <w:sz w:val="24"/>
          <w:highlight w:val="none"/>
          <w:shd w:val="clear" w:color="auto" w:fill="FFFFFF"/>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号楼</w:t>
      </w:r>
      <w:r>
        <w:rPr>
          <w:rFonts w:hint="eastAsia" w:eastAsia="微软雅黑"/>
          <w:color w:val="000000" w:themeColor="text1"/>
          <w:kern w:val="0"/>
          <w:sz w:val="24"/>
          <w:highlight w:val="none"/>
          <w:shd w:val="clear" w:color="auto" w:fill="FFFFFF"/>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楼会议室</w:t>
      </w:r>
    </w:p>
    <w:p w14:paraId="623ABADF">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响应文件接收人：</w:t>
      </w:r>
      <w:bookmarkEnd w:id="6"/>
      <w:r>
        <w:rPr>
          <w:rFonts w:hint="eastAsia" w:ascii="宋体" w:hAnsi="宋体" w:cs="宋体"/>
          <w:color w:val="000000" w:themeColor="text1"/>
          <w:kern w:val="0"/>
          <w:sz w:val="24"/>
          <w:highlight w:val="none"/>
          <w:shd w:val="clear" w:color="auto" w:fill="FFFFFF"/>
          <w14:textFill>
            <w14:solidFill>
              <w14:schemeClr w14:val="tx1"/>
            </w14:solidFill>
          </w14:textFill>
        </w:rPr>
        <w:t>庄崟（025-87231545</w:t>
      </w:r>
      <w:r>
        <w:rPr>
          <w:rFonts w:ascii="宋体" w:hAnsi="宋体" w:cs="宋体"/>
          <w:color w:val="000000" w:themeColor="text1"/>
          <w:kern w:val="0"/>
          <w:sz w:val="24"/>
          <w:highlight w:val="none"/>
          <w14:textFill>
            <w14:solidFill>
              <w14:schemeClr w14:val="tx1"/>
            </w14:solidFill>
          </w14:textFill>
        </w:rPr>
        <w:t>）</w:t>
      </w:r>
    </w:p>
    <w:p w14:paraId="021FDE59">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竞争性谈判时间：2024年</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10</w:t>
      </w:r>
      <w:r>
        <w:rPr>
          <w:rFonts w:hint="eastAsia" w:ascii="宋体" w:hAnsi="宋体" w:cs="宋体"/>
          <w:color w:val="000000" w:themeColor="text1"/>
          <w:kern w:val="0"/>
          <w:sz w:val="24"/>
          <w:highlight w:val="none"/>
          <w:shd w:val="clear" w:color="auto" w:fill="FFFFFF"/>
          <w14:textFill>
            <w14:solidFill>
              <w14:schemeClr w14:val="tx1"/>
            </w14:solidFill>
          </w14:textFill>
        </w:rPr>
        <w:t>月</w:t>
      </w:r>
      <w:r>
        <w:rPr>
          <w:rFonts w:hint="eastAsia" w:ascii="宋体" w:hAnsi="宋体" w:cs="宋体"/>
          <w:color w:val="000000" w:themeColor="text1"/>
          <w:kern w:val="0"/>
          <w:sz w:val="24"/>
          <w:highlight w:val="none"/>
          <w:shd w:val="clear" w:color="auto" w:fill="FFFFFF"/>
          <w:lang w:val="en-US" w:eastAsia="zh-CN"/>
          <w14:textFill>
            <w14:solidFill>
              <w14:schemeClr w14:val="tx1"/>
            </w14:solidFill>
          </w14:textFill>
        </w:rPr>
        <w:t>8</w:t>
      </w:r>
      <w:r>
        <w:rPr>
          <w:rFonts w:hint="eastAsia" w:ascii="宋体" w:hAnsi="宋体" w:cs="宋体"/>
          <w:color w:val="000000" w:themeColor="text1"/>
          <w:kern w:val="0"/>
          <w:sz w:val="24"/>
          <w:highlight w:val="none"/>
          <w:shd w:val="clear" w:color="auto" w:fill="FFFFFF"/>
          <w14:textFill>
            <w14:solidFill>
              <w14:schemeClr w14:val="tx1"/>
            </w14:solidFill>
          </w14:textFill>
        </w:rPr>
        <w:t>日14:30。</w:t>
      </w:r>
      <w:bookmarkEnd w:id="7"/>
    </w:p>
    <w:bookmarkEnd w:id="8"/>
    <w:p w14:paraId="1BA1ADF0">
      <w:pPr>
        <w:widowControl/>
        <w:spacing w:line="360" w:lineRule="auto"/>
        <w:ind w:firstLine="420"/>
        <w:jc w:val="left"/>
        <w:rPr>
          <w:color w:val="000000" w:themeColor="text1"/>
          <w:highlight w:val="none"/>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竞争性谈判地点：南京市玄武区运粮河西路</w:t>
      </w:r>
      <w:r>
        <w:rPr>
          <w:rFonts w:eastAsia="微软雅黑"/>
          <w:color w:val="000000" w:themeColor="text1"/>
          <w:kern w:val="0"/>
          <w:sz w:val="24"/>
          <w:highlight w:val="none"/>
          <w:shd w:val="clear" w:color="auto" w:fill="FFFFFF"/>
          <w14:textFill>
            <w14:solidFill>
              <w14:schemeClr w14:val="tx1"/>
            </w14:solidFill>
          </w14:textFill>
        </w:rPr>
        <w:t>101</w:t>
      </w:r>
      <w:r>
        <w:rPr>
          <w:rFonts w:hint="eastAsia" w:ascii="宋体" w:hAnsi="宋体" w:cs="宋体"/>
          <w:color w:val="000000" w:themeColor="text1"/>
          <w:kern w:val="0"/>
          <w:sz w:val="24"/>
          <w:highlight w:val="none"/>
          <w:shd w:val="clear" w:color="auto" w:fill="FFFFFF"/>
          <w14:textFill>
            <w14:solidFill>
              <w14:schemeClr w14:val="tx1"/>
            </w14:solidFill>
          </w14:textFill>
        </w:rPr>
        <w:t>号</w:t>
      </w:r>
      <w:r>
        <w:rPr>
          <w:rFonts w:hint="eastAsia" w:eastAsia="微软雅黑"/>
          <w:color w:val="000000" w:themeColor="text1"/>
          <w:kern w:val="0"/>
          <w:sz w:val="24"/>
          <w:highlight w:val="none"/>
          <w:shd w:val="clear" w:color="auto" w:fill="FFFFFF"/>
          <w14:textFill>
            <w14:solidFill>
              <w14:schemeClr w14:val="tx1"/>
            </w14:solidFill>
          </w14:textFill>
        </w:rPr>
        <w:t>1</w:t>
      </w:r>
      <w:r>
        <w:rPr>
          <w:rFonts w:hint="eastAsia" w:ascii="宋体" w:hAnsi="宋体" w:cs="宋体"/>
          <w:color w:val="000000" w:themeColor="text1"/>
          <w:kern w:val="0"/>
          <w:sz w:val="24"/>
          <w:highlight w:val="none"/>
          <w:shd w:val="clear" w:color="auto" w:fill="FFFFFF"/>
          <w14:textFill>
            <w14:solidFill>
              <w14:schemeClr w14:val="tx1"/>
            </w14:solidFill>
          </w14:textFill>
        </w:rPr>
        <w:t>号楼</w:t>
      </w:r>
      <w:r>
        <w:rPr>
          <w:rFonts w:hint="eastAsia" w:eastAsia="微软雅黑"/>
          <w:color w:val="000000" w:themeColor="text1"/>
          <w:kern w:val="0"/>
          <w:sz w:val="24"/>
          <w:highlight w:val="none"/>
          <w:shd w:val="clear" w:color="auto" w:fill="FFFFFF"/>
          <w14:textFill>
            <w14:solidFill>
              <w14:schemeClr w14:val="tx1"/>
            </w14:solidFill>
          </w14:textFill>
        </w:rPr>
        <w:t>4</w:t>
      </w:r>
      <w:r>
        <w:rPr>
          <w:rFonts w:hint="eastAsia" w:ascii="宋体" w:hAnsi="宋体" w:cs="宋体"/>
          <w:color w:val="000000" w:themeColor="text1"/>
          <w:kern w:val="0"/>
          <w:sz w:val="24"/>
          <w:highlight w:val="none"/>
          <w:shd w:val="clear" w:color="auto" w:fill="FFFFFF"/>
          <w14:textFill>
            <w14:solidFill>
              <w14:schemeClr w14:val="tx1"/>
            </w14:solidFill>
          </w14:textFill>
        </w:rPr>
        <w:t>楼会议室。</w:t>
      </w:r>
    </w:p>
    <w:bookmarkEnd w:id="9"/>
    <w:p w14:paraId="249A8D1C">
      <w:pPr>
        <w:widowControl/>
        <w:spacing w:line="360" w:lineRule="auto"/>
        <w:jc w:val="left"/>
        <w:rPr>
          <w:color w:val="000000" w:themeColor="text1"/>
          <w:highlight w:val="none"/>
          <w14:textFill>
            <w14:solidFill>
              <w14:schemeClr w14:val="tx1"/>
            </w14:solidFill>
          </w14:textFill>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六、发布公告的媒介</w:t>
      </w:r>
    </w:p>
    <w:p w14:paraId="58242923">
      <w:pPr>
        <w:widowControl/>
        <w:spacing w:line="360" w:lineRule="auto"/>
        <w:ind w:firstLine="420"/>
        <w:rPr>
          <w:color w:val="000000" w:themeColor="text1"/>
          <w:kern w:val="0"/>
          <w:sz w:val="24"/>
          <w:highlight w:val="none"/>
          <w:shd w:val="clear" w:color="auto" w:fill="FFFFFF"/>
          <w14:textFill>
            <w14:solidFill>
              <w14:schemeClr w14:val="tx1"/>
            </w14:solidFill>
          </w14:textFill>
        </w:rPr>
      </w:pPr>
      <w:r>
        <w:rPr>
          <w:rFonts w:hint="eastAsia"/>
          <w:color w:val="000000" w:themeColor="text1"/>
          <w:kern w:val="0"/>
          <w:sz w:val="24"/>
          <w:highlight w:val="none"/>
          <w:shd w:val="clear" w:color="auto" w:fill="FFFFFF"/>
          <w14:textFill>
            <w14:solidFill>
              <w14:schemeClr w14:val="tx1"/>
            </w14:solidFill>
          </w14:textFill>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任何采购信息，其他任何媒介上转载的、以我公司为采购主体的采购信息均为非法转载，均为无效</w:t>
      </w:r>
      <w:r>
        <w:rPr>
          <w:color w:val="000000" w:themeColor="text1"/>
          <w:kern w:val="0"/>
          <w:sz w:val="24"/>
          <w:highlight w:val="none"/>
          <w:shd w:val="clear" w:color="auto" w:fill="FFFFFF"/>
          <w14:textFill>
            <w14:solidFill>
              <w14:schemeClr w14:val="tx1"/>
            </w14:solidFill>
          </w14:textFill>
        </w:rPr>
        <w:t>。</w:t>
      </w:r>
    </w:p>
    <w:p w14:paraId="7E4B05DE">
      <w:pPr>
        <w:spacing w:line="360" w:lineRule="auto"/>
        <w:rPr>
          <w:rFonts w:hint="eastAsia" w:ascii="宋体" w:hAnsi="宋体" w:cs="宋体"/>
          <w:b/>
          <w:color w:val="000000"/>
          <w:kern w:val="0"/>
          <w:sz w:val="24"/>
          <w:highlight w:val="none"/>
        </w:rPr>
      </w:pPr>
      <w:r>
        <w:rPr>
          <w:rFonts w:hint="eastAsia" w:ascii="宋体" w:hAnsi="宋体" w:cs="宋体"/>
          <w:b/>
          <w:color w:val="000000"/>
          <w:kern w:val="0"/>
          <w:sz w:val="24"/>
          <w:highlight w:val="none"/>
        </w:rPr>
        <w:t>七、其他说明事项</w:t>
      </w:r>
    </w:p>
    <w:p w14:paraId="6C2991C7">
      <w:pPr>
        <w:rPr>
          <w:rFonts w:ascii="宋体" w:cs="宋体"/>
          <w:bCs/>
          <w:color w:val="000000"/>
          <w:sz w:val="24"/>
          <w:highlight w:val="none"/>
        </w:rPr>
      </w:pPr>
      <w:r>
        <w:rPr>
          <w:rFonts w:hint="eastAsia" w:ascii="宋体" w:cs="宋体"/>
          <w:bCs/>
          <w:color w:val="000000"/>
          <w:sz w:val="24"/>
          <w:highlight w:val="none"/>
        </w:rPr>
        <w:t>有关本次谈判的事项若存在变动或修改，敬请及时关注网上发布的信息更正公告。</w:t>
      </w:r>
    </w:p>
    <w:p w14:paraId="422E92B7">
      <w:pPr>
        <w:rPr>
          <w:highlight w:val="none"/>
        </w:rPr>
      </w:pPr>
    </w:p>
    <w:p w14:paraId="631B582A">
      <w:pPr>
        <w:keepNext/>
        <w:keepLines w:val="0"/>
        <w:pageBreakBefore w:val="0"/>
        <w:widowControl w:val="0"/>
        <w:kinsoku/>
        <w:wordWrap/>
        <w:overflowPunct/>
        <w:topLinePunct w:val="0"/>
        <w:autoSpaceDE/>
        <w:autoSpaceDN/>
        <w:bidi w:val="0"/>
        <w:adjustRightInd/>
        <w:snapToGrid/>
        <w:textAlignment w:val="auto"/>
        <w:outlineLvl w:val="9"/>
        <w:rPr>
          <w:color w:val="000000" w:themeColor="text1"/>
          <w:highlight w:val="none"/>
          <w14:textFill>
            <w14:solidFill>
              <w14:schemeClr w14:val="tx1"/>
            </w14:solidFill>
          </w14:textFill>
        </w:rPr>
      </w:pPr>
      <w:r>
        <w:rPr>
          <w:rFonts w:hint="eastAsia"/>
          <w:highlight w:val="none"/>
        </w:rPr>
        <w:t> </w:t>
      </w:r>
    </w:p>
    <w:p w14:paraId="2B122FC1">
      <w:pPr>
        <w:keepNext/>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ascii="宋体" w:cs="宋体"/>
          <w:bCs/>
          <w:color w:val="000000" w:themeColor="text1"/>
          <w:sz w:val="24"/>
          <w:szCs w:val="24"/>
          <w:highlight w:val="none"/>
          <w14:textFill>
            <w14:solidFill>
              <w14:schemeClr w14:val="tx1"/>
            </w14:solidFill>
          </w14:textFill>
        </w:rPr>
      </w:pPr>
      <w:r>
        <w:rPr>
          <w:rFonts w:hint="eastAsia" w:ascii="宋体" w:cs="宋体"/>
          <w:bCs/>
          <w:color w:val="000000" w:themeColor="text1"/>
          <w:sz w:val="24"/>
          <w:szCs w:val="24"/>
          <w:highlight w:val="none"/>
          <w14:textFill>
            <w14:solidFill>
              <w14:schemeClr w14:val="tx1"/>
            </w14:solidFill>
          </w14:textFill>
        </w:rPr>
        <w:t>江苏省广电有线信息网络股份有限公司</w:t>
      </w:r>
    </w:p>
    <w:p w14:paraId="73BED98D">
      <w:pPr>
        <w:keepNext/>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ascii="宋体" w:cs="宋体"/>
          <w:bCs/>
          <w:color w:val="000000" w:themeColor="text1"/>
          <w:sz w:val="24"/>
          <w:szCs w:val="24"/>
          <w:highlight w:val="none"/>
          <w14:textFill>
            <w14:solidFill>
              <w14:schemeClr w14:val="tx1"/>
            </w14:solidFill>
          </w14:textFill>
        </w:rPr>
      </w:pPr>
      <w:r>
        <w:rPr>
          <w:rFonts w:hint="eastAsia" w:ascii="宋体" w:cs="宋体"/>
          <w:bCs/>
          <w:color w:val="000000" w:themeColor="text1"/>
          <w:sz w:val="24"/>
          <w:szCs w:val="24"/>
          <w:highlight w:val="none"/>
          <w14:textFill>
            <w14:solidFill>
              <w14:schemeClr w14:val="tx1"/>
            </w14:solidFill>
          </w14:textFill>
        </w:rPr>
        <w:t>2024年9月</w:t>
      </w:r>
      <w:r>
        <w:rPr>
          <w:rFonts w:hint="eastAsia" w:ascii="宋体" w:cs="宋体"/>
          <w:bCs/>
          <w:color w:val="000000" w:themeColor="text1"/>
          <w:sz w:val="24"/>
          <w:szCs w:val="24"/>
          <w:highlight w:val="none"/>
          <w:lang w:val="en-US" w:eastAsia="zh-CN"/>
          <w14:textFill>
            <w14:solidFill>
              <w14:schemeClr w14:val="tx1"/>
            </w14:solidFill>
          </w14:textFill>
        </w:rPr>
        <w:t>24</w:t>
      </w:r>
      <w:r>
        <w:rPr>
          <w:rFonts w:hint="eastAsia" w:ascii="宋体" w:cs="宋体"/>
          <w:bCs/>
          <w:color w:val="000000" w:themeColor="text1"/>
          <w:sz w:val="24"/>
          <w:szCs w:val="24"/>
          <w:highlight w:val="none"/>
          <w14:textFill>
            <w14:solidFill>
              <w14:schemeClr w14:val="tx1"/>
            </w14:solidFill>
          </w14:textFill>
        </w:rPr>
        <w:t>日</w:t>
      </w:r>
    </w:p>
    <w:p w14:paraId="785438A5">
      <w:pPr>
        <w:widowControl/>
        <w:spacing w:line="360" w:lineRule="auto"/>
        <w:ind w:firstLine="480" w:firstLineChars="200"/>
        <w:jc w:val="left"/>
        <w:rPr>
          <w:rFonts w:hint="eastAsia" w:ascii="宋体" w:hAnsi="宋体"/>
          <w:color w:val="000000"/>
          <w:sz w:val="24"/>
        </w:rPr>
      </w:pPr>
      <w:r>
        <w:rPr>
          <w:rFonts w:ascii="宋体" w:hAnsi="宋体"/>
          <w:color w:val="000000"/>
          <w:sz w:val="24"/>
        </w:rPr>
        <w:br w:type="page"/>
      </w:r>
    </w:p>
    <w:p w14:paraId="75305EE0">
      <w:pPr>
        <w:pStyle w:val="3"/>
        <w:numPr>
          <w:ilvl w:val="0"/>
          <w:numId w:val="0"/>
        </w:numPr>
        <w:spacing w:before="0" w:after="0" w:line="360" w:lineRule="auto"/>
        <w:rPr>
          <w:b/>
          <w:color w:val="000000"/>
          <w:sz w:val="36"/>
          <w:szCs w:val="36"/>
        </w:rPr>
      </w:pPr>
      <w:bookmarkStart w:id="13" w:name="_Toc226969276"/>
      <w:bookmarkStart w:id="14" w:name="_Toc69378616"/>
      <w:bookmarkStart w:id="15" w:name="_Toc107822483"/>
      <w:bookmarkStart w:id="16" w:name="_Toc227057883"/>
      <w:r>
        <w:rPr>
          <w:rFonts w:hint="eastAsia"/>
          <w:b/>
          <w:color w:val="000000"/>
          <w:sz w:val="36"/>
          <w:szCs w:val="36"/>
        </w:rPr>
        <w:t>第二章</w:t>
      </w:r>
      <w:bookmarkStart w:id="17" w:name="_Hlk113980198"/>
      <w:r>
        <w:rPr>
          <w:rFonts w:hint="eastAsia"/>
          <w:b/>
          <w:color w:val="000000"/>
          <w:sz w:val="36"/>
          <w:szCs w:val="36"/>
        </w:rPr>
        <w:t xml:space="preserve"> 竞争性谈判</w:t>
      </w:r>
      <w:r>
        <w:rPr>
          <w:b/>
          <w:color w:val="000000"/>
          <w:sz w:val="36"/>
          <w:szCs w:val="36"/>
        </w:rPr>
        <w:t>须知</w:t>
      </w:r>
      <w:bookmarkEnd w:id="17"/>
    </w:p>
    <w:p w14:paraId="175ABB81">
      <w:pPr>
        <w:jc w:val="center"/>
        <w:rPr>
          <w:color w:val="000000"/>
          <w:sz w:val="28"/>
          <w:szCs w:val="28"/>
        </w:rPr>
      </w:pPr>
      <w:r>
        <w:rPr>
          <w:rFonts w:hint="eastAsia"/>
          <w:color w:val="000000"/>
          <w:sz w:val="28"/>
          <w:szCs w:val="28"/>
        </w:rPr>
        <w:t>供应商须知前附表</w:t>
      </w:r>
    </w:p>
    <w:p w14:paraId="5DB13D3A">
      <w:pPr>
        <w:spacing w:line="360" w:lineRule="auto"/>
        <w:ind w:firstLine="480" w:firstLineChars="200"/>
        <w:jc w:val="left"/>
        <w:rPr>
          <w:color w:val="000000"/>
          <w:sz w:val="28"/>
          <w:szCs w:val="28"/>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8"/>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18BA550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77834792">
            <w:pPr>
              <w:jc w:val="center"/>
              <w:rPr>
                <w:b/>
                <w:color w:val="000000"/>
                <w:sz w:val="24"/>
              </w:rPr>
            </w:pPr>
            <w:r>
              <w:rPr>
                <w:rFonts w:hint="eastAsia"/>
                <w:b/>
                <w:color w:val="000000"/>
                <w:sz w:val="24"/>
              </w:rPr>
              <w:t>序号</w:t>
            </w:r>
          </w:p>
        </w:tc>
        <w:tc>
          <w:tcPr>
            <w:tcW w:w="268" w:type="pct"/>
            <w:tcBorders>
              <w:top w:val="single" w:color="auto" w:sz="6" w:space="0"/>
            </w:tcBorders>
            <w:vAlign w:val="center"/>
          </w:tcPr>
          <w:p w14:paraId="4C943057">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14:paraId="00DDF270">
            <w:pPr>
              <w:jc w:val="center"/>
              <w:rPr>
                <w:b/>
                <w:color w:val="000000"/>
                <w:sz w:val="24"/>
              </w:rPr>
            </w:pPr>
            <w:r>
              <w:rPr>
                <w:rFonts w:hint="eastAsia"/>
                <w:b/>
                <w:color w:val="000000"/>
                <w:sz w:val="24"/>
              </w:rPr>
              <w:t>内容</w:t>
            </w:r>
          </w:p>
        </w:tc>
        <w:tc>
          <w:tcPr>
            <w:tcW w:w="3401" w:type="pct"/>
            <w:tcBorders>
              <w:top w:val="single" w:color="auto" w:sz="6" w:space="0"/>
            </w:tcBorders>
            <w:vAlign w:val="center"/>
          </w:tcPr>
          <w:p w14:paraId="2F58AF31">
            <w:pPr>
              <w:jc w:val="center"/>
              <w:rPr>
                <w:b/>
                <w:color w:val="000000"/>
                <w:sz w:val="24"/>
              </w:rPr>
            </w:pPr>
            <w:r>
              <w:rPr>
                <w:rFonts w:hint="eastAsia"/>
                <w:b/>
                <w:color w:val="000000"/>
                <w:sz w:val="24"/>
              </w:rPr>
              <w:t>说明与要求</w:t>
            </w:r>
          </w:p>
        </w:tc>
      </w:tr>
      <w:tr w14:paraId="2FA0594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1607C1C">
            <w:pPr>
              <w:jc w:val="center"/>
              <w:rPr>
                <w:color w:val="000000"/>
                <w:sz w:val="24"/>
              </w:rPr>
            </w:pPr>
            <w:r>
              <w:rPr>
                <w:color w:val="000000"/>
                <w:sz w:val="24"/>
              </w:rPr>
              <w:t>1</w:t>
            </w:r>
          </w:p>
        </w:tc>
        <w:tc>
          <w:tcPr>
            <w:tcW w:w="268" w:type="pct"/>
            <w:vAlign w:val="center"/>
          </w:tcPr>
          <w:p w14:paraId="06911689">
            <w:pPr>
              <w:jc w:val="center"/>
              <w:rPr>
                <w:color w:val="000000"/>
                <w:sz w:val="24"/>
              </w:rPr>
            </w:pPr>
            <w:r>
              <w:rPr>
                <w:color w:val="000000"/>
                <w:sz w:val="24"/>
              </w:rPr>
              <w:t>1.1</w:t>
            </w:r>
          </w:p>
        </w:tc>
        <w:tc>
          <w:tcPr>
            <w:tcW w:w="762" w:type="pct"/>
            <w:vAlign w:val="center"/>
          </w:tcPr>
          <w:p w14:paraId="5B61DFBF">
            <w:pPr>
              <w:jc w:val="center"/>
              <w:rPr>
                <w:color w:val="000000"/>
                <w:sz w:val="24"/>
              </w:rPr>
            </w:pPr>
            <w:r>
              <w:rPr>
                <w:rFonts w:hint="eastAsia"/>
                <w:color w:val="000000"/>
                <w:sz w:val="24"/>
              </w:rPr>
              <w:t>采购人</w:t>
            </w:r>
          </w:p>
        </w:tc>
        <w:tc>
          <w:tcPr>
            <w:tcW w:w="3401" w:type="pct"/>
            <w:vAlign w:val="center"/>
          </w:tcPr>
          <w:p w14:paraId="564DC185">
            <w:pPr>
              <w:rPr>
                <w:color w:val="000000"/>
                <w:sz w:val="24"/>
              </w:rPr>
            </w:pPr>
            <w:r>
              <w:rPr>
                <w:rFonts w:hint="eastAsia"/>
                <w:color w:val="000000"/>
                <w:sz w:val="24"/>
              </w:rPr>
              <w:t>江苏省广电有线信息网络股份有限公司，以下简称“采购人”</w:t>
            </w:r>
          </w:p>
        </w:tc>
      </w:tr>
      <w:tr w14:paraId="76CED8C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F30AEFA">
            <w:pPr>
              <w:jc w:val="center"/>
              <w:rPr>
                <w:color w:val="000000"/>
                <w:sz w:val="24"/>
              </w:rPr>
            </w:pPr>
            <w:r>
              <w:rPr>
                <w:color w:val="000000"/>
                <w:sz w:val="24"/>
              </w:rPr>
              <w:t>2</w:t>
            </w:r>
          </w:p>
        </w:tc>
        <w:tc>
          <w:tcPr>
            <w:tcW w:w="268" w:type="pct"/>
            <w:vAlign w:val="center"/>
          </w:tcPr>
          <w:p w14:paraId="0B3D408B">
            <w:pPr>
              <w:jc w:val="center"/>
              <w:rPr>
                <w:color w:val="000000"/>
                <w:sz w:val="24"/>
              </w:rPr>
            </w:pPr>
            <w:r>
              <w:rPr>
                <w:color w:val="000000"/>
                <w:sz w:val="24"/>
              </w:rPr>
              <w:t>1.2</w:t>
            </w:r>
          </w:p>
        </w:tc>
        <w:tc>
          <w:tcPr>
            <w:tcW w:w="762" w:type="pct"/>
            <w:vAlign w:val="center"/>
          </w:tcPr>
          <w:p w14:paraId="6FDD48CA">
            <w:pPr>
              <w:jc w:val="center"/>
              <w:rPr>
                <w:color w:val="000000"/>
                <w:sz w:val="24"/>
              </w:rPr>
            </w:pPr>
            <w:r>
              <w:rPr>
                <w:rFonts w:hint="eastAsia"/>
                <w:color w:val="000000"/>
                <w:sz w:val="24"/>
              </w:rPr>
              <w:t>代理机构</w:t>
            </w:r>
          </w:p>
        </w:tc>
        <w:tc>
          <w:tcPr>
            <w:tcW w:w="3401" w:type="pct"/>
            <w:vAlign w:val="center"/>
          </w:tcPr>
          <w:p w14:paraId="083B903B">
            <w:pPr>
              <w:rPr>
                <w:color w:val="000000"/>
                <w:sz w:val="24"/>
              </w:rPr>
            </w:pPr>
            <w:r>
              <w:rPr>
                <w:rFonts w:hint="eastAsia"/>
                <w:color w:val="000000"/>
                <w:sz w:val="24"/>
              </w:rPr>
              <w:t>本项目无代理机构</w:t>
            </w:r>
          </w:p>
        </w:tc>
      </w:tr>
      <w:tr w14:paraId="0A9DA7E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6BFD734A">
            <w:pPr>
              <w:jc w:val="center"/>
              <w:rPr>
                <w:color w:val="000000"/>
                <w:sz w:val="24"/>
              </w:rPr>
            </w:pPr>
            <w:r>
              <w:rPr>
                <w:color w:val="000000"/>
                <w:sz w:val="24"/>
              </w:rPr>
              <w:t>3</w:t>
            </w:r>
          </w:p>
        </w:tc>
        <w:tc>
          <w:tcPr>
            <w:tcW w:w="268" w:type="pct"/>
            <w:vAlign w:val="center"/>
          </w:tcPr>
          <w:p w14:paraId="3E9439B1">
            <w:pPr>
              <w:jc w:val="center"/>
              <w:rPr>
                <w:color w:val="000000"/>
                <w:sz w:val="24"/>
              </w:rPr>
            </w:pPr>
            <w:r>
              <w:rPr>
                <w:color w:val="000000"/>
                <w:sz w:val="24"/>
              </w:rPr>
              <w:t>1.3</w:t>
            </w:r>
          </w:p>
        </w:tc>
        <w:tc>
          <w:tcPr>
            <w:tcW w:w="762" w:type="pct"/>
            <w:vAlign w:val="center"/>
          </w:tcPr>
          <w:p w14:paraId="5A82BAFD">
            <w:pPr>
              <w:jc w:val="center"/>
              <w:rPr>
                <w:color w:val="000000"/>
                <w:sz w:val="24"/>
              </w:rPr>
            </w:pPr>
            <w:r>
              <w:rPr>
                <w:rFonts w:hint="eastAsia"/>
                <w:color w:val="000000"/>
                <w:sz w:val="24"/>
              </w:rPr>
              <w:t>合格的供应商</w:t>
            </w:r>
          </w:p>
        </w:tc>
        <w:tc>
          <w:tcPr>
            <w:tcW w:w="3401" w:type="pct"/>
            <w:vAlign w:val="center"/>
          </w:tcPr>
          <w:p w14:paraId="4F0FFCAC">
            <w:pPr>
              <w:rPr>
                <w:color w:val="000000"/>
                <w:sz w:val="24"/>
              </w:rPr>
            </w:pPr>
            <w:r>
              <w:rPr>
                <w:rFonts w:hint="eastAsia"/>
                <w:color w:val="000000"/>
                <w:sz w:val="24"/>
              </w:rPr>
              <w:t>见竞争性谈判文件第一章《竞争性谈判公告》</w:t>
            </w:r>
          </w:p>
        </w:tc>
      </w:tr>
      <w:tr w14:paraId="011B295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0D0D8D8">
            <w:pPr>
              <w:jc w:val="center"/>
              <w:rPr>
                <w:color w:val="000000"/>
                <w:sz w:val="24"/>
              </w:rPr>
            </w:pPr>
            <w:r>
              <w:rPr>
                <w:color w:val="000000"/>
                <w:sz w:val="24"/>
              </w:rPr>
              <w:t>4</w:t>
            </w:r>
          </w:p>
        </w:tc>
        <w:tc>
          <w:tcPr>
            <w:tcW w:w="268" w:type="pct"/>
            <w:vAlign w:val="center"/>
          </w:tcPr>
          <w:p w14:paraId="65BA70BD">
            <w:pPr>
              <w:jc w:val="center"/>
              <w:rPr>
                <w:color w:val="000000"/>
                <w:sz w:val="24"/>
              </w:rPr>
            </w:pPr>
            <w:r>
              <w:rPr>
                <w:color w:val="000000"/>
                <w:sz w:val="24"/>
              </w:rPr>
              <w:t>20.1</w:t>
            </w:r>
          </w:p>
        </w:tc>
        <w:tc>
          <w:tcPr>
            <w:tcW w:w="762" w:type="pct"/>
            <w:vAlign w:val="center"/>
          </w:tcPr>
          <w:p w14:paraId="79CCF0F5">
            <w:pPr>
              <w:jc w:val="center"/>
              <w:rPr>
                <w:color w:val="000000"/>
                <w:sz w:val="24"/>
              </w:rPr>
            </w:pPr>
            <w:r>
              <w:rPr>
                <w:rFonts w:hint="eastAsia"/>
                <w:color w:val="000000"/>
                <w:sz w:val="24"/>
              </w:rPr>
              <w:t>保密</w:t>
            </w:r>
          </w:p>
        </w:tc>
        <w:tc>
          <w:tcPr>
            <w:tcW w:w="3401" w:type="pct"/>
            <w:vAlign w:val="center"/>
          </w:tcPr>
          <w:p w14:paraId="5791B151">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45BDACF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BFD85AC">
            <w:pPr>
              <w:jc w:val="center"/>
              <w:rPr>
                <w:color w:val="000000"/>
                <w:sz w:val="24"/>
              </w:rPr>
            </w:pPr>
            <w:r>
              <w:rPr>
                <w:color w:val="000000"/>
                <w:sz w:val="24"/>
              </w:rPr>
              <w:t>5</w:t>
            </w:r>
          </w:p>
        </w:tc>
        <w:tc>
          <w:tcPr>
            <w:tcW w:w="268" w:type="pct"/>
            <w:vAlign w:val="center"/>
          </w:tcPr>
          <w:p w14:paraId="4830E4AB">
            <w:pPr>
              <w:jc w:val="center"/>
              <w:rPr>
                <w:color w:val="000000"/>
                <w:sz w:val="24"/>
              </w:rPr>
            </w:pPr>
            <w:r>
              <w:rPr>
                <w:color w:val="000000"/>
                <w:sz w:val="24"/>
              </w:rPr>
              <w:t>7.1</w:t>
            </w:r>
          </w:p>
          <w:p w14:paraId="1404780A">
            <w:pPr>
              <w:jc w:val="center"/>
              <w:rPr>
                <w:color w:val="000000"/>
                <w:sz w:val="24"/>
              </w:rPr>
            </w:pPr>
            <w:r>
              <w:rPr>
                <w:rFonts w:hint="eastAsia"/>
                <w:color w:val="000000"/>
                <w:sz w:val="24"/>
              </w:rPr>
              <w:t>2）</w:t>
            </w:r>
          </w:p>
        </w:tc>
        <w:tc>
          <w:tcPr>
            <w:tcW w:w="762" w:type="pct"/>
            <w:vAlign w:val="center"/>
          </w:tcPr>
          <w:p w14:paraId="767BCC35">
            <w:pPr>
              <w:jc w:val="center"/>
              <w:rPr>
                <w:color w:val="000000"/>
                <w:sz w:val="24"/>
              </w:rPr>
            </w:pPr>
            <w:r>
              <w:rPr>
                <w:rFonts w:hint="eastAsia"/>
                <w:color w:val="000000"/>
                <w:sz w:val="24"/>
              </w:rPr>
              <w:t>经第三方审计的财务报表</w:t>
            </w:r>
          </w:p>
        </w:tc>
        <w:tc>
          <w:tcPr>
            <w:tcW w:w="3401" w:type="pct"/>
            <w:vAlign w:val="center"/>
          </w:tcPr>
          <w:p w14:paraId="6E100596">
            <w:pPr>
              <w:rPr>
                <w:color w:val="000000"/>
                <w:sz w:val="24"/>
              </w:rPr>
            </w:pPr>
            <w:r>
              <w:rPr>
                <w:rFonts w:hint="eastAsia"/>
                <w:color w:val="000000"/>
                <w:sz w:val="24"/>
              </w:rPr>
              <w:t>见竞争性谈判文件第一章《竞争性谈判公告》</w:t>
            </w:r>
          </w:p>
        </w:tc>
      </w:tr>
      <w:tr w14:paraId="014961D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722D485">
            <w:pPr>
              <w:jc w:val="center"/>
              <w:rPr>
                <w:color w:val="000000"/>
                <w:sz w:val="24"/>
              </w:rPr>
            </w:pPr>
            <w:r>
              <w:rPr>
                <w:color w:val="000000"/>
                <w:sz w:val="24"/>
              </w:rPr>
              <w:t>6</w:t>
            </w:r>
          </w:p>
        </w:tc>
        <w:tc>
          <w:tcPr>
            <w:tcW w:w="268" w:type="pct"/>
            <w:vAlign w:val="center"/>
          </w:tcPr>
          <w:p w14:paraId="2A2F35F9">
            <w:pPr>
              <w:jc w:val="center"/>
              <w:rPr>
                <w:color w:val="000000"/>
                <w:sz w:val="24"/>
              </w:rPr>
            </w:pPr>
            <w:r>
              <w:rPr>
                <w:color w:val="000000"/>
                <w:sz w:val="24"/>
              </w:rPr>
              <w:t>7.1</w:t>
            </w:r>
          </w:p>
          <w:p w14:paraId="5BECD8DD">
            <w:pPr>
              <w:jc w:val="center"/>
              <w:rPr>
                <w:color w:val="000000"/>
                <w:sz w:val="24"/>
              </w:rPr>
            </w:pPr>
            <w:r>
              <w:rPr>
                <w:rFonts w:hint="eastAsia"/>
                <w:color w:val="000000"/>
                <w:sz w:val="24"/>
              </w:rPr>
              <w:t>3）</w:t>
            </w:r>
          </w:p>
        </w:tc>
        <w:tc>
          <w:tcPr>
            <w:tcW w:w="762" w:type="pct"/>
            <w:vAlign w:val="center"/>
          </w:tcPr>
          <w:p w14:paraId="03C7047E">
            <w:pPr>
              <w:jc w:val="center"/>
              <w:rPr>
                <w:color w:val="000000"/>
                <w:sz w:val="24"/>
              </w:rPr>
            </w:pPr>
            <w:r>
              <w:rPr>
                <w:rFonts w:hint="eastAsia"/>
                <w:color w:val="000000"/>
                <w:sz w:val="24"/>
              </w:rPr>
              <w:t>响应文件的技术部分中必须包括的内容</w:t>
            </w:r>
          </w:p>
        </w:tc>
        <w:tc>
          <w:tcPr>
            <w:tcW w:w="3401" w:type="pct"/>
          </w:tcPr>
          <w:p w14:paraId="646F3B28">
            <w:pPr>
              <w:rPr>
                <w:color w:val="000000"/>
                <w:sz w:val="24"/>
              </w:rPr>
            </w:pPr>
            <w:r>
              <w:rPr>
                <w:rFonts w:hint="eastAsia"/>
                <w:color w:val="000000"/>
                <w:sz w:val="24"/>
              </w:rPr>
              <w:t>对第五章《技术需求书》的内容逐项应答，逐项应答必须按照服务偏离表格式，对照竞争性谈判文件需求，依据供应商本身服务，如实逐条说明所提供产品及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27B1C2E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0071AFE">
            <w:pPr>
              <w:jc w:val="center"/>
              <w:rPr>
                <w:color w:val="000000"/>
                <w:sz w:val="24"/>
              </w:rPr>
            </w:pPr>
            <w:r>
              <w:rPr>
                <w:color w:val="000000"/>
                <w:sz w:val="24"/>
              </w:rPr>
              <w:t>7</w:t>
            </w:r>
          </w:p>
        </w:tc>
        <w:tc>
          <w:tcPr>
            <w:tcW w:w="268" w:type="pct"/>
            <w:vAlign w:val="center"/>
          </w:tcPr>
          <w:p w14:paraId="3BAA1FFE">
            <w:pPr>
              <w:jc w:val="center"/>
              <w:rPr>
                <w:color w:val="000000"/>
                <w:sz w:val="24"/>
              </w:rPr>
            </w:pPr>
            <w:r>
              <w:rPr>
                <w:color w:val="000000"/>
                <w:sz w:val="24"/>
              </w:rPr>
              <w:t>7.1</w:t>
            </w:r>
          </w:p>
          <w:p w14:paraId="4E007A26">
            <w:pPr>
              <w:jc w:val="center"/>
              <w:rPr>
                <w:color w:val="000000"/>
                <w:sz w:val="24"/>
              </w:rPr>
            </w:pPr>
            <w:r>
              <w:rPr>
                <w:rFonts w:hint="eastAsia"/>
                <w:color w:val="000000"/>
                <w:sz w:val="24"/>
              </w:rPr>
              <w:t>6）</w:t>
            </w:r>
          </w:p>
        </w:tc>
        <w:tc>
          <w:tcPr>
            <w:tcW w:w="762" w:type="pct"/>
            <w:vAlign w:val="center"/>
          </w:tcPr>
          <w:p w14:paraId="78536B3D">
            <w:pPr>
              <w:jc w:val="center"/>
              <w:rPr>
                <w:color w:val="000000"/>
                <w:sz w:val="24"/>
              </w:rPr>
            </w:pPr>
            <w:r>
              <w:rPr>
                <w:rFonts w:hint="eastAsia"/>
                <w:color w:val="000000"/>
                <w:sz w:val="24"/>
              </w:rPr>
              <w:t>合同文本的提供</w:t>
            </w:r>
          </w:p>
        </w:tc>
        <w:tc>
          <w:tcPr>
            <w:tcW w:w="3401" w:type="pct"/>
            <w:vAlign w:val="center"/>
          </w:tcPr>
          <w:p w14:paraId="4B6F9494">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7AACD0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76B7418">
            <w:pPr>
              <w:jc w:val="center"/>
              <w:rPr>
                <w:color w:val="000000"/>
                <w:sz w:val="24"/>
              </w:rPr>
            </w:pPr>
            <w:r>
              <w:rPr>
                <w:color w:val="000000"/>
                <w:sz w:val="24"/>
              </w:rPr>
              <w:t>8</w:t>
            </w:r>
          </w:p>
        </w:tc>
        <w:tc>
          <w:tcPr>
            <w:tcW w:w="268" w:type="pct"/>
            <w:vAlign w:val="center"/>
          </w:tcPr>
          <w:p w14:paraId="15087CDB">
            <w:pPr>
              <w:jc w:val="center"/>
              <w:rPr>
                <w:color w:val="000000"/>
                <w:sz w:val="24"/>
              </w:rPr>
            </w:pPr>
            <w:r>
              <w:rPr>
                <w:color w:val="000000"/>
                <w:sz w:val="24"/>
              </w:rPr>
              <w:t>8.1</w:t>
            </w:r>
          </w:p>
        </w:tc>
        <w:tc>
          <w:tcPr>
            <w:tcW w:w="762" w:type="pct"/>
            <w:vAlign w:val="center"/>
          </w:tcPr>
          <w:p w14:paraId="19AA0A2C">
            <w:pPr>
              <w:jc w:val="center"/>
              <w:rPr>
                <w:color w:val="000000"/>
                <w:sz w:val="24"/>
              </w:rPr>
            </w:pPr>
            <w:r>
              <w:rPr>
                <w:rFonts w:hint="eastAsia"/>
                <w:color w:val="000000"/>
                <w:sz w:val="24"/>
              </w:rPr>
              <w:t>响应文件的式样和签署</w:t>
            </w:r>
          </w:p>
        </w:tc>
        <w:tc>
          <w:tcPr>
            <w:tcW w:w="3401" w:type="pct"/>
            <w:vAlign w:val="center"/>
          </w:tcPr>
          <w:p w14:paraId="52B513D5">
            <w:pPr>
              <w:rPr>
                <w:color w:val="000000"/>
                <w:sz w:val="24"/>
              </w:rPr>
            </w:pPr>
            <w:r>
              <w:rPr>
                <w:rFonts w:hint="eastAsia"/>
                <w:color w:val="000000"/>
                <w:sz w:val="24"/>
              </w:rPr>
              <w:t>响应文件一式</w:t>
            </w:r>
            <w:r>
              <w:rPr>
                <w:color w:val="000000"/>
                <w:sz w:val="24"/>
              </w:rPr>
              <w:t>3</w:t>
            </w:r>
            <w:r>
              <w:rPr>
                <w:rFonts w:hint="eastAsia"/>
                <w:color w:val="000000"/>
                <w:sz w:val="24"/>
              </w:rPr>
              <w:t>份（</w:t>
            </w:r>
            <w:r>
              <w:rPr>
                <w:color w:val="000000"/>
                <w:sz w:val="24"/>
              </w:rPr>
              <w:t>1</w:t>
            </w:r>
            <w:r>
              <w:rPr>
                <w:rFonts w:hint="eastAsia"/>
                <w:color w:val="000000"/>
                <w:sz w:val="24"/>
              </w:rPr>
              <w:t>份正本、</w:t>
            </w:r>
            <w:r>
              <w:rPr>
                <w:color w:val="000000"/>
                <w:sz w:val="24"/>
              </w:rPr>
              <w:t>2</w:t>
            </w:r>
            <w:r>
              <w:rPr>
                <w:rFonts w:hint="eastAsia"/>
                <w:color w:val="000000"/>
                <w:sz w:val="24"/>
              </w:rPr>
              <w:t>份副本），电子版本一份（电子版文件内容必须可搜索，U盘形式）。</w:t>
            </w:r>
          </w:p>
        </w:tc>
      </w:tr>
      <w:tr w14:paraId="16AE81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8B44B47">
            <w:pPr>
              <w:jc w:val="center"/>
              <w:rPr>
                <w:color w:val="000000"/>
                <w:sz w:val="24"/>
              </w:rPr>
            </w:pPr>
            <w:r>
              <w:rPr>
                <w:color w:val="000000"/>
                <w:sz w:val="24"/>
              </w:rPr>
              <w:t>9</w:t>
            </w:r>
          </w:p>
        </w:tc>
        <w:tc>
          <w:tcPr>
            <w:tcW w:w="268" w:type="pct"/>
            <w:vAlign w:val="center"/>
          </w:tcPr>
          <w:p w14:paraId="199CAC8C">
            <w:pPr>
              <w:jc w:val="center"/>
              <w:rPr>
                <w:color w:val="000000"/>
                <w:sz w:val="24"/>
              </w:rPr>
            </w:pPr>
            <w:r>
              <w:rPr>
                <w:color w:val="000000"/>
                <w:sz w:val="24"/>
              </w:rPr>
              <w:t>9.1</w:t>
            </w:r>
          </w:p>
        </w:tc>
        <w:tc>
          <w:tcPr>
            <w:tcW w:w="762" w:type="pct"/>
            <w:vAlign w:val="center"/>
          </w:tcPr>
          <w:p w14:paraId="5DC6A8C6">
            <w:pPr>
              <w:jc w:val="center"/>
              <w:rPr>
                <w:color w:val="000000"/>
                <w:sz w:val="24"/>
              </w:rPr>
            </w:pPr>
            <w:r>
              <w:rPr>
                <w:rFonts w:hint="eastAsia"/>
                <w:color w:val="000000"/>
                <w:sz w:val="24"/>
              </w:rPr>
              <w:t>报价</w:t>
            </w:r>
          </w:p>
        </w:tc>
        <w:tc>
          <w:tcPr>
            <w:tcW w:w="3401" w:type="pct"/>
            <w:vAlign w:val="center"/>
          </w:tcPr>
          <w:p w14:paraId="1AE2048E">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E555DC1">
            <w:pPr>
              <w:rPr>
                <w:rFonts w:hint="eastAsia" w:ascii="宋体" w:hAnsi="宋体"/>
                <w:sz w:val="24"/>
              </w:rPr>
            </w:pPr>
            <w:r>
              <w:rPr>
                <w:rFonts w:hint="eastAsia"/>
                <w:color w:val="000000"/>
                <w:sz w:val="24"/>
              </w:rPr>
              <w:t>供应商必须保证所提供的服务能够完全满足采购人的项目建设需求，并充分考虑到采购人的售后服务需求。</w:t>
            </w:r>
          </w:p>
        </w:tc>
      </w:tr>
      <w:tr w14:paraId="75750A3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D2A816C">
            <w:pPr>
              <w:jc w:val="center"/>
              <w:rPr>
                <w:color w:val="000000"/>
                <w:sz w:val="24"/>
              </w:rPr>
            </w:pPr>
            <w:r>
              <w:rPr>
                <w:color w:val="000000"/>
                <w:sz w:val="24"/>
              </w:rPr>
              <w:t>10</w:t>
            </w:r>
          </w:p>
        </w:tc>
        <w:tc>
          <w:tcPr>
            <w:tcW w:w="268" w:type="pct"/>
            <w:vAlign w:val="center"/>
          </w:tcPr>
          <w:p w14:paraId="3A8B1A07">
            <w:pPr>
              <w:jc w:val="center"/>
              <w:rPr>
                <w:color w:val="000000"/>
                <w:sz w:val="24"/>
              </w:rPr>
            </w:pPr>
          </w:p>
        </w:tc>
        <w:tc>
          <w:tcPr>
            <w:tcW w:w="762" w:type="pct"/>
            <w:vAlign w:val="center"/>
          </w:tcPr>
          <w:p w14:paraId="3267FB32">
            <w:pPr>
              <w:jc w:val="center"/>
              <w:rPr>
                <w:color w:val="000000"/>
                <w:sz w:val="24"/>
              </w:rPr>
            </w:pPr>
            <w:r>
              <w:rPr>
                <w:rFonts w:hint="eastAsia"/>
                <w:color w:val="000000"/>
                <w:sz w:val="24"/>
              </w:rPr>
              <w:t>响应文件的盖章或签字</w:t>
            </w:r>
          </w:p>
        </w:tc>
        <w:tc>
          <w:tcPr>
            <w:tcW w:w="3401" w:type="pct"/>
            <w:vAlign w:val="center"/>
          </w:tcPr>
          <w:p w14:paraId="54BE0988">
            <w:pPr>
              <w:rPr>
                <w:color w:val="000000"/>
                <w:sz w:val="24"/>
              </w:rPr>
            </w:pPr>
            <w:r>
              <w:rPr>
                <w:rFonts w:hint="eastAsia"/>
                <w:color w:val="000000"/>
                <w:sz w:val="24"/>
              </w:rPr>
              <w:t>本条款增加规定：</w:t>
            </w:r>
          </w:p>
          <w:p w14:paraId="52DE9A86">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14:paraId="78F80726">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14:paraId="099B4A8E">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148FC76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7CA22AA8">
            <w:pPr>
              <w:jc w:val="center"/>
              <w:rPr>
                <w:color w:val="000000"/>
                <w:sz w:val="24"/>
              </w:rPr>
            </w:pPr>
            <w:r>
              <w:rPr>
                <w:color w:val="000000"/>
                <w:sz w:val="24"/>
              </w:rPr>
              <w:t>11</w:t>
            </w:r>
          </w:p>
        </w:tc>
        <w:tc>
          <w:tcPr>
            <w:tcW w:w="268" w:type="pct"/>
            <w:vAlign w:val="center"/>
          </w:tcPr>
          <w:p w14:paraId="6412D5B8">
            <w:pPr>
              <w:jc w:val="center"/>
              <w:rPr>
                <w:color w:val="000000"/>
                <w:sz w:val="24"/>
              </w:rPr>
            </w:pPr>
            <w:r>
              <w:rPr>
                <w:color w:val="000000"/>
                <w:sz w:val="24"/>
              </w:rPr>
              <w:t>10.1</w:t>
            </w:r>
          </w:p>
        </w:tc>
        <w:tc>
          <w:tcPr>
            <w:tcW w:w="762" w:type="pct"/>
            <w:vAlign w:val="center"/>
          </w:tcPr>
          <w:p w14:paraId="3E0106B1">
            <w:pPr>
              <w:jc w:val="center"/>
              <w:rPr>
                <w:color w:val="000000"/>
                <w:sz w:val="24"/>
              </w:rPr>
            </w:pPr>
            <w:r>
              <w:rPr>
                <w:rFonts w:hint="eastAsia"/>
                <w:color w:val="000000"/>
                <w:sz w:val="24"/>
              </w:rPr>
              <w:t>响应有效期</w:t>
            </w:r>
          </w:p>
        </w:tc>
        <w:tc>
          <w:tcPr>
            <w:tcW w:w="3401" w:type="pct"/>
            <w:vAlign w:val="center"/>
          </w:tcPr>
          <w:p w14:paraId="3F44B5DE">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14:paraId="0DD355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0DEAFF6">
            <w:pPr>
              <w:jc w:val="center"/>
              <w:rPr>
                <w:color w:val="000000"/>
                <w:sz w:val="24"/>
              </w:rPr>
            </w:pPr>
            <w:r>
              <w:rPr>
                <w:color w:val="000000"/>
                <w:sz w:val="24"/>
              </w:rPr>
              <w:t>12</w:t>
            </w:r>
          </w:p>
        </w:tc>
        <w:tc>
          <w:tcPr>
            <w:tcW w:w="268" w:type="pct"/>
            <w:vAlign w:val="center"/>
          </w:tcPr>
          <w:p w14:paraId="5017C523">
            <w:pPr>
              <w:jc w:val="center"/>
              <w:rPr>
                <w:color w:val="000000"/>
                <w:sz w:val="24"/>
              </w:rPr>
            </w:pPr>
            <w:r>
              <w:rPr>
                <w:color w:val="000000"/>
                <w:sz w:val="24"/>
              </w:rPr>
              <w:t>12.1</w:t>
            </w:r>
          </w:p>
        </w:tc>
        <w:tc>
          <w:tcPr>
            <w:tcW w:w="762" w:type="pct"/>
            <w:vAlign w:val="center"/>
          </w:tcPr>
          <w:p w14:paraId="28AFFE94">
            <w:pPr>
              <w:jc w:val="center"/>
              <w:rPr>
                <w:color w:val="000000"/>
                <w:sz w:val="24"/>
              </w:rPr>
            </w:pPr>
            <w:r>
              <w:rPr>
                <w:rFonts w:hint="eastAsia"/>
                <w:color w:val="000000"/>
                <w:sz w:val="24"/>
              </w:rPr>
              <w:t>递交响应文件截止时间、地点</w:t>
            </w:r>
          </w:p>
        </w:tc>
        <w:tc>
          <w:tcPr>
            <w:tcW w:w="3401" w:type="pct"/>
            <w:vAlign w:val="center"/>
          </w:tcPr>
          <w:p w14:paraId="4DC88FD7">
            <w:pPr>
              <w:rPr>
                <w:color w:val="000000"/>
                <w:sz w:val="24"/>
              </w:rPr>
            </w:pPr>
            <w:r>
              <w:rPr>
                <w:rFonts w:hint="eastAsia"/>
                <w:color w:val="000000"/>
                <w:sz w:val="24"/>
              </w:rPr>
              <w:t>见竞争性谈判文件第一章《竞争性谈判公告》</w:t>
            </w:r>
          </w:p>
        </w:tc>
      </w:tr>
      <w:tr w14:paraId="5D89F23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AED82EB">
            <w:pPr>
              <w:jc w:val="center"/>
              <w:rPr>
                <w:color w:val="000000"/>
                <w:sz w:val="24"/>
              </w:rPr>
            </w:pPr>
            <w:r>
              <w:rPr>
                <w:color w:val="000000"/>
                <w:sz w:val="24"/>
              </w:rPr>
              <w:t>1</w:t>
            </w:r>
            <w:r>
              <w:rPr>
                <w:rFonts w:hint="eastAsia"/>
                <w:color w:val="000000"/>
                <w:sz w:val="24"/>
              </w:rPr>
              <w:t>3</w:t>
            </w:r>
          </w:p>
        </w:tc>
        <w:tc>
          <w:tcPr>
            <w:tcW w:w="268" w:type="pct"/>
            <w:vAlign w:val="center"/>
          </w:tcPr>
          <w:p w14:paraId="6C3AE6D7">
            <w:pPr>
              <w:jc w:val="center"/>
              <w:rPr>
                <w:color w:val="000000"/>
                <w:sz w:val="24"/>
              </w:rPr>
            </w:pPr>
            <w:r>
              <w:rPr>
                <w:color w:val="000000"/>
                <w:sz w:val="24"/>
              </w:rPr>
              <w:t>17.5</w:t>
            </w:r>
          </w:p>
        </w:tc>
        <w:tc>
          <w:tcPr>
            <w:tcW w:w="762" w:type="pct"/>
            <w:vAlign w:val="center"/>
          </w:tcPr>
          <w:p w14:paraId="441B8A1A">
            <w:pPr>
              <w:jc w:val="center"/>
              <w:rPr>
                <w:color w:val="000000"/>
                <w:sz w:val="24"/>
              </w:rPr>
            </w:pPr>
            <w:r>
              <w:rPr>
                <w:rFonts w:hint="eastAsia"/>
                <w:color w:val="000000"/>
                <w:sz w:val="24"/>
              </w:rPr>
              <w:t>如发现下列情况之一的，其响应文件将可能被拒绝</w:t>
            </w:r>
          </w:p>
        </w:tc>
        <w:tc>
          <w:tcPr>
            <w:tcW w:w="3401" w:type="pct"/>
            <w:vAlign w:val="center"/>
          </w:tcPr>
          <w:p w14:paraId="16F20A71">
            <w:pPr>
              <w:rPr>
                <w:color w:val="000000"/>
                <w:sz w:val="24"/>
              </w:rPr>
            </w:pPr>
            <w:r>
              <w:rPr>
                <w:color w:val="000000"/>
                <w:sz w:val="24"/>
              </w:rPr>
              <w:t>1</w:t>
            </w:r>
            <w:r>
              <w:rPr>
                <w:rFonts w:hint="eastAsia"/>
                <w:color w:val="000000"/>
                <w:sz w:val="24"/>
              </w:rPr>
              <w:t>）不满足竞争性谈判文件对合格供应商的基本资质要求的；</w:t>
            </w:r>
          </w:p>
          <w:p w14:paraId="3022AE63">
            <w:pPr>
              <w:rPr>
                <w:color w:val="000000"/>
                <w:sz w:val="24"/>
              </w:rPr>
            </w:pPr>
            <w:r>
              <w:rPr>
                <w:rFonts w:hint="eastAsia"/>
                <w:color w:val="000000"/>
                <w:sz w:val="24"/>
              </w:rPr>
              <w:t>2）供应商在响应文件中提供的服务内容及质量不能实质性满足竞争性谈判文件要求或不能提供实质性满足证明的；</w:t>
            </w:r>
          </w:p>
          <w:p w14:paraId="4FF4FD5A">
            <w:pPr>
              <w:rPr>
                <w:color w:val="000000"/>
                <w:sz w:val="24"/>
              </w:rPr>
            </w:pPr>
            <w:r>
              <w:rPr>
                <w:rFonts w:hint="eastAsia"/>
                <w:color w:val="000000"/>
                <w:sz w:val="24"/>
              </w:rPr>
              <w:t>3）供应商在响应文件中对于第四章《合同格式》有任何负偏离的；</w:t>
            </w:r>
          </w:p>
          <w:p w14:paraId="0732216F">
            <w:pPr>
              <w:rPr>
                <w:color w:val="000000"/>
                <w:sz w:val="24"/>
              </w:rPr>
            </w:pPr>
            <w:r>
              <w:rPr>
                <w:rFonts w:hint="eastAsia"/>
                <w:color w:val="000000"/>
                <w:sz w:val="24"/>
              </w:rPr>
              <w:t>4）响应函、法人代表授权书不按照第六章《附件》的格式提供的；</w:t>
            </w:r>
          </w:p>
          <w:p w14:paraId="1EF1225C">
            <w:pPr>
              <w:rPr>
                <w:color w:val="000000"/>
                <w:sz w:val="24"/>
              </w:rPr>
            </w:pPr>
            <w:r>
              <w:rPr>
                <w:rFonts w:hint="eastAsia"/>
                <w:color w:val="000000"/>
                <w:sz w:val="24"/>
              </w:rPr>
              <w:t>5）资格证明文件不全、失效或不符合竞争性谈判文件要求的；</w:t>
            </w:r>
          </w:p>
          <w:p w14:paraId="724F99E5">
            <w:pPr>
              <w:rPr>
                <w:color w:val="000000"/>
                <w:sz w:val="24"/>
              </w:rPr>
            </w:pPr>
            <w:r>
              <w:rPr>
                <w:rFonts w:hint="eastAsia"/>
                <w:color w:val="000000"/>
                <w:sz w:val="24"/>
              </w:rPr>
              <w:t>6）响应文件无法定代表人签字，或签字人无法定代表人有效授权的；</w:t>
            </w:r>
          </w:p>
          <w:p w14:paraId="199C70B9">
            <w:pPr>
              <w:rPr>
                <w:color w:val="000000"/>
                <w:sz w:val="24"/>
              </w:rPr>
            </w:pPr>
            <w:r>
              <w:rPr>
                <w:rFonts w:hint="eastAsia"/>
                <w:color w:val="000000"/>
                <w:sz w:val="24"/>
              </w:rPr>
              <w:t>8）响应文件或响应有效期不足的；</w:t>
            </w:r>
          </w:p>
          <w:p w14:paraId="11035F24">
            <w:pPr>
              <w:rPr>
                <w:color w:val="000000"/>
                <w:sz w:val="24"/>
              </w:rPr>
            </w:pPr>
            <w:r>
              <w:rPr>
                <w:rFonts w:hint="eastAsia"/>
                <w:color w:val="000000"/>
                <w:sz w:val="24"/>
              </w:rPr>
              <w:t>8）响应文件中提供虚假或失实资料的；</w:t>
            </w:r>
          </w:p>
          <w:p w14:paraId="39C360C2">
            <w:pPr>
              <w:rPr>
                <w:color w:val="000000"/>
                <w:sz w:val="24"/>
              </w:rPr>
            </w:pPr>
            <w:r>
              <w:rPr>
                <w:rFonts w:hint="eastAsia"/>
                <w:color w:val="000000"/>
                <w:sz w:val="24"/>
              </w:rPr>
              <w:t>9）未按照竞争性谈判文件规定的方式领取竞争性谈判文件并按要求递交响应文件的；</w:t>
            </w:r>
          </w:p>
          <w:p w14:paraId="0C31B5C7">
            <w:pPr>
              <w:rPr>
                <w:color w:val="000000"/>
                <w:sz w:val="24"/>
              </w:rPr>
            </w:pPr>
            <w:r>
              <w:rPr>
                <w:color w:val="000000"/>
                <w:sz w:val="24"/>
              </w:rPr>
              <w:t>1</w:t>
            </w:r>
            <w:r>
              <w:rPr>
                <w:rFonts w:hint="eastAsia"/>
                <w:color w:val="000000"/>
                <w:sz w:val="24"/>
              </w:rPr>
              <w:t>0）评审委员会认为不能实质上满足竞争性谈判文件其它要求的；</w:t>
            </w:r>
          </w:p>
          <w:p w14:paraId="3E319D53">
            <w:pPr>
              <w:pStyle w:val="2"/>
              <w:rPr>
                <w:rFonts w:ascii="Arial" w:hAnsi="Arial"/>
                <w:color w:val="000000"/>
                <w:sz w:val="24"/>
              </w:rPr>
            </w:pPr>
            <w:r>
              <w:rPr>
                <w:color w:val="000000"/>
                <w:sz w:val="24"/>
                <w:szCs w:val="24"/>
              </w:rPr>
              <w:t>11</w:t>
            </w:r>
            <w:r>
              <w:rPr>
                <w:rFonts w:hint="eastAsia"/>
                <w:color w:val="000000"/>
                <w:sz w:val="24"/>
                <w:szCs w:val="24"/>
              </w:rPr>
              <w:t>）采购人享有采购后对采购设备进行测试的权力，若发现其与采购需求不符，可判定供应商响应文件无效。</w:t>
            </w:r>
          </w:p>
        </w:tc>
      </w:tr>
      <w:tr w14:paraId="5610611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42F34639">
            <w:pPr>
              <w:jc w:val="center"/>
              <w:rPr>
                <w:color w:val="000000"/>
                <w:sz w:val="24"/>
              </w:rPr>
            </w:pPr>
            <w:r>
              <w:rPr>
                <w:color w:val="000000"/>
                <w:sz w:val="24"/>
              </w:rPr>
              <w:t>1</w:t>
            </w:r>
            <w:r>
              <w:rPr>
                <w:rFonts w:hint="eastAsia"/>
                <w:color w:val="000000"/>
                <w:sz w:val="24"/>
              </w:rPr>
              <w:t>4</w:t>
            </w:r>
          </w:p>
        </w:tc>
        <w:tc>
          <w:tcPr>
            <w:tcW w:w="268" w:type="pct"/>
            <w:vAlign w:val="center"/>
          </w:tcPr>
          <w:p w14:paraId="494A1637">
            <w:pPr>
              <w:jc w:val="center"/>
              <w:rPr>
                <w:color w:val="000000"/>
                <w:sz w:val="24"/>
              </w:rPr>
            </w:pPr>
            <w:r>
              <w:rPr>
                <w:color w:val="000000"/>
                <w:sz w:val="24"/>
              </w:rPr>
              <w:t>19</w:t>
            </w:r>
          </w:p>
        </w:tc>
        <w:tc>
          <w:tcPr>
            <w:tcW w:w="762" w:type="pct"/>
            <w:vAlign w:val="center"/>
          </w:tcPr>
          <w:p w14:paraId="38ABFA98">
            <w:pPr>
              <w:jc w:val="center"/>
              <w:rPr>
                <w:color w:val="000000"/>
                <w:sz w:val="24"/>
              </w:rPr>
            </w:pPr>
            <w:r>
              <w:rPr>
                <w:rFonts w:hint="eastAsia"/>
                <w:color w:val="000000"/>
                <w:sz w:val="24"/>
              </w:rPr>
              <w:t>评审</w:t>
            </w:r>
          </w:p>
        </w:tc>
        <w:tc>
          <w:tcPr>
            <w:tcW w:w="3401" w:type="pct"/>
            <w:vAlign w:val="center"/>
          </w:tcPr>
          <w:p w14:paraId="1E5EEAF3">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54BB5D6B">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18C4EC16">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1D6A80CC">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ED1DD81">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14:paraId="3E51511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658EB0C0">
            <w:pPr>
              <w:jc w:val="center"/>
              <w:rPr>
                <w:color w:val="000000"/>
                <w:sz w:val="24"/>
              </w:rPr>
            </w:pPr>
            <w:r>
              <w:rPr>
                <w:color w:val="000000"/>
                <w:sz w:val="24"/>
              </w:rPr>
              <w:t>1</w:t>
            </w:r>
            <w:r>
              <w:rPr>
                <w:rFonts w:hint="eastAsia"/>
                <w:color w:val="000000"/>
                <w:sz w:val="24"/>
              </w:rPr>
              <w:t>5</w:t>
            </w:r>
          </w:p>
        </w:tc>
        <w:tc>
          <w:tcPr>
            <w:tcW w:w="268" w:type="pct"/>
            <w:vAlign w:val="center"/>
          </w:tcPr>
          <w:p w14:paraId="6F7E07B6">
            <w:pPr>
              <w:jc w:val="center"/>
              <w:rPr>
                <w:color w:val="000000"/>
                <w:sz w:val="24"/>
              </w:rPr>
            </w:pPr>
            <w:r>
              <w:rPr>
                <w:color w:val="000000"/>
                <w:sz w:val="24"/>
              </w:rPr>
              <w:t>22.1</w:t>
            </w:r>
          </w:p>
        </w:tc>
        <w:tc>
          <w:tcPr>
            <w:tcW w:w="762" w:type="pct"/>
            <w:vAlign w:val="center"/>
          </w:tcPr>
          <w:p w14:paraId="7E8784E5">
            <w:pPr>
              <w:jc w:val="center"/>
              <w:rPr>
                <w:color w:val="000000"/>
                <w:sz w:val="24"/>
              </w:rPr>
            </w:pPr>
            <w:r>
              <w:rPr>
                <w:rFonts w:hint="eastAsia"/>
                <w:color w:val="000000"/>
                <w:sz w:val="24"/>
              </w:rPr>
              <w:t>成交</w:t>
            </w:r>
          </w:p>
          <w:p w14:paraId="382C0419">
            <w:pPr>
              <w:jc w:val="center"/>
              <w:rPr>
                <w:color w:val="000000"/>
                <w:sz w:val="24"/>
              </w:rPr>
            </w:pPr>
            <w:r>
              <w:rPr>
                <w:rFonts w:hint="eastAsia"/>
                <w:color w:val="000000"/>
                <w:sz w:val="24"/>
              </w:rPr>
              <w:t>供应商数量</w:t>
            </w:r>
          </w:p>
        </w:tc>
        <w:tc>
          <w:tcPr>
            <w:tcW w:w="3401" w:type="pct"/>
            <w:vAlign w:val="center"/>
          </w:tcPr>
          <w:p w14:paraId="33C417E7">
            <w:pPr>
              <w:rPr>
                <w:color w:val="000000"/>
                <w:sz w:val="24"/>
              </w:rPr>
            </w:pPr>
            <w:r>
              <w:rPr>
                <w:rFonts w:hint="eastAsia"/>
                <w:color w:val="000000"/>
                <w:sz w:val="24"/>
              </w:rPr>
              <w:t>1名成交供应商。</w:t>
            </w:r>
          </w:p>
        </w:tc>
      </w:tr>
      <w:tr w14:paraId="576E6709">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2C58946B">
            <w:pPr>
              <w:jc w:val="center"/>
              <w:rPr>
                <w:color w:val="000000"/>
                <w:sz w:val="24"/>
              </w:rPr>
            </w:pPr>
            <w:r>
              <w:rPr>
                <w:color w:val="000000"/>
                <w:sz w:val="24"/>
              </w:rPr>
              <w:t>1</w:t>
            </w:r>
            <w:r>
              <w:rPr>
                <w:rFonts w:hint="eastAsia"/>
                <w:color w:val="000000"/>
                <w:sz w:val="24"/>
              </w:rPr>
              <w:t>6</w:t>
            </w:r>
          </w:p>
        </w:tc>
        <w:tc>
          <w:tcPr>
            <w:tcW w:w="268" w:type="pct"/>
            <w:vAlign w:val="center"/>
          </w:tcPr>
          <w:p w14:paraId="522C4D64">
            <w:pPr>
              <w:jc w:val="center"/>
              <w:rPr>
                <w:color w:val="000000"/>
                <w:sz w:val="24"/>
              </w:rPr>
            </w:pPr>
            <w:r>
              <w:rPr>
                <w:color w:val="000000"/>
                <w:sz w:val="24"/>
              </w:rPr>
              <w:t>24</w:t>
            </w:r>
          </w:p>
        </w:tc>
        <w:tc>
          <w:tcPr>
            <w:tcW w:w="762" w:type="pct"/>
            <w:vAlign w:val="center"/>
          </w:tcPr>
          <w:p w14:paraId="1B02F762">
            <w:pPr>
              <w:jc w:val="center"/>
              <w:rPr>
                <w:color w:val="000000"/>
                <w:sz w:val="24"/>
              </w:rPr>
            </w:pPr>
            <w:r>
              <w:rPr>
                <w:rFonts w:hint="eastAsia"/>
                <w:color w:val="000000"/>
                <w:sz w:val="24"/>
              </w:rPr>
              <w:t>签约</w:t>
            </w:r>
          </w:p>
        </w:tc>
        <w:tc>
          <w:tcPr>
            <w:tcW w:w="3401" w:type="pct"/>
            <w:vAlign w:val="center"/>
          </w:tcPr>
          <w:p w14:paraId="3DF61803">
            <w:pPr>
              <w:rPr>
                <w:color w:val="000000"/>
                <w:sz w:val="24"/>
              </w:rPr>
            </w:pPr>
            <w:r>
              <w:rPr>
                <w:rFonts w:hint="eastAsia"/>
                <w:color w:val="000000"/>
                <w:sz w:val="24"/>
              </w:rPr>
              <w:t>采购人与本次成交供应商按本竞争性谈判文件第四章合同格式签订合同。</w:t>
            </w:r>
          </w:p>
        </w:tc>
      </w:tr>
    </w:tbl>
    <w:p w14:paraId="177AE792">
      <w:pPr>
        <w:widowControl/>
        <w:jc w:val="left"/>
        <w:rPr>
          <w:color w:val="000000"/>
          <w:sz w:val="24"/>
        </w:rPr>
      </w:pPr>
      <w:r>
        <w:rPr>
          <w:color w:val="000000"/>
          <w:sz w:val="24"/>
        </w:rPr>
        <w:br w:type="page"/>
      </w:r>
    </w:p>
    <w:p w14:paraId="2ED68420">
      <w:pPr>
        <w:jc w:val="center"/>
        <w:rPr>
          <w:rFonts w:hint="eastAsia" w:ascii="宋体" w:hAnsi="宋体"/>
          <w:b/>
          <w:color w:val="000000"/>
          <w:sz w:val="32"/>
          <w:szCs w:val="32"/>
        </w:rPr>
      </w:pPr>
      <w:r>
        <w:rPr>
          <w:rFonts w:hint="eastAsia" w:ascii="宋体" w:hAnsi="宋体"/>
          <w:b/>
          <w:color w:val="000000"/>
          <w:sz w:val="32"/>
          <w:szCs w:val="32"/>
        </w:rPr>
        <w:t>供应商须知</w:t>
      </w:r>
    </w:p>
    <w:p w14:paraId="3A2F3342">
      <w:pPr>
        <w:spacing w:line="360" w:lineRule="auto"/>
        <w:rPr>
          <w:rFonts w:hint="eastAsia" w:ascii="宋体" w:hAnsi="宋体"/>
          <w:b/>
          <w:color w:val="000000"/>
          <w:sz w:val="28"/>
          <w:szCs w:val="28"/>
        </w:rPr>
      </w:pPr>
      <w:r>
        <w:rPr>
          <w:rFonts w:hint="eastAsia" w:ascii="宋体" w:hAnsi="宋体"/>
          <w:b/>
          <w:color w:val="000000"/>
          <w:sz w:val="28"/>
          <w:szCs w:val="28"/>
        </w:rPr>
        <w:t>一、说明</w:t>
      </w:r>
    </w:p>
    <w:p w14:paraId="03CF2BBF">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采购人及合格的供应商</w:t>
      </w:r>
    </w:p>
    <w:p w14:paraId="27B833D8">
      <w:pPr>
        <w:spacing w:line="360" w:lineRule="auto"/>
        <w:rPr>
          <w:rFonts w:hint="eastAsia" w:ascii="宋体" w:hAnsi="宋体"/>
          <w:color w:val="000000"/>
          <w:sz w:val="24"/>
        </w:rPr>
      </w:pPr>
      <w:r>
        <w:rPr>
          <w:rFonts w:ascii="宋体" w:hAnsi="宋体"/>
          <w:color w:val="000000"/>
          <w:sz w:val="24"/>
        </w:rPr>
        <w:t xml:space="preserve">1.1 </w:t>
      </w:r>
      <w:r>
        <w:rPr>
          <w:rFonts w:hint="eastAsia" w:ascii="宋体" w:hAnsi="宋体"/>
          <w:color w:val="000000"/>
          <w:sz w:val="24"/>
        </w:rPr>
        <w:t>采购人是指国内采购产品的国家机关、企业、事业单位或其它组织。本项目采购人（详见《供应商须知前附表》）。</w:t>
      </w:r>
    </w:p>
    <w:p w14:paraId="4F259D41">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合格的供应商（详见《供应商须知前附表》）。</w:t>
      </w:r>
    </w:p>
    <w:p w14:paraId="2BA8651C">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费用</w:t>
      </w:r>
    </w:p>
    <w:p w14:paraId="5F4BFB12">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供应商应承担所有与准备和参加竞争有关的费用。不论结果如何，采购人均无义务和责任承担这些费用。</w:t>
      </w:r>
    </w:p>
    <w:p w14:paraId="598AE4CE">
      <w:pPr>
        <w:spacing w:line="360" w:lineRule="auto"/>
        <w:rPr>
          <w:rFonts w:hint="eastAsia" w:ascii="宋体" w:hAnsi="宋体"/>
          <w:color w:val="000000"/>
          <w:sz w:val="28"/>
          <w:szCs w:val="28"/>
        </w:rPr>
      </w:pPr>
      <w:r>
        <w:rPr>
          <w:rFonts w:hint="eastAsia" w:ascii="宋体" w:hAnsi="宋体"/>
          <w:b/>
          <w:color w:val="000000"/>
          <w:sz w:val="28"/>
          <w:szCs w:val="28"/>
        </w:rPr>
        <w:t>二、竞争性谈判文件</w:t>
      </w:r>
    </w:p>
    <w:p w14:paraId="0B9FE848">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竞争性谈判文件构成</w:t>
      </w:r>
    </w:p>
    <w:p w14:paraId="01D1C053">
      <w:pPr>
        <w:spacing w:line="360" w:lineRule="auto"/>
        <w:rPr>
          <w:rFonts w:hint="eastAsia" w:ascii="宋体" w:hAnsi="宋体"/>
          <w:color w:val="000000"/>
          <w:sz w:val="24"/>
        </w:rPr>
      </w:pPr>
      <w:r>
        <w:rPr>
          <w:rFonts w:ascii="宋体" w:hAnsi="宋体"/>
          <w:color w:val="000000"/>
          <w:sz w:val="24"/>
        </w:rPr>
        <w:t xml:space="preserve">3.1 </w:t>
      </w:r>
      <w:r>
        <w:rPr>
          <w:rFonts w:hint="eastAsia" w:ascii="宋体" w:hAnsi="宋体"/>
          <w:color w:val="000000"/>
          <w:sz w:val="24"/>
        </w:rPr>
        <w:t>竞争性谈判文件共七章，内容如下：</w:t>
      </w:r>
    </w:p>
    <w:p w14:paraId="34118A26">
      <w:pPr>
        <w:spacing w:line="360" w:lineRule="auto"/>
        <w:rPr>
          <w:rFonts w:hint="eastAsia"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14:paraId="2DAAA57A">
      <w:pPr>
        <w:spacing w:line="360" w:lineRule="auto"/>
        <w:rPr>
          <w:rFonts w:hint="eastAsia" w:ascii="宋体" w:hAnsi="宋体"/>
          <w:color w:val="000000"/>
          <w:sz w:val="24"/>
        </w:rPr>
      </w:pPr>
      <w:r>
        <w:rPr>
          <w:rFonts w:hint="eastAsia" w:ascii="宋体" w:hAnsi="宋体"/>
          <w:color w:val="000000"/>
          <w:sz w:val="24"/>
        </w:rPr>
        <w:t>第二章竞争性谈判须知</w:t>
      </w:r>
    </w:p>
    <w:p w14:paraId="021026F1">
      <w:pPr>
        <w:spacing w:line="360" w:lineRule="auto"/>
        <w:rPr>
          <w:rFonts w:hint="eastAsia" w:ascii="宋体" w:hAnsi="宋体"/>
          <w:color w:val="000000"/>
          <w:sz w:val="24"/>
        </w:rPr>
      </w:pPr>
      <w:r>
        <w:rPr>
          <w:rFonts w:hint="eastAsia" w:ascii="宋体" w:hAnsi="宋体"/>
          <w:color w:val="000000"/>
          <w:sz w:val="24"/>
        </w:rPr>
        <w:t>第三章评审办法</w:t>
      </w:r>
    </w:p>
    <w:p w14:paraId="2DC1688F">
      <w:pPr>
        <w:spacing w:line="360" w:lineRule="auto"/>
        <w:rPr>
          <w:rFonts w:hint="eastAsia" w:ascii="宋体" w:hAnsi="宋体"/>
          <w:color w:val="000000"/>
          <w:sz w:val="24"/>
        </w:rPr>
      </w:pPr>
      <w:r>
        <w:rPr>
          <w:rFonts w:hint="eastAsia" w:ascii="宋体" w:hAnsi="宋体"/>
          <w:color w:val="000000"/>
          <w:sz w:val="24"/>
        </w:rPr>
        <w:t>第四章合同格式</w:t>
      </w:r>
    </w:p>
    <w:p w14:paraId="419C047A">
      <w:pPr>
        <w:spacing w:line="360" w:lineRule="auto"/>
        <w:rPr>
          <w:rFonts w:hint="eastAsia" w:ascii="宋体" w:hAnsi="宋体"/>
          <w:color w:val="000000"/>
          <w:sz w:val="24"/>
        </w:rPr>
      </w:pPr>
      <w:r>
        <w:rPr>
          <w:rFonts w:hint="eastAsia" w:ascii="宋体" w:hAnsi="宋体"/>
          <w:color w:val="000000"/>
          <w:sz w:val="24"/>
        </w:rPr>
        <w:t>第五章技术需求书</w:t>
      </w:r>
    </w:p>
    <w:p w14:paraId="3F6E4B58">
      <w:pPr>
        <w:spacing w:line="360" w:lineRule="auto"/>
        <w:rPr>
          <w:rFonts w:hint="eastAsia" w:ascii="宋体" w:hAnsi="宋体"/>
          <w:color w:val="000000"/>
          <w:sz w:val="24"/>
        </w:rPr>
      </w:pPr>
      <w:r>
        <w:rPr>
          <w:rFonts w:hint="eastAsia" w:ascii="宋体" w:hAnsi="宋体"/>
          <w:color w:val="000000"/>
          <w:sz w:val="24"/>
        </w:rPr>
        <w:t>第六章竞争性谈判响应文件格式</w:t>
      </w:r>
    </w:p>
    <w:p w14:paraId="2B11ABCB">
      <w:pPr>
        <w:spacing w:line="360" w:lineRule="auto"/>
        <w:rPr>
          <w:rFonts w:hint="eastAsia" w:ascii="宋体" w:hAnsi="宋体"/>
          <w:color w:val="000000"/>
          <w:sz w:val="24"/>
        </w:rPr>
      </w:pPr>
      <w:r>
        <w:rPr>
          <w:rFonts w:hint="eastAsia" w:ascii="宋体" w:hAnsi="宋体"/>
          <w:color w:val="000000"/>
          <w:sz w:val="24"/>
        </w:rPr>
        <w:t>第七章其他</w:t>
      </w:r>
    </w:p>
    <w:p w14:paraId="4956BE91">
      <w:pPr>
        <w:spacing w:line="360" w:lineRule="auto"/>
        <w:rPr>
          <w:rFonts w:hint="eastAsia" w:ascii="宋体" w:hAnsi="宋体"/>
          <w:color w:val="000000"/>
          <w:sz w:val="24"/>
        </w:rPr>
      </w:pPr>
      <w:r>
        <w:rPr>
          <w:rFonts w:ascii="宋体" w:hAnsi="宋体"/>
          <w:color w:val="000000"/>
          <w:sz w:val="24"/>
        </w:rPr>
        <w:t xml:space="preserve">3.2 </w:t>
      </w:r>
      <w:r>
        <w:rPr>
          <w:rFonts w:hint="eastAsia" w:ascii="宋体" w:hAnsi="宋体"/>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1B96276D">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竞争性谈判文件的澄清</w:t>
      </w:r>
    </w:p>
    <w:p w14:paraId="70DB96D7">
      <w:pPr>
        <w:spacing w:line="360" w:lineRule="auto"/>
        <w:rPr>
          <w:rFonts w:hint="eastAsia" w:ascii="宋体" w:hAnsi="宋体"/>
          <w:color w:val="000000"/>
          <w:sz w:val="24"/>
        </w:rPr>
      </w:pPr>
      <w:r>
        <w:rPr>
          <w:rFonts w:ascii="宋体" w:hAnsi="宋体"/>
          <w:color w:val="000000"/>
          <w:sz w:val="24"/>
        </w:rPr>
        <w:t xml:space="preserve">4.1 </w:t>
      </w:r>
      <w:r>
        <w:rPr>
          <w:rFonts w:hint="eastAsia" w:ascii="宋体" w:hAnsi="宋体"/>
          <w:color w:val="000000"/>
          <w:sz w:val="24"/>
        </w:rPr>
        <w:t>任何要求对竞争性谈判文件进行澄清的供应商，均应按规定的递交响应文件截止期五（</w:t>
      </w:r>
      <w:r>
        <w:rPr>
          <w:rFonts w:ascii="宋体" w:hAnsi="宋体"/>
          <w:color w:val="000000"/>
          <w:sz w:val="24"/>
        </w:rPr>
        <w:t>5</w:t>
      </w:r>
      <w:r>
        <w:rPr>
          <w:rFonts w:hint="eastAsia" w:ascii="宋体" w:hAnsi="宋体"/>
          <w:color w:val="000000"/>
          <w:sz w:val="24"/>
        </w:rPr>
        <w:t>）天前以书面形式通知采购人。逾期的澄清要求将不被接受。</w:t>
      </w:r>
    </w:p>
    <w:p w14:paraId="2377133C">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竞争性谈判文件的修改</w:t>
      </w:r>
    </w:p>
    <w:p w14:paraId="49B60FD2">
      <w:pPr>
        <w:spacing w:line="360" w:lineRule="auto"/>
        <w:rPr>
          <w:rFonts w:hint="eastAsia" w:ascii="宋体" w:hAnsi="宋体"/>
          <w:color w:val="000000"/>
          <w:sz w:val="24"/>
        </w:rPr>
      </w:pPr>
      <w:r>
        <w:rPr>
          <w:rFonts w:ascii="宋体" w:hAnsi="宋体"/>
          <w:color w:val="000000"/>
          <w:sz w:val="24"/>
        </w:rPr>
        <w:t>5.1</w:t>
      </w:r>
      <w:r>
        <w:rPr>
          <w:rFonts w:hint="eastAsia" w:ascii="宋体" w:hAnsi="宋体"/>
          <w:color w:val="000000"/>
          <w:sz w:val="24"/>
        </w:rPr>
        <w:t>为使供应商准备响应文件时有充分时间对竞争性谈判文件的修改部分进行研究，采购人可自行决定是否延长递交响应文件截止时间。</w:t>
      </w:r>
    </w:p>
    <w:p w14:paraId="5E12C190">
      <w:pPr>
        <w:spacing w:line="360" w:lineRule="auto"/>
        <w:rPr>
          <w:rFonts w:hint="eastAsia" w:ascii="宋体" w:hAnsi="宋体"/>
          <w:color w:val="000000"/>
          <w:sz w:val="24"/>
        </w:rPr>
      </w:pPr>
      <w:r>
        <w:rPr>
          <w:rFonts w:ascii="宋体" w:hAnsi="宋体"/>
          <w:color w:val="000000"/>
          <w:sz w:val="24"/>
        </w:rPr>
        <w:t xml:space="preserve">5.2 </w:t>
      </w:r>
      <w:r>
        <w:rPr>
          <w:rFonts w:hint="eastAsia" w:ascii="宋体" w:hAnsi="宋体"/>
          <w:color w:val="000000"/>
          <w:sz w:val="24"/>
        </w:rPr>
        <w:t>在递交响应文件截止时间（包含延长了的递交响应文件截止时间）五（</w:t>
      </w:r>
      <w:r>
        <w:rPr>
          <w:rFonts w:ascii="宋体" w:hAnsi="宋体"/>
          <w:color w:val="000000"/>
          <w:sz w:val="24"/>
        </w:rPr>
        <w:t>5</w:t>
      </w:r>
      <w:r>
        <w:rPr>
          <w:rFonts w:hint="eastAsia" w:ascii="宋体" w:hAnsi="宋体"/>
          <w:color w:val="000000"/>
          <w:sz w:val="24"/>
        </w:rPr>
        <w:t>）天以前的任何时候，无论出于何种原因，采购人可主动地或在解答供应商提出的澄清问题时对竞争性谈判文件进行修改。</w:t>
      </w:r>
    </w:p>
    <w:p w14:paraId="2063E19A">
      <w:pPr>
        <w:spacing w:line="360" w:lineRule="auto"/>
        <w:rPr>
          <w:rFonts w:hint="eastAsia" w:ascii="宋体" w:hAnsi="宋体"/>
          <w:color w:val="000000"/>
          <w:sz w:val="24"/>
        </w:rPr>
      </w:pPr>
      <w:r>
        <w:rPr>
          <w:rFonts w:ascii="宋体" w:hAnsi="宋体"/>
          <w:color w:val="000000"/>
          <w:sz w:val="24"/>
        </w:rPr>
        <w:t xml:space="preserve">5.3 </w:t>
      </w:r>
      <w:r>
        <w:rPr>
          <w:rFonts w:hint="eastAsia" w:ascii="宋体" w:hAnsi="宋体"/>
          <w:color w:val="000000"/>
          <w:sz w:val="24"/>
        </w:rPr>
        <w:t>竞争性谈判文件的修改将以书面形式在递交响应文件截止时间（包含延长了的递交响应文件截止时间）五（</w:t>
      </w:r>
      <w:r>
        <w:rPr>
          <w:rFonts w:ascii="宋体" w:hAnsi="宋体"/>
          <w:color w:val="000000"/>
          <w:sz w:val="24"/>
        </w:rPr>
        <w:t>5</w:t>
      </w:r>
      <w:r>
        <w:rPr>
          <w:rFonts w:hint="eastAsia" w:ascii="宋体" w:hAnsi="宋体"/>
          <w:color w:val="000000"/>
          <w:sz w:val="24"/>
        </w:rPr>
        <w:t>）天前通知参与竞争性谈判的供应商，并对其具有约束力。供应商在收到上述通知后，应立即向采购人回函确认已收到上述通知，但是供应商的回函不作为其收到上述通知的唯一证据。</w:t>
      </w:r>
    </w:p>
    <w:p w14:paraId="76261B31">
      <w:pPr>
        <w:spacing w:line="360" w:lineRule="auto"/>
        <w:rPr>
          <w:rFonts w:hint="eastAsia" w:ascii="宋体" w:hAnsi="宋体"/>
          <w:b/>
          <w:color w:val="000000"/>
          <w:sz w:val="28"/>
          <w:szCs w:val="28"/>
        </w:rPr>
      </w:pPr>
      <w:r>
        <w:rPr>
          <w:rFonts w:hint="eastAsia" w:ascii="宋体" w:hAnsi="宋体"/>
          <w:b/>
          <w:color w:val="000000"/>
          <w:sz w:val="28"/>
          <w:szCs w:val="28"/>
        </w:rPr>
        <w:t>三、响应文件的编制</w:t>
      </w:r>
    </w:p>
    <w:p w14:paraId="397CDACC">
      <w:pPr>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响应文件的语言</w:t>
      </w:r>
    </w:p>
    <w:p w14:paraId="7E3997C7">
      <w:pPr>
        <w:spacing w:line="360" w:lineRule="auto"/>
        <w:rPr>
          <w:rFonts w:hint="eastAsia" w:ascii="宋体" w:hAnsi="宋体"/>
          <w:color w:val="000000"/>
          <w:sz w:val="24"/>
        </w:rPr>
      </w:pPr>
      <w:r>
        <w:rPr>
          <w:rFonts w:ascii="宋体" w:hAnsi="宋体"/>
          <w:color w:val="000000"/>
          <w:sz w:val="24"/>
        </w:rPr>
        <w:t xml:space="preserve">6.1 </w:t>
      </w:r>
      <w:r>
        <w:rPr>
          <w:rFonts w:hint="eastAsia" w:ascii="宋体" w:hAnsi="宋体"/>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0198D54E">
      <w:pPr>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响应文件构成</w:t>
      </w:r>
    </w:p>
    <w:p w14:paraId="1289F968">
      <w:pPr>
        <w:spacing w:line="360" w:lineRule="auto"/>
        <w:rPr>
          <w:rFonts w:hint="eastAsia" w:ascii="宋体" w:hAnsi="宋体"/>
          <w:color w:val="000000"/>
          <w:sz w:val="24"/>
        </w:rPr>
      </w:pPr>
      <w:r>
        <w:rPr>
          <w:rFonts w:ascii="宋体" w:hAnsi="宋体"/>
          <w:color w:val="000000"/>
          <w:sz w:val="24"/>
        </w:rPr>
        <w:t xml:space="preserve">7.1 </w:t>
      </w:r>
      <w:r>
        <w:rPr>
          <w:rFonts w:hint="eastAsia" w:ascii="宋体" w:hAnsi="宋体"/>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hint="eastAsia" w:ascii="宋体" w:hAnsi="宋体"/>
          <w:color w:val="000000"/>
          <w:sz w:val="24"/>
        </w:rPr>
        <w:t>或服务的合格性和符合竞争性谈判文件规定的文件；竞争性谈判文件要求的其它文件；供应商认为其它需提供的文件。</w:t>
      </w:r>
    </w:p>
    <w:p w14:paraId="3B925711">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）响应文件基本文件</w:t>
      </w:r>
    </w:p>
    <w:p w14:paraId="24151D65">
      <w:pPr>
        <w:spacing w:line="360" w:lineRule="auto"/>
        <w:rPr>
          <w:rFonts w:hint="eastAsia" w:ascii="宋体" w:hAnsi="宋体"/>
          <w:color w:val="000000"/>
          <w:sz w:val="24"/>
        </w:rPr>
      </w:pPr>
      <w:r>
        <w:rPr>
          <w:rFonts w:hint="eastAsia" w:ascii="宋体" w:hAnsi="宋体"/>
          <w:color w:val="000000"/>
          <w:sz w:val="24"/>
        </w:rPr>
        <w:t>项目方案</w:t>
      </w:r>
    </w:p>
    <w:p w14:paraId="3CB36A83">
      <w:pPr>
        <w:spacing w:line="360" w:lineRule="auto"/>
        <w:rPr>
          <w:rFonts w:hint="eastAsia" w:ascii="宋体" w:hAnsi="宋体"/>
          <w:color w:val="000000"/>
          <w:sz w:val="24"/>
        </w:rPr>
      </w:pPr>
      <w:r>
        <w:rPr>
          <w:rFonts w:hint="eastAsia" w:ascii="宋体" w:hAnsi="宋体"/>
          <w:color w:val="000000"/>
          <w:sz w:val="24"/>
        </w:rPr>
        <w:t>响应函（格式见附件）</w:t>
      </w:r>
    </w:p>
    <w:p w14:paraId="0C3D9393">
      <w:pPr>
        <w:spacing w:line="360" w:lineRule="auto"/>
        <w:rPr>
          <w:rFonts w:hint="eastAsia" w:ascii="宋体" w:hAnsi="宋体"/>
          <w:color w:val="000000"/>
          <w:sz w:val="24"/>
        </w:rPr>
      </w:pPr>
      <w:r>
        <w:rPr>
          <w:rFonts w:hint="eastAsia" w:ascii="宋体" w:hAnsi="宋体"/>
          <w:color w:val="000000"/>
          <w:sz w:val="24"/>
        </w:rPr>
        <w:t>报价表（格式见附件）</w:t>
      </w:r>
    </w:p>
    <w:p w14:paraId="387CA741">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）供应商提交的证明其合格且中选后有能力履行合同的资格证明文件（详见《竞争性谈判公告》）以及供应商认为需提供的其它文件和证书</w:t>
      </w:r>
    </w:p>
    <w:p w14:paraId="38E0E8A0">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）证明供应商所提供的产品及</w:t>
      </w:r>
      <w:r>
        <w:rPr>
          <w:rFonts w:ascii="宋体" w:hAnsi="宋体"/>
          <w:color w:val="000000"/>
          <w:sz w:val="24"/>
        </w:rPr>
        <w:t>/</w:t>
      </w:r>
      <w:r>
        <w:rPr>
          <w:rFonts w:hint="eastAsia" w:ascii="宋体" w:hAnsi="宋体"/>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05CDA465">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）竞争性谈判文件要求的其它内容和文件</w:t>
      </w:r>
    </w:p>
    <w:p w14:paraId="5B0F3311">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）供应商认为其它需提供的文件或证书</w:t>
      </w:r>
    </w:p>
    <w:p w14:paraId="16579946">
      <w:pPr>
        <w:spacing w:line="360" w:lineRule="auto"/>
        <w:rPr>
          <w:rFonts w:hint="eastAsia" w:ascii="宋体" w:hAnsi="宋体"/>
          <w:color w:val="000000"/>
          <w:sz w:val="24"/>
        </w:rPr>
      </w:pPr>
      <w:r>
        <w:rPr>
          <w:rFonts w:ascii="宋体" w:hAnsi="宋体"/>
          <w:color w:val="000000"/>
          <w:sz w:val="24"/>
        </w:rPr>
        <w:t>6）合同文本的提供（详见《供应商须知前附表》）</w:t>
      </w:r>
    </w:p>
    <w:p w14:paraId="16E6EC79">
      <w:pPr>
        <w:spacing w:line="360" w:lineRule="auto"/>
        <w:rPr>
          <w:rFonts w:hint="eastAsia" w:ascii="宋体" w:hAnsi="宋体"/>
          <w:color w:val="000000"/>
          <w:sz w:val="24"/>
        </w:rPr>
      </w:pPr>
      <w:r>
        <w:rPr>
          <w:rFonts w:ascii="宋体" w:hAnsi="宋体"/>
          <w:color w:val="000000"/>
          <w:sz w:val="24"/>
        </w:rPr>
        <w:t xml:space="preserve">7.2 </w:t>
      </w:r>
      <w:r>
        <w:rPr>
          <w:rFonts w:hint="eastAsia" w:ascii="宋体" w:hAnsi="宋体"/>
          <w:color w:val="000000"/>
          <w:sz w:val="24"/>
        </w:rPr>
        <w:t>供应商提供的以上材料必须真实有效，任何一项的虚假将导致其响应文件被拒绝。</w:t>
      </w:r>
    </w:p>
    <w:p w14:paraId="2BC0B088">
      <w:pPr>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响应文件的式样和签署（详见《供应商须知前附表》）</w:t>
      </w:r>
    </w:p>
    <w:p w14:paraId="5128064E">
      <w:pPr>
        <w:spacing w:line="360" w:lineRule="auto"/>
        <w:rPr>
          <w:rFonts w:hint="eastAsia" w:ascii="宋体" w:hAnsi="宋体"/>
          <w:color w:val="000000"/>
          <w:sz w:val="24"/>
        </w:rPr>
      </w:pPr>
      <w:r>
        <w:rPr>
          <w:rFonts w:ascii="宋体" w:hAnsi="宋体"/>
          <w:color w:val="000000"/>
          <w:sz w:val="24"/>
        </w:rPr>
        <w:t xml:space="preserve">8.1 </w:t>
      </w:r>
      <w:r>
        <w:rPr>
          <w:rFonts w:hint="eastAsia" w:ascii="宋体" w:hAnsi="宋体"/>
          <w:color w:val="000000"/>
          <w:sz w:val="24"/>
        </w:rPr>
        <w:t>响应文件一式</w:t>
      </w:r>
      <w:r>
        <w:rPr>
          <w:rFonts w:ascii="宋体" w:hAnsi="宋体"/>
          <w:color w:val="000000"/>
          <w:sz w:val="24"/>
        </w:rPr>
        <w:t>3</w:t>
      </w:r>
      <w:r>
        <w:rPr>
          <w:rFonts w:hint="eastAsia" w:ascii="宋体" w:hAnsi="宋体"/>
          <w:color w:val="000000"/>
          <w:sz w:val="24"/>
        </w:rPr>
        <w:t>份（</w:t>
      </w:r>
      <w:r>
        <w:rPr>
          <w:rFonts w:ascii="宋体" w:hAnsi="宋体"/>
          <w:color w:val="000000"/>
          <w:sz w:val="24"/>
        </w:rPr>
        <w:t xml:space="preserve">1 </w:t>
      </w:r>
      <w:r>
        <w:rPr>
          <w:rFonts w:hint="eastAsia" w:ascii="宋体" w:hAnsi="宋体"/>
          <w:color w:val="000000"/>
          <w:sz w:val="24"/>
        </w:rPr>
        <w:t>份正本、</w:t>
      </w:r>
      <w:r>
        <w:rPr>
          <w:rFonts w:ascii="宋体" w:hAnsi="宋体"/>
          <w:color w:val="000000"/>
          <w:sz w:val="24"/>
        </w:rPr>
        <w:t>2</w:t>
      </w:r>
      <w:r>
        <w:rPr>
          <w:rFonts w:hint="eastAsia" w:ascii="宋体" w:hAnsi="宋体"/>
          <w:color w:val="000000"/>
          <w:sz w:val="24"/>
        </w:rPr>
        <w:t>份副本），电子版本一份。响应文件用中文编写，</w:t>
      </w:r>
      <w:r>
        <w:rPr>
          <w:rFonts w:ascii="宋体" w:hAnsi="宋体"/>
          <w:color w:val="000000"/>
          <w:sz w:val="24"/>
        </w:rPr>
        <w:t>A4</w:t>
      </w:r>
      <w:r>
        <w:rPr>
          <w:rFonts w:hint="eastAsia" w:ascii="宋体" w:hAnsi="宋体"/>
          <w:color w:val="000000"/>
          <w:sz w:val="24"/>
        </w:rPr>
        <w:t>纸胶装。其中正本必须注明“正本”字样，正、副本及电子版本内容必须保持一致，副本可以用复印件。若正本和副本或电子版本不符，以正本为准。</w:t>
      </w:r>
    </w:p>
    <w:p w14:paraId="1C607407">
      <w:pPr>
        <w:spacing w:line="360" w:lineRule="auto"/>
        <w:rPr>
          <w:rFonts w:hint="eastAsia" w:ascii="宋体" w:hAnsi="宋体"/>
          <w:color w:val="000000"/>
          <w:sz w:val="24"/>
        </w:rPr>
      </w:pPr>
      <w:r>
        <w:rPr>
          <w:rFonts w:ascii="宋体" w:hAnsi="宋体"/>
          <w:color w:val="000000"/>
          <w:sz w:val="24"/>
        </w:rPr>
        <w:t xml:space="preserve">8.2 </w:t>
      </w:r>
      <w:r>
        <w:rPr>
          <w:rFonts w:hint="eastAsia" w:ascii="宋体" w:hAnsi="宋体"/>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65DB9E72">
      <w:pPr>
        <w:spacing w:line="360" w:lineRule="auto"/>
        <w:rPr>
          <w:rFonts w:hint="eastAsia" w:ascii="宋体" w:hAnsi="宋体"/>
          <w:color w:val="000000"/>
          <w:sz w:val="24"/>
        </w:rPr>
      </w:pPr>
      <w:r>
        <w:rPr>
          <w:rFonts w:ascii="宋体" w:hAnsi="宋体"/>
          <w:color w:val="000000"/>
          <w:sz w:val="24"/>
        </w:rPr>
        <w:t xml:space="preserve">8.3 </w:t>
      </w:r>
      <w:r>
        <w:rPr>
          <w:rFonts w:hint="eastAsia" w:ascii="宋体" w:hAnsi="宋体"/>
          <w:color w:val="000000"/>
          <w:sz w:val="24"/>
        </w:rPr>
        <w:t>如供应商对竞争性谈判文件个别内容不能接受，应在响应文件中另做声明，否则将视为供应商接受竞争性谈判文件全部内容。</w:t>
      </w:r>
    </w:p>
    <w:p w14:paraId="63642ED0">
      <w:pPr>
        <w:spacing w:line="360" w:lineRule="auto"/>
        <w:rPr>
          <w:rFonts w:hint="eastAsia" w:ascii="宋体" w:hAnsi="宋体"/>
          <w:color w:val="000000"/>
          <w:sz w:val="24"/>
        </w:rPr>
      </w:pPr>
      <w:r>
        <w:rPr>
          <w:rFonts w:ascii="宋体" w:hAnsi="宋体"/>
          <w:color w:val="000000"/>
          <w:sz w:val="24"/>
        </w:rPr>
        <w:t xml:space="preserve">8.4 </w:t>
      </w:r>
      <w:r>
        <w:rPr>
          <w:rFonts w:hint="eastAsia" w:ascii="宋体" w:hAnsi="宋体"/>
          <w:color w:val="000000"/>
          <w:sz w:val="24"/>
        </w:rPr>
        <w:t>任何对响应文件行间插字、涂改和增删，必须由响应文件签字人签字或盖章后才有效。</w:t>
      </w:r>
    </w:p>
    <w:p w14:paraId="6647DFCA">
      <w:pPr>
        <w:spacing w:line="360" w:lineRule="auto"/>
        <w:rPr>
          <w:rFonts w:hint="eastAsia" w:ascii="宋体" w:hAnsi="宋体"/>
          <w:color w:val="000000"/>
          <w:sz w:val="24"/>
        </w:rPr>
      </w:pPr>
      <w:r>
        <w:rPr>
          <w:rFonts w:ascii="宋体" w:hAnsi="宋体"/>
          <w:color w:val="000000"/>
          <w:sz w:val="24"/>
        </w:rPr>
        <w:t xml:space="preserve">8.5 </w:t>
      </w:r>
      <w:r>
        <w:rPr>
          <w:rFonts w:hint="eastAsia" w:ascii="宋体" w:hAnsi="宋体"/>
          <w:color w:val="000000"/>
          <w:sz w:val="24"/>
        </w:rPr>
        <w:t>响应文件因字迹潦草或表达不清所引起的后果由供应商负责。</w:t>
      </w:r>
    </w:p>
    <w:p w14:paraId="0C288BCB">
      <w:pPr>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报价</w:t>
      </w:r>
    </w:p>
    <w:p w14:paraId="27369C0A">
      <w:pPr>
        <w:spacing w:line="360" w:lineRule="auto"/>
        <w:rPr>
          <w:rFonts w:hint="eastAsia" w:ascii="宋体" w:hAnsi="宋体"/>
          <w:color w:val="000000"/>
          <w:sz w:val="24"/>
        </w:rPr>
      </w:pPr>
      <w:r>
        <w:rPr>
          <w:rFonts w:ascii="宋体" w:hAnsi="宋体"/>
          <w:color w:val="000000"/>
          <w:sz w:val="24"/>
        </w:rPr>
        <w:t xml:space="preserve">9.1 </w:t>
      </w:r>
      <w:r>
        <w:rPr>
          <w:rFonts w:hint="eastAsia" w:ascii="宋体" w:hAnsi="宋体"/>
          <w:color w:val="000000"/>
          <w:sz w:val="24"/>
        </w:rPr>
        <w:t>报价：人民币报价。供应商应按照竞争性谈判文件要求，在响应文件中报出本项目包含的所有产品和服务的报价（格式见附件）。</w:t>
      </w:r>
    </w:p>
    <w:p w14:paraId="3D4B12E1">
      <w:pPr>
        <w:spacing w:line="360" w:lineRule="auto"/>
        <w:rPr>
          <w:rFonts w:hint="eastAsia" w:ascii="宋体" w:hAnsi="宋体"/>
          <w:color w:val="000000"/>
          <w:sz w:val="24"/>
        </w:rPr>
      </w:pPr>
      <w:r>
        <w:rPr>
          <w:rFonts w:ascii="宋体" w:hAnsi="宋体"/>
          <w:color w:val="000000"/>
          <w:sz w:val="24"/>
        </w:rPr>
        <w:t xml:space="preserve">9.2 </w:t>
      </w:r>
      <w:r>
        <w:rPr>
          <w:rFonts w:hint="eastAsia" w:ascii="宋体" w:hAnsi="宋体"/>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hint="eastAsia" w:ascii="宋体" w:hAnsi="宋体"/>
          <w:color w:val="000000"/>
          <w:sz w:val="24"/>
        </w:rPr>
        <w:t>服务相关的所有税费。供应商估算错误或漏项的风险一律由供应商承担。</w:t>
      </w:r>
    </w:p>
    <w:p w14:paraId="4102AE0A">
      <w:pPr>
        <w:spacing w:line="360" w:lineRule="auto"/>
        <w:rPr>
          <w:rFonts w:hint="eastAsia" w:ascii="宋体" w:hAnsi="宋体"/>
          <w:color w:val="000000"/>
          <w:sz w:val="24"/>
        </w:rPr>
      </w:pPr>
      <w:r>
        <w:rPr>
          <w:rFonts w:ascii="宋体" w:hAnsi="宋体"/>
          <w:color w:val="000000"/>
          <w:sz w:val="24"/>
        </w:rPr>
        <w:t xml:space="preserve">9.3 </w:t>
      </w:r>
      <w:r>
        <w:rPr>
          <w:rFonts w:hint="eastAsia" w:ascii="宋体" w:hAnsi="宋体"/>
          <w:color w:val="000000"/>
          <w:sz w:val="24"/>
        </w:rPr>
        <w:t>中选的价格在合同执行过程中是固定不变的，未经采购人许可不得以任何理由予以变更。以可调整或可选择的价格提交的响应文件将作为非响应性文件而予以拒绝。</w:t>
      </w:r>
    </w:p>
    <w:p w14:paraId="68E8D667">
      <w:pPr>
        <w:spacing w:line="360" w:lineRule="auto"/>
        <w:rPr>
          <w:rFonts w:hint="eastAsia" w:ascii="宋体" w:hAnsi="宋体"/>
          <w:color w:val="000000"/>
          <w:sz w:val="24"/>
        </w:rPr>
      </w:pPr>
      <w:r>
        <w:rPr>
          <w:rFonts w:ascii="宋体" w:hAnsi="宋体"/>
          <w:color w:val="000000"/>
          <w:sz w:val="24"/>
        </w:rPr>
        <w:t xml:space="preserve">9.4 </w:t>
      </w:r>
      <w:r>
        <w:rPr>
          <w:rFonts w:hint="eastAsia" w:ascii="宋体" w:hAnsi="宋体"/>
          <w:color w:val="000000"/>
          <w:sz w:val="24"/>
        </w:rPr>
        <w:t>供应商根据本须知规定将报价分成几部分并按附件格式填写分项报价表，是为了方便采购人对响应文件进行比较，并不限制采购人以上述任何条件订立合同的权利。</w:t>
      </w:r>
    </w:p>
    <w:p w14:paraId="473260C4">
      <w:pPr>
        <w:spacing w:line="360" w:lineRule="auto"/>
        <w:rPr>
          <w:rFonts w:hint="eastAsia" w:ascii="宋体" w:hAnsi="宋体"/>
          <w:color w:val="000000"/>
          <w:sz w:val="24"/>
        </w:rPr>
      </w:pPr>
      <w:r>
        <w:rPr>
          <w:rFonts w:ascii="宋体" w:hAnsi="宋体"/>
          <w:color w:val="000000"/>
          <w:sz w:val="24"/>
        </w:rPr>
        <w:t>10. 响应有效期（详见《供应商须知前附表》）</w:t>
      </w:r>
    </w:p>
    <w:p w14:paraId="5C1BCDBA">
      <w:pPr>
        <w:spacing w:line="360" w:lineRule="auto"/>
        <w:rPr>
          <w:rFonts w:hint="eastAsia" w:ascii="宋体" w:hAnsi="宋体"/>
          <w:color w:val="000000"/>
          <w:sz w:val="24"/>
        </w:rPr>
      </w:pPr>
      <w:r>
        <w:rPr>
          <w:rFonts w:ascii="宋体" w:hAnsi="宋体"/>
          <w:color w:val="000000"/>
          <w:sz w:val="24"/>
        </w:rPr>
        <w:t>10.1</w:t>
      </w:r>
      <w:r>
        <w:rPr>
          <w:rFonts w:hint="eastAsia" w:ascii="宋体" w:hAnsi="宋体"/>
          <w:color w:val="000000"/>
          <w:sz w:val="24"/>
        </w:rPr>
        <w:t>供应商递交的响应文件应在规定的递交响应文件截止日后的</w:t>
      </w:r>
      <w:r>
        <w:rPr>
          <w:rFonts w:ascii="宋体" w:hAnsi="宋体"/>
          <w:color w:val="000000"/>
          <w:sz w:val="24"/>
        </w:rPr>
        <w:t>90</w:t>
      </w:r>
      <w:r>
        <w:rPr>
          <w:rFonts w:hint="eastAsia" w:ascii="宋体" w:hAnsi="宋体"/>
          <w:color w:val="000000"/>
          <w:sz w:val="24"/>
        </w:rPr>
        <w:t>天内保持有效。有效期不满足要求的响应文件将被视为非响应性文件而予以拒绝。</w:t>
      </w:r>
    </w:p>
    <w:p w14:paraId="439E16E5">
      <w:pPr>
        <w:spacing w:line="360" w:lineRule="auto"/>
        <w:rPr>
          <w:rFonts w:hint="eastAsia" w:ascii="宋体" w:hAnsi="宋体"/>
          <w:color w:val="000000"/>
          <w:sz w:val="24"/>
        </w:rPr>
      </w:pPr>
      <w:r>
        <w:rPr>
          <w:rFonts w:ascii="宋体" w:hAnsi="宋体"/>
          <w:color w:val="000000"/>
          <w:sz w:val="24"/>
        </w:rPr>
        <w:t xml:space="preserve">10.2 </w:t>
      </w:r>
      <w:r>
        <w:rPr>
          <w:rFonts w:hint="eastAsia" w:ascii="宋体" w:hAnsi="宋体"/>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129078A">
      <w:pPr>
        <w:spacing w:line="360" w:lineRule="auto"/>
        <w:rPr>
          <w:rFonts w:hint="eastAsia" w:ascii="宋体" w:hAnsi="宋体"/>
          <w:b/>
          <w:color w:val="000000"/>
          <w:sz w:val="28"/>
          <w:szCs w:val="28"/>
        </w:rPr>
      </w:pPr>
      <w:r>
        <w:rPr>
          <w:rFonts w:hint="eastAsia" w:ascii="宋体" w:hAnsi="宋体"/>
          <w:b/>
          <w:color w:val="000000"/>
          <w:sz w:val="28"/>
          <w:szCs w:val="28"/>
        </w:rPr>
        <w:t>四、响应文件的递交</w:t>
      </w:r>
    </w:p>
    <w:p w14:paraId="2ECFF17C">
      <w:pPr>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响应文件的密封和标记</w:t>
      </w:r>
    </w:p>
    <w:p w14:paraId="6A9CF00D">
      <w:pPr>
        <w:spacing w:line="360" w:lineRule="auto"/>
        <w:rPr>
          <w:rFonts w:hint="eastAsia" w:ascii="宋体" w:hAnsi="宋体"/>
          <w:color w:val="000000"/>
          <w:sz w:val="24"/>
        </w:rPr>
      </w:pPr>
      <w:r>
        <w:rPr>
          <w:rFonts w:ascii="宋体" w:hAnsi="宋体"/>
          <w:color w:val="000000"/>
          <w:sz w:val="24"/>
        </w:rPr>
        <w:t xml:space="preserve">11.1 </w:t>
      </w:r>
      <w:r>
        <w:rPr>
          <w:rFonts w:hint="eastAsia" w:ascii="宋体" w:hAnsi="宋体"/>
          <w:color w:val="000000"/>
          <w:sz w:val="24"/>
        </w:rPr>
        <w:t>供应商应将响应文件正本和所有的副本、电子文档分开密封装在单独的信封中，且在信封上标明“正本”、“副本”、“电子文档”字样。</w:t>
      </w:r>
    </w:p>
    <w:p w14:paraId="75014CA0">
      <w:pPr>
        <w:spacing w:line="360" w:lineRule="auto"/>
        <w:rPr>
          <w:rFonts w:hint="eastAsia" w:ascii="宋体" w:hAnsi="宋体"/>
          <w:color w:val="000000"/>
          <w:sz w:val="24"/>
        </w:rPr>
      </w:pPr>
      <w:r>
        <w:rPr>
          <w:rFonts w:ascii="宋体" w:hAnsi="宋体"/>
          <w:color w:val="000000"/>
          <w:sz w:val="24"/>
        </w:rPr>
        <w:t>11.2</w:t>
      </w:r>
      <w:r>
        <w:rPr>
          <w:rFonts w:hint="eastAsia" w:ascii="宋体" w:hAnsi="宋体"/>
          <w:color w:val="000000"/>
          <w:sz w:val="24"/>
        </w:rPr>
        <w:t>内外层信封均应：</w:t>
      </w:r>
    </w:p>
    <w:p w14:paraId="1D025588">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）标明递交至“</w:t>
      </w:r>
      <w:r>
        <w:rPr>
          <w:rFonts w:ascii="宋体" w:hAnsi="宋体"/>
          <w:color w:val="000000"/>
          <w:sz w:val="24"/>
        </w:rPr>
        <w:t>采购公告</w:t>
      </w:r>
      <w:r>
        <w:rPr>
          <w:rFonts w:hint="eastAsia" w:ascii="宋体" w:hAnsi="宋体"/>
          <w:color w:val="000000"/>
          <w:sz w:val="24"/>
        </w:rPr>
        <w:t>”中指明的地点。</w:t>
      </w:r>
    </w:p>
    <w:p w14:paraId="652241F5">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）注明“</w:t>
      </w:r>
      <w:r>
        <w:rPr>
          <w:rFonts w:ascii="宋体" w:hAnsi="宋体"/>
          <w:color w:val="000000"/>
          <w:sz w:val="24"/>
        </w:rPr>
        <w:t>采购公告</w:t>
      </w:r>
      <w:r>
        <w:rPr>
          <w:rFonts w:hint="eastAsia" w:ascii="宋体" w:hAnsi="宋体"/>
          <w:color w:val="000000"/>
          <w:sz w:val="24"/>
        </w:rPr>
        <w:t>”中指明的项目名称、编号和“在”之前不得启封的字样，并填入“</w:t>
      </w:r>
      <w:r>
        <w:rPr>
          <w:rFonts w:ascii="宋体" w:hAnsi="宋体"/>
          <w:color w:val="000000"/>
          <w:sz w:val="24"/>
        </w:rPr>
        <w:t>采购公告</w:t>
      </w:r>
      <w:r>
        <w:rPr>
          <w:rFonts w:hint="eastAsia" w:ascii="宋体" w:hAnsi="宋体"/>
          <w:color w:val="000000"/>
          <w:sz w:val="24"/>
        </w:rPr>
        <w:t>”中规定的日期和时间。</w:t>
      </w:r>
    </w:p>
    <w:p w14:paraId="35D45EB1">
      <w:pPr>
        <w:spacing w:line="360" w:lineRule="auto"/>
        <w:rPr>
          <w:rFonts w:hint="eastAsia" w:ascii="宋体" w:hAnsi="宋体"/>
          <w:color w:val="000000"/>
          <w:sz w:val="24"/>
        </w:rPr>
      </w:pPr>
      <w:r>
        <w:rPr>
          <w:rFonts w:ascii="宋体" w:hAnsi="宋体"/>
          <w:color w:val="000000"/>
          <w:sz w:val="24"/>
        </w:rPr>
        <w:t xml:space="preserve">11.3 </w:t>
      </w:r>
      <w:r>
        <w:rPr>
          <w:rFonts w:hint="eastAsia" w:ascii="宋体" w:hAnsi="宋体"/>
          <w:color w:val="000000"/>
          <w:sz w:val="24"/>
        </w:rPr>
        <w:t>内层信封应写明供应商名称和地址，以便若其响应文件被宣布为“迟到”响应文件时，能原封退回。</w:t>
      </w:r>
    </w:p>
    <w:p w14:paraId="5BA88F74">
      <w:pPr>
        <w:spacing w:line="360" w:lineRule="auto"/>
        <w:rPr>
          <w:rFonts w:hint="eastAsia" w:ascii="宋体" w:hAnsi="宋体"/>
          <w:color w:val="000000"/>
          <w:sz w:val="24"/>
        </w:rPr>
      </w:pPr>
      <w:r>
        <w:rPr>
          <w:rFonts w:ascii="宋体" w:hAnsi="宋体"/>
          <w:color w:val="000000"/>
          <w:sz w:val="24"/>
        </w:rPr>
        <w:t xml:space="preserve">11.4 </w:t>
      </w:r>
      <w:r>
        <w:rPr>
          <w:rFonts w:hint="eastAsia" w:ascii="宋体" w:hAnsi="宋体"/>
          <w:color w:val="000000"/>
          <w:sz w:val="24"/>
        </w:rPr>
        <w:t>如果外层信封未按本须知第</w:t>
      </w:r>
      <w:r>
        <w:rPr>
          <w:rFonts w:ascii="宋体" w:hAnsi="宋体"/>
          <w:color w:val="000000"/>
          <w:sz w:val="24"/>
        </w:rPr>
        <w:t>12.2</w:t>
      </w:r>
      <w:r>
        <w:rPr>
          <w:rFonts w:hint="eastAsia" w:ascii="宋体" w:hAnsi="宋体"/>
          <w:color w:val="000000"/>
          <w:sz w:val="24"/>
        </w:rPr>
        <w:t>条要求加写标记和密封，采购人对误投或过早启封概不负责。</w:t>
      </w:r>
    </w:p>
    <w:p w14:paraId="0A9D2CFE">
      <w:pPr>
        <w:spacing w:line="360" w:lineRule="auto"/>
        <w:rPr>
          <w:rFonts w:hint="eastAsia" w:ascii="宋体" w:hAnsi="宋体"/>
          <w:color w:val="000000"/>
          <w:sz w:val="24"/>
        </w:rPr>
      </w:pPr>
      <w:r>
        <w:rPr>
          <w:rFonts w:ascii="宋体" w:hAnsi="宋体"/>
          <w:color w:val="000000"/>
          <w:sz w:val="24"/>
        </w:rPr>
        <w:t xml:space="preserve">11.5 </w:t>
      </w:r>
      <w:r>
        <w:rPr>
          <w:rFonts w:hint="eastAsia" w:ascii="宋体" w:hAnsi="宋体"/>
          <w:color w:val="000000"/>
          <w:sz w:val="24"/>
        </w:rPr>
        <w:t>供应商须由其合法的授权人在递交响应文件截止时间之前将响应文件送达采购人并签字确认。供应商须承担因未送达并签字所造成的一切责任。</w:t>
      </w:r>
    </w:p>
    <w:p w14:paraId="1A8BA139">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递交响应文件截止时间</w:t>
      </w:r>
    </w:p>
    <w:p w14:paraId="614572A0">
      <w:pPr>
        <w:spacing w:line="360" w:lineRule="auto"/>
        <w:rPr>
          <w:rFonts w:hint="eastAsia" w:ascii="宋体" w:hAnsi="宋体"/>
          <w:color w:val="000000"/>
          <w:sz w:val="24"/>
        </w:rPr>
      </w:pPr>
      <w:r>
        <w:rPr>
          <w:rFonts w:ascii="宋体" w:hAnsi="宋体"/>
          <w:color w:val="000000"/>
          <w:sz w:val="24"/>
        </w:rPr>
        <w:t xml:space="preserve">12.1 </w:t>
      </w:r>
      <w:r>
        <w:rPr>
          <w:rFonts w:hint="eastAsia" w:ascii="宋体" w:hAnsi="宋体"/>
          <w:color w:val="000000"/>
          <w:sz w:val="24"/>
        </w:rPr>
        <w:t>采购人收到响应文件的时间不迟于（详见《竞争性谈判公告》）</w:t>
      </w:r>
    </w:p>
    <w:p w14:paraId="7898F817">
      <w:pPr>
        <w:spacing w:line="360" w:lineRule="auto"/>
        <w:rPr>
          <w:rFonts w:hint="eastAsia" w:ascii="宋体" w:hAnsi="宋体"/>
          <w:color w:val="000000"/>
          <w:sz w:val="24"/>
        </w:rPr>
      </w:pPr>
      <w:r>
        <w:rPr>
          <w:rFonts w:ascii="宋体" w:hAnsi="宋体"/>
          <w:color w:val="000000"/>
          <w:sz w:val="24"/>
        </w:rPr>
        <w:t xml:space="preserve">12.2 </w:t>
      </w:r>
      <w:r>
        <w:rPr>
          <w:rFonts w:hint="eastAsia" w:ascii="宋体" w:hAnsi="宋体"/>
          <w:color w:val="000000"/>
          <w:sz w:val="24"/>
        </w:rPr>
        <w:t>采购人可以按本须知第</w:t>
      </w:r>
      <w:r>
        <w:rPr>
          <w:rFonts w:ascii="宋体" w:hAnsi="宋体"/>
          <w:color w:val="000000"/>
          <w:sz w:val="24"/>
        </w:rPr>
        <w:t>5</w:t>
      </w:r>
      <w:r>
        <w:rPr>
          <w:rFonts w:hint="eastAsia" w:ascii="宋体" w:hAnsi="宋体"/>
          <w:color w:val="000000"/>
          <w:sz w:val="24"/>
        </w:rPr>
        <w:t>条规定，通过修改竞争性谈判文件自行决定酌情延长递交响应文件截止时间。在此情况下，采购人和供应商受递交响应文件截止时间制约的所有权利和义务均应延长至新的截止期。</w:t>
      </w:r>
    </w:p>
    <w:p w14:paraId="22250EC8">
      <w:pPr>
        <w:spacing w:line="360" w:lineRule="auto"/>
        <w:rPr>
          <w:rFonts w:hint="eastAsia" w:ascii="宋体" w:hAnsi="宋体"/>
          <w:color w:val="000000"/>
          <w:sz w:val="24"/>
        </w:rPr>
      </w:pPr>
      <w:r>
        <w:rPr>
          <w:rFonts w:ascii="宋体" w:hAnsi="宋体"/>
          <w:color w:val="000000"/>
          <w:sz w:val="24"/>
        </w:rPr>
        <w:t>13.</w:t>
      </w:r>
      <w:r>
        <w:rPr>
          <w:rFonts w:hint="eastAsia" w:ascii="宋体" w:hAnsi="宋体"/>
          <w:color w:val="000000"/>
          <w:sz w:val="24"/>
        </w:rPr>
        <w:t>迟交的响应文件</w:t>
      </w:r>
    </w:p>
    <w:p w14:paraId="649CA732">
      <w:pPr>
        <w:spacing w:line="360" w:lineRule="auto"/>
        <w:rPr>
          <w:rFonts w:hint="eastAsia" w:ascii="宋体" w:hAnsi="宋体"/>
          <w:color w:val="000000"/>
          <w:sz w:val="24"/>
        </w:rPr>
      </w:pPr>
      <w:r>
        <w:rPr>
          <w:rFonts w:ascii="宋体" w:hAnsi="宋体"/>
          <w:color w:val="000000"/>
          <w:sz w:val="24"/>
        </w:rPr>
        <w:t xml:space="preserve">13.1 </w:t>
      </w:r>
      <w:r>
        <w:rPr>
          <w:rFonts w:hint="eastAsia" w:ascii="宋体" w:hAnsi="宋体"/>
          <w:color w:val="000000"/>
          <w:sz w:val="24"/>
        </w:rPr>
        <w:t>采购人将拒绝并原封退回在规定的递交响应文件截止时间后收到的任何响应文件。</w:t>
      </w:r>
    </w:p>
    <w:p w14:paraId="3DAF3115">
      <w:pPr>
        <w:spacing w:line="360" w:lineRule="auto"/>
        <w:rPr>
          <w:rFonts w:hint="eastAsia" w:ascii="宋体" w:hAnsi="宋体"/>
          <w:color w:val="000000"/>
          <w:sz w:val="24"/>
        </w:rPr>
      </w:pPr>
      <w:r>
        <w:rPr>
          <w:rFonts w:ascii="宋体" w:hAnsi="宋体"/>
          <w:color w:val="000000"/>
          <w:sz w:val="24"/>
        </w:rPr>
        <w:t>14.</w:t>
      </w:r>
      <w:r>
        <w:rPr>
          <w:rFonts w:hint="eastAsia" w:ascii="宋体" w:hAnsi="宋体"/>
          <w:color w:val="000000"/>
          <w:sz w:val="24"/>
        </w:rPr>
        <w:t>响应文件的修改与撤回</w:t>
      </w:r>
    </w:p>
    <w:p w14:paraId="0B333731">
      <w:pPr>
        <w:spacing w:line="360" w:lineRule="auto"/>
        <w:rPr>
          <w:rFonts w:hint="eastAsia" w:ascii="宋体" w:hAnsi="宋体"/>
          <w:color w:val="000000"/>
          <w:sz w:val="24"/>
        </w:rPr>
      </w:pPr>
      <w:r>
        <w:rPr>
          <w:rFonts w:ascii="宋体" w:hAnsi="宋体"/>
          <w:color w:val="000000"/>
          <w:sz w:val="24"/>
        </w:rPr>
        <w:t xml:space="preserve">14.1 </w:t>
      </w:r>
      <w:r>
        <w:rPr>
          <w:rFonts w:hint="eastAsia" w:ascii="宋体" w:hAnsi="宋体"/>
          <w:color w:val="000000"/>
          <w:sz w:val="24"/>
        </w:rPr>
        <w:t>供应商在递交响应文件后，可以修改或撤回其响应文件，但采购人必须在规定的递交响应文件截止时间之前，收到供应商发出的修改或撤回的书面通知。</w:t>
      </w:r>
    </w:p>
    <w:p w14:paraId="41C9FD2F">
      <w:pPr>
        <w:spacing w:line="360" w:lineRule="auto"/>
        <w:rPr>
          <w:rFonts w:hint="eastAsia" w:ascii="宋体" w:hAnsi="宋体"/>
          <w:color w:val="000000"/>
          <w:sz w:val="24"/>
        </w:rPr>
      </w:pPr>
      <w:r>
        <w:rPr>
          <w:rFonts w:ascii="宋体" w:hAnsi="宋体"/>
          <w:color w:val="000000"/>
          <w:sz w:val="24"/>
        </w:rPr>
        <w:t xml:space="preserve">14.2 </w:t>
      </w:r>
      <w:r>
        <w:rPr>
          <w:rFonts w:hint="eastAsia" w:ascii="宋体" w:hAnsi="宋体"/>
          <w:color w:val="000000"/>
          <w:sz w:val="24"/>
        </w:rPr>
        <w:t>供应商的修改或撤回通知应按本须知第</w:t>
      </w:r>
      <w:r>
        <w:rPr>
          <w:rFonts w:ascii="宋体" w:hAnsi="宋体"/>
          <w:color w:val="000000"/>
          <w:sz w:val="24"/>
        </w:rPr>
        <w:t>12</w:t>
      </w:r>
      <w:r>
        <w:rPr>
          <w:rFonts w:hint="eastAsia" w:ascii="宋体" w:hAnsi="宋体"/>
          <w:color w:val="000000"/>
          <w:sz w:val="24"/>
        </w:rPr>
        <w:t>条规定编制、密封、标记和发送。</w:t>
      </w:r>
    </w:p>
    <w:p w14:paraId="20182B12">
      <w:pPr>
        <w:spacing w:line="360" w:lineRule="auto"/>
        <w:rPr>
          <w:rFonts w:hint="eastAsia" w:ascii="宋体" w:hAnsi="宋体"/>
          <w:color w:val="000000"/>
          <w:sz w:val="24"/>
        </w:rPr>
      </w:pPr>
      <w:r>
        <w:rPr>
          <w:rFonts w:ascii="宋体" w:hAnsi="宋体"/>
          <w:color w:val="000000"/>
          <w:sz w:val="24"/>
        </w:rPr>
        <w:t xml:space="preserve">14.3 </w:t>
      </w:r>
      <w:r>
        <w:rPr>
          <w:rFonts w:hint="eastAsia" w:ascii="宋体" w:hAnsi="宋体"/>
          <w:color w:val="000000"/>
          <w:sz w:val="24"/>
        </w:rPr>
        <w:t>在递交响应文件截止时间之后，供应商不得对其响应文件做任何修改。</w:t>
      </w:r>
    </w:p>
    <w:p w14:paraId="218D3386">
      <w:pPr>
        <w:spacing w:line="360" w:lineRule="auto"/>
        <w:rPr>
          <w:rFonts w:hint="eastAsia" w:ascii="宋体" w:hAnsi="宋体"/>
          <w:color w:val="000000"/>
          <w:sz w:val="24"/>
        </w:rPr>
      </w:pPr>
      <w:r>
        <w:rPr>
          <w:rFonts w:ascii="宋体" w:hAnsi="宋体"/>
          <w:color w:val="000000"/>
          <w:sz w:val="24"/>
        </w:rPr>
        <w:t xml:space="preserve">14.4 </w:t>
      </w:r>
      <w:r>
        <w:rPr>
          <w:rFonts w:hint="eastAsia" w:ascii="宋体" w:hAnsi="宋体"/>
          <w:color w:val="000000"/>
          <w:sz w:val="24"/>
        </w:rPr>
        <w:t>从递交响应文件截止时间至供应商在响应函格式中确定的响应有效期之间的这段时间内，供应商不得撤回其响应文件，否则将取消供应商参与本项目资格。</w:t>
      </w:r>
    </w:p>
    <w:p w14:paraId="37AACE91">
      <w:pPr>
        <w:spacing w:line="360" w:lineRule="auto"/>
        <w:rPr>
          <w:rFonts w:hint="eastAsia" w:ascii="宋体" w:hAnsi="宋体"/>
          <w:b/>
          <w:color w:val="000000"/>
          <w:sz w:val="28"/>
          <w:szCs w:val="28"/>
        </w:rPr>
      </w:pPr>
      <w:r>
        <w:rPr>
          <w:rFonts w:hint="eastAsia" w:ascii="宋体" w:hAnsi="宋体"/>
          <w:b/>
          <w:color w:val="000000"/>
          <w:sz w:val="28"/>
          <w:szCs w:val="28"/>
        </w:rPr>
        <w:t>五、评审</w:t>
      </w:r>
    </w:p>
    <w:p w14:paraId="488014DB">
      <w:pPr>
        <w:spacing w:line="360" w:lineRule="auto"/>
        <w:rPr>
          <w:rFonts w:hint="eastAsia" w:ascii="宋体" w:hAnsi="宋体"/>
          <w:color w:val="000000"/>
          <w:sz w:val="24"/>
        </w:rPr>
      </w:pPr>
      <w:r>
        <w:rPr>
          <w:rFonts w:ascii="宋体" w:hAnsi="宋体"/>
          <w:color w:val="000000"/>
          <w:sz w:val="24"/>
        </w:rPr>
        <w:t>15.</w:t>
      </w:r>
      <w:r>
        <w:rPr>
          <w:rFonts w:hint="eastAsia" w:ascii="宋体" w:hAnsi="宋体"/>
          <w:color w:val="000000"/>
          <w:sz w:val="24"/>
        </w:rPr>
        <w:t>评审委员会</w:t>
      </w:r>
    </w:p>
    <w:p w14:paraId="6D1C8DB9">
      <w:pPr>
        <w:spacing w:line="360" w:lineRule="auto"/>
        <w:rPr>
          <w:rFonts w:hint="eastAsia" w:ascii="宋体" w:hAnsi="宋体"/>
          <w:color w:val="000000"/>
          <w:sz w:val="24"/>
        </w:rPr>
      </w:pPr>
      <w:r>
        <w:rPr>
          <w:rFonts w:ascii="宋体" w:hAnsi="宋体"/>
          <w:color w:val="000000"/>
          <w:sz w:val="24"/>
        </w:rPr>
        <w:t>15.1</w:t>
      </w:r>
      <w:r>
        <w:rPr>
          <w:rFonts w:hint="eastAsia" w:ascii="宋体" w:hAnsi="宋体"/>
          <w:color w:val="000000"/>
          <w:sz w:val="24"/>
        </w:rPr>
        <w:t>采购人根据要求组建评审委员会。评审委员会负责整个项目的评审工作。</w:t>
      </w:r>
    </w:p>
    <w:p w14:paraId="52E82125">
      <w:pPr>
        <w:spacing w:line="360" w:lineRule="auto"/>
        <w:rPr>
          <w:rFonts w:hint="eastAsia" w:ascii="宋体" w:hAnsi="宋体"/>
          <w:color w:val="000000"/>
          <w:sz w:val="24"/>
        </w:rPr>
      </w:pPr>
      <w:r>
        <w:rPr>
          <w:rFonts w:ascii="宋体" w:hAnsi="宋体"/>
          <w:color w:val="000000"/>
          <w:sz w:val="24"/>
        </w:rPr>
        <w:t>16.</w:t>
      </w:r>
      <w:r>
        <w:rPr>
          <w:rFonts w:hint="eastAsia" w:ascii="宋体" w:hAnsi="宋体"/>
          <w:color w:val="000000"/>
          <w:sz w:val="24"/>
        </w:rPr>
        <w:t>响应文件的澄清</w:t>
      </w:r>
    </w:p>
    <w:p w14:paraId="27219F5F">
      <w:pPr>
        <w:spacing w:line="360" w:lineRule="auto"/>
        <w:rPr>
          <w:rFonts w:hint="eastAsia" w:ascii="宋体" w:hAnsi="宋体"/>
          <w:color w:val="000000"/>
          <w:sz w:val="24"/>
        </w:rPr>
      </w:pPr>
      <w:r>
        <w:rPr>
          <w:rFonts w:ascii="宋体" w:hAnsi="宋体"/>
          <w:color w:val="000000"/>
          <w:sz w:val="24"/>
        </w:rPr>
        <w:t xml:space="preserve">16.1 </w:t>
      </w:r>
      <w:r>
        <w:rPr>
          <w:rFonts w:hint="eastAsia" w:ascii="宋体" w:hAnsi="宋体"/>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1329A0B7">
      <w:pPr>
        <w:spacing w:line="360" w:lineRule="auto"/>
        <w:rPr>
          <w:rFonts w:hint="eastAsia" w:ascii="宋体" w:hAnsi="宋体"/>
          <w:color w:val="000000"/>
          <w:sz w:val="24"/>
        </w:rPr>
      </w:pPr>
      <w:r>
        <w:rPr>
          <w:rFonts w:ascii="宋体" w:hAnsi="宋体"/>
          <w:color w:val="000000"/>
          <w:sz w:val="24"/>
        </w:rPr>
        <w:t>16.2</w:t>
      </w:r>
      <w:r>
        <w:rPr>
          <w:rFonts w:hint="eastAsia" w:ascii="宋体" w:hAnsi="宋体"/>
          <w:color w:val="000000"/>
          <w:sz w:val="24"/>
        </w:rPr>
        <w:t>接到评审委员会澄清要求的供应商应派人按评审委员会通知的时间和地点做出书面澄清，书面澄清的内容须由供应商法定代表人或授权代表签署，并作为响应文件的补充部分。</w:t>
      </w:r>
    </w:p>
    <w:p w14:paraId="3F3E7C28">
      <w:pPr>
        <w:spacing w:line="360" w:lineRule="auto"/>
        <w:rPr>
          <w:rFonts w:hint="eastAsia" w:ascii="宋体" w:hAnsi="宋体"/>
          <w:color w:val="000000"/>
          <w:sz w:val="24"/>
        </w:rPr>
      </w:pPr>
      <w:r>
        <w:rPr>
          <w:rFonts w:ascii="宋体" w:hAnsi="宋体"/>
          <w:color w:val="000000"/>
          <w:sz w:val="24"/>
        </w:rPr>
        <w:t xml:space="preserve">16.4 </w:t>
      </w:r>
      <w:r>
        <w:rPr>
          <w:rFonts w:hint="eastAsia" w:ascii="宋体" w:hAnsi="宋体"/>
          <w:color w:val="000000"/>
          <w:sz w:val="24"/>
        </w:rPr>
        <w:t>接到评审委员会澄清要求的供应商如未按规定做出澄清，其风险由供应商自行承担。</w:t>
      </w:r>
    </w:p>
    <w:p w14:paraId="57194DC1">
      <w:pPr>
        <w:spacing w:line="360" w:lineRule="auto"/>
        <w:rPr>
          <w:rFonts w:hint="eastAsia" w:ascii="宋体" w:hAnsi="宋体"/>
          <w:color w:val="000000"/>
          <w:sz w:val="24"/>
        </w:rPr>
      </w:pPr>
      <w:r>
        <w:rPr>
          <w:rFonts w:ascii="宋体" w:hAnsi="宋体"/>
          <w:color w:val="000000"/>
          <w:sz w:val="24"/>
        </w:rPr>
        <w:t>17.</w:t>
      </w:r>
      <w:r>
        <w:rPr>
          <w:rFonts w:hint="eastAsia" w:ascii="宋体" w:hAnsi="宋体"/>
          <w:color w:val="000000"/>
          <w:sz w:val="24"/>
        </w:rPr>
        <w:t>响应文件的初审</w:t>
      </w:r>
    </w:p>
    <w:p w14:paraId="6E93837C">
      <w:pPr>
        <w:spacing w:line="360" w:lineRule="auto"/>
        <w:rPr>
          <w:rFonts w:hint="eastAsia" w:ascii="宋体" w:hAnsi="宋体"/>
          <w:color w:val="000000"/>
          <w:sz w:val="24"/>
        </w:rPr>
      </w:pPr>
      <w:r>
        <w:rPr>
          <w:rFonts w:ascii="宋体" w:hAnsi="宋体"/>
          <w:color w:val="000000"/>
          <w:sz w:val="24"/>
        </w:rPr>
        <w:t xml:space="preserve">17.1 </w:t>
      </w:r>
      <w:r>
        <w:rPr>
          <w:rFonts w:hint="eastAsia" w:ascii="宋体" w:hAnsi="宋体"/>
          <w:color w:val="000000"/>
          <w:sz w:val="24"/>
        </w:rPr>
        <w:t>评审委员会将初步审查响应文件是否完整、总体编排是否有序、文件签署是否合格、有无计算上的错误等。只有通过初步评审的供应商才能进入资格预审的详细评审。</w:t>
      </w:r>
    </w:p>
    <w:p w14:paraId="74853AB6">
      <w:pPr>
        <w:spacing w:line="360" w:lineRule="auto"/>
        <w:rPr>
          <w:rFonts w:hint="eastAsia" w:ascii="宋体" w:hAns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244D0D18">
      <w:pPr>
        <w:spacing w:line="360" w:lineRule="auto"/>
        <w:rPr>
          <w:rFonts w:hint="eastAsia" w:ascii="宋体" w:hAnsi="宋体"/>
          <w:color w:val="000000"/>
          <w:sz w:val="24"/>
        </w:rPr>
      </w:pPr>
      <w:r>
        <w:rPr>
          <w:rFonts w:ascii="宋体" w:hAnsi="宋体"/>
          <w:color w:val="000000"/>
          <w:sz w:val="24"/>
        </w:rPr>
        <w:t xml:space="preserve">17.3 </w:t>
      </w:r>
      <w:r>
        <w:rPr>
          <w:rFonts w:hint="eastAsia" w:ascii="宋体" w:hAnsi="宋体"/>
          <w:color w:val="000000"/>
          <w:sz w:val="24"/>
        </w:rPr>
        <w:t>对于响应文件中不构成实质性偏差的不正规、不一致或不规则，评审委员会可以接受，但这种接受不能损害或影响任何供应商的相对排序。</w:t>
      </w:r>
    </w:p>
    <w:p w14:paraId="7A28D358">
      <w:pPr>
        <w:spacing w:line="360" w:lineRule="auto"/>
        <w:rPr>
          <w:rFonts w:hint="eastAsia" w:ascii="宋体" w:hAnsi="宋体"/>
          <w:color w:val="000000"/>
          <w:sz w:val="24"/>
        </w:rPr>
      </w:pPr>
      <w:r>
        <w:rPr>
          <w:rFonts w:ascii="宋体" w:hAnsi="宋体"/>
          <w:color w:val="000000"/>
          <w:sz w:val="24"/>
        </w:rPr>
        <w:t xml:space="preserve">17.4 </w:t>
      </w:r>
      <w:r>
        <w:rPr>
          <w:rFonts w:hint="eastAsia" w:ascii="宋体" w:hAnsi="宋体"/>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34DC3176">
      <w:pPr>
        <w:spacing w:line="360" w:lineRule="auto"/>
        <w:rPr>
          <w:rFonts w:hint="eastAsia" w:ascii="宋体" w:hAnsi="宋体"/>
          <w:color w:val="000000"/>
          <w:sz w:val="24"/>
        </w:rPr>
      </w:pPr>
      <w:r>
        <w:rPr>
          <w:rFonts w:ascii="宋体" w:hAnsi="宋体"/>
          <w:color w:val="000000"/>
          <w:sz w:val="24"/>
        </w:rPr>
        <w:t xml:space="preserve">17.5 </w:t>
      </w:r>
      <w:r>
        <w:rPr>
          <w:rFonts w:hint="eastAsia" w:ascii="宋体" w:hAnsi="宋体"/>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7B07776A">
      <w:pPr>
        <w:spacing w:line="360" w:lineRule="auto"/>
        <w:rPr>
          <w:rFonts w:hint="eastAsia" w:ascii="宋体" w:hAnsi="宋体"/>
          <w:color w:val="000000"/>
          <w:sz w:val="24"/>
        </w:rPr>
      </w:pPr>
      <w:r>
        <w:rPr>
          <w:rFonts w:ascii="宋体" w:hAnsi="宋体"/>
          <w:color w:val="000000"/>
          <w:sz w:val="24"/>
        </w:rPr>
        <w:t>17.6</w:t>
      </w:r>
      <w:r>
        <w:rPr>
          <w:rFonts w:hint="eastAsia" w:ascii="宋体" w:hAnsi="宋体"/>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717C3C3">
      <w:pPr>
        <w:spacing w:line="360" w:lineRule="auto"/>
        <w:rPr>
          <w:rFonts w:hint="eastAsia" w:ascii="宋体" w:hAnsi="宋体"/>
          <w:color w:val="000000"/>
          <w:sz w:val="24"/>
        </w:rPr>
      </w:pPr>
      <w:r>
        <w:rPr>
          <w:rFonts w:ascii="宋体" w:hAnsi="宋体"/>
          <w:color w:val="000000"/>
          <w:sz w:val="24"/>
        </w:rPr>
        <w:t xml:space="preserve">17.7 </w:t>
      </w:r>
      <w:r>
        <w:rPr>
          <w:rFonts w:hint="eastAsia" w:ascii="宋体" w:hAnsi="宋体"/>
          <w:color w:val="000000"/>
          <w:sz w:val="24"/>
        </w:rPr>
        <w:t>采购人保留对通过初审的供应商进行进一步谈判或议价的权利。</w:t>
      </w:r>
    </w:p>
    <w:p w14:paraId="05D235BA">
      <w:pPr>
        <w:spacing w:line="360" w:lineRule="auto"/>
        <w:rPr>
          <w:rFonts w:hint="eastAsia" w:ascii="宋体" w:hAnsi="宋体"/>
          <w:b/>
          <w:color w:val="000000"/>
          <w:sz w:val="28"/>
          <w:szCs w:val="28"/>
        </w:rPr>
      </w:pPr>
      <w:r>
        <w:rPr>
          <w:rFonts w:hint="eastAsia" w:ascii="宋体" w:hAnsi="宋体"/>
          <w:b/>
          <w:color w:val="000000"/>
          <w:sz w:val="28"/>
          <w:szCs w:val="28"/>
        </w:rPr>
        <w:t>六、谈判和成交供应商评审</w:t>
      </w:r>
    </w:p>
    <w:p w14:paraId="560F4030">
      <w:pPr>
        <w:spacing w:line="360" w:lineRule="auto"/>
        <w:rPr>
          <w:rFonts w:hint="eastAsia" w:ascii="宋体" w:hAnsi="宋体"/>
          <w:color w:val="000000"/>
          <w:sz w:val="24"/>
        </w:rPr>
      </w:pPr>
      <w:r>
        <w:rPr>
          <w:rFonts w:ascii="宋体" w:hAnsi="宋体"/>
          <w:color w:val="000000"/>
          <w:sz w:val="24"/>
        </w:rPr>
        <w:t>18.谈判</w:t>
      </w:r>
    </w:p>
    <w:p w14:paraId="5EEE3E1D">
      <w:pPr>
        <w:spacing w:line="360" w:lineRule="auto"/>
        <w:rPr>
          <w:rFonts w:hint="eastAsia" w:ascii="宋体" w:hAnsi="宋体"/>
          <w:color w:val="000000"/>
          <w:sz w:val="24"/>
        </w:rPr>
      </w:pPr>
      <w:r>
        <w:rPr>
          <w:rFonts w:ascii="宋体" w:hAnsi="宋体"/>
          <w:color w:val="000000"/>
          <w:sz w:val="24"/>
        </w:rPr>
        <w:t>18.1</w:t>
      </w:r>
      <w:r>
        <w:rPr>
          <w:rFonts w:hint="eastAsia" w:ascii="宋体" w:hAnsi="宋体"/>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4B701A6F">
      <w:pPr>
        <w:spacing w:line="360" w:lineRule="auto"/>
        <w:rPr>
          <w:rFonts w:hint="eastAsia"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14:paraId="2E1C2FD1">
      <w:pPr>
        <w:spacing w:line="360" w:lineRule="auto"/>
        <w:rPr>
          <w:rFonts w:hint="eastAsia"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14:paraId="2D871FBD">
      <w:pPr>
        <w:spacing w:line="360" w:lineRule="auto"/>
        <w:rPr>
          <w:rFonts w:hint="eastAsia" w:ascii="宋体" w:hAnsi="宋体"/>
          <w:color w:val="000000"/>
          <w:sz w:val="24"/>
        </w:rPr>
      </w:pPr>
      <w:r>
        <w:rPr>
          <w:rFonts w:ascii="宋体" w:hAnsi="宋体"/>
          <w:color w:val="000000"/>
          <w:sz w:val="24"/>
        </w:rPr>
        <w:t xml:space="preserve">18.4 </w:t>
      </w:r>
      <w:r>
        <w:rPr>
          <w:rFonts w:hint="eastAsia" w:ascii="宋体" w:hAnsi="宋体"/>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2674AF71">
      <w:pPr>
        <w:spacing w:line="360" w:lineRule="auto"/>
        <w:rPr>
          <w:rFonts w:hint="eastAsia" w:ascii="宋体" w:hAnsi="宋体"/>
          <w:color w:val="000000"/>
          <w:sz w:val="24"/>
        </w:rPr>
      </w:pPr>
      <w:r>
        <w:rPr>
          <w:rFonts w:ascii="宋体" w:hAnsi="宋体"/>
          <w:color w:val="000000"/>
          <w:sz w:val="24"/>
        </w:rPr>
        <w:t xml:space="preserve">18.5 </w:t>
      </w:r>
      <w:r>
        <w:rPr>
          <w:rFonts w:hint="eastAsia" w:ascii="宋体" w:hAnsi="宋体"/>
          <w:color w:val="000000"/>
          <w:sz w:val="24"/>
        </w:rPr>
        <w:t>谈判后，参加谈判的供应商应当在规定的时间内按评审委员会的要求递交针对本项目的最终报价和相关承诺。最终报价和相关承诺须由法定代表人或本项目的授权代表签字。</w:t>
      </w:r>
    </w:p>
    <w:p w14:paraId="2236E093">
      <w:pPr>
        <w:spacing w:line="360" w:lineRule="auto"/>
        <w:rPr>
          <w:rFonts w:hint="eastAsia" w:ascii="宋体" w:hAnsi="宋体"/>
          <w:color w:val="000000"/>
          <w:sz w:val="24"/>
        </w:rPr>
      </w:pPr>
      <w:r>
        <w:rPr>
          <w:rFonts w:ascii="宋体" w:hAnsi="宋体"/>
          <w:color w:val="000000"/>
          <w:sz w:val="24"/>
        </w:rPr>
        <w:t xml:space="preserve">18.6 </w:t>
      </w:r>
      <w:r>
        <w:rPr>
          <w:rFonts w:hint="eastAsia" w:ascii="宋体" w:hAnsi="宋体"/>
          <w:color w:val="000000"/>
          <w:sz w:val="24"/>
        </w:rPr>
        <w:t>供应商应将其最终报价和相关承诺的正本一份密封装在一个信封中，信封上标明“项目名称及编号”、“供应商名称和地址”字样，并在规定的时间内递交至采购人。</w:t>
      </w:r>
    </w:p>
    <w:p w14:paraId="722C3202">
      <w:pPr>
        <w:spacing w:line="360" w:lineRule="auto"/>
        <w:rPr>
          <w:rFonts w:hint="eastAsia" w:ascii="宋体" w:hAnsi="宋体"/>
          <w:color w:val="000000"/>
          <w:sz w:val="24"/>
        </w:rPr>
      </w:pPr>
      <w:r>
        <w:rPr>
          <w:rFonts w:ascii="宋体" w:hAnsi="宋体"/>
          <w:color w:val="000000"/>
          <w:sz w:val="24"/>
        </w:rPr>
        <w:t xml:space="preserve">18.7 </w:t>
      </w:r>
      <w:r>
        <w:rPr>
          <w:rFonts w:hint="eastAsia" w:ascii="宋体" w:hAnsi="宋体"/>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0C10FF8A">
      <w:pPr>
        <w:spacing w:line="360" w:lineRule="auto"/>
        <w:rPr>
          <w:rFonts w:hint="eastAsia" w:ascii="宋体" w:hAnsi="宋体"/>
          <w:color w:val="000000"/>
          <w:sz w:val="24"/>
        </w:rPr>
      </w:pPr>
      <w:r>
        <w:rPr>
          <w:rFonts w:ascii="宋体" w:hAnsi="宋体"/>
          <w:color w:val="000000"/>
          <w:sz w:val="24"/>
        </w:rPr>
        <w:t>19.成交供应商的评审</w:t>
      </w:r>
    </w:p>
    <w:p w14:paraId="0D7B26C1">
      <w:pPr>
        <w:spacing w:line="360" w:lineRule="auto"/>
        <w:rPr>
          <w:rFonts w:hint="eastAsia" w:ascii="宋体" w:hAnsi="宋体"/>
          <w:color w:val="000000"/>
          <w:sz w:val="24"/>
        </w:rPr>
      </w:pPr>
      <w:r>
        <w:rPr>
          <w:rFonts w:ascii="宋体" w:hAnsi="宋体"/>
          <w:color w:val="000000"/>
          <w:sz w:val="24"/>
        </w:rPr>
        <w:t xml:space="preserve">19.1 </w:t>
      </w:r>
      <w:r>
        <w:rPr>
          <w:rFonts w:hint="eastAsia" w:ascii="宋体" w:hAnsi="宋体"/>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274357A4">
      <w:pPr>
        <w:spacing w:line="360" w:lineRule="auto"/>
        <w:rPr>
          <w:rFonts w:hint="eastAsia" w:ascii="宋体" w:hAnsi="宋体"/>
          <w:color w:val="000000"/>
          <w:sz w:val="24"/>
        </w:rPr>
      </w:pPr>
      <w:r>
        <w:rPr>
          <w:rFonts w:ascii="宋体" w:hAnsi="宋体"/>
          <w:color w:val="000000"/>
          <w:sz w:val="24"/>
        </w:rPr>
        <w:t xml:space="preserve">19.2 </w:t>
      </w:r>
      <w:r>
        <w:rPr>
          <w:rFonts w:hint="eastAsia" w:ascii="宋体" w:hAnsi="宋体"/>
          <w:color w:val="000000"/>
          <w:sz w:val="24"/>
        </w:rPr>
        <w:t>谈判后，评审委员会将对参加谈判的供应商进行综合评审，采用综合评审法并考虑以下因素：</w:t>
      </w:r>
    </w:p>
    <w:p w14:paraId="2EA5CC6B">
      <w:pPr>
        <w:spacing w:line="360" w:lineRule="auto"/>
        <w:rPr>
          <w:rFonts w:hint="eastAsia" w:ascii="宋体" w:hAnsi="宋体"/>
          <w:color w:val="000000"/>
          <w:sz w:val="24"/>
        </w:rPr>
      </w:pPr>
      <w:r>
        <w:rPr>
          <w:rFonts w:hint="eastAsia" w:ascii="宋体" w:hAnsi="宋体"/>
          <w:color w:val="000000"/>
          <w:sz w:val="24"/>
        </w:rPr>
        <w:t>注：具体评审办法详见第三章评审办法。</w:t>
      </w:r>
    </w:p>
    <w:p w14:paraId="624DDA50">
      <w:pPr>
        <w:spacing w:line="360" w:lineRule="auto"/>
        <w:rPr>
          <w:rFonts w:hint="eastAsia"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14:paraId="181FEA1E">
      <w:pPr>
        <w:spacing w:line="360" w:lineRule="auto"/>
        <w:rPr>
          <w:rFonts w:hint="eastAsia" w:ascii="宋体" w:hAnsi="宋体"/>
          <w:color w:val="000000"/>
          <w:sz w:val="24"/>
        </w:rPr>
      </w:pPr>
      <w:r>
        <w:rPr>
          <w:rFonts w:ascii="宋体" w:hAnsi="宋体"/>
          <w:color w:val="000000"/>
          <w:sz w:val="24"/>
        </w:rPr>
        <w:t>19.4评</w:t>
      </w:r>
      <w:r>
        <w:rPr>
          <w:rFonts w:hint="eastAsia" w:ascii="宋体" w:hAnsi="宋体"/>
          <w:color w:val="000000"/>
          <w:sz w:val="24"/>
        </w:rPr>
        <w:t>审</w:t>
      </w:r>
      <w:r>
        <w:rPr>
          <w:rFonts w:ascii="宋体" w:hAnsi="宋体"/>
          <w:color w:val="000000"/>
          <w:sz w:val="24"/>
        </w:rPr>
        <w:t>委员会发现</w:t>
      </w:r>
      <w:r>
        <w:rPr>
          <w:rFonts w:hint="eastAsia" w:ascii="宋体" w:hAnsi="宋体"/>
          <w:color w:val="000000"/>
          <w:sz w:val="24"/>
        </w:rPr>
        <w:t>供应商</w:t>
      </w:r>
      <w:r>
        <w:rPr>
          <w:rFonts w:ascii="宋体" w:hAnsi="宋体"/>
          <w:color w:val="000000"/>
          <w:sz w:val="24"/>
        </w:rPr>
        <w:t>的报价明显低于其他报价，有可能影响产品质量或者不能诚信履约的，且无法在评</w:t>
      </w:r>
      <w:r>
        <w:rPr>
          <w:rFonts w:hint="eastAsia" w:ascii="宋体" w:hAnsi="宋体"/>
          <w:color w:val="000000"/>
          <w:sz w:val="24"/>
        </w:rPr>
        <w:t>审</w:t>
      </w:r>
      <w:r>
        <w:rPr>
          <w:rFonts w:ascii="宋体" w:hAnsi="宋体"/>
          <w:color w:val="000000"/>
          <w:sz w:val="24"/>
        </w:rPr>
        <w:t>现场合理的时间内提供书面说明并在必要时提交相关证明材料，以证明其报价合理性的，评</w:t>
      </w:r>
      <w:r>
        <w:rPr>
          <w:rFonts w:hint="eastAsia" w:ascii="宋体" w:hAnsi="宋体"/>
          <w:color w:val="000000"/>
          <w:sz w:val="24"/>
        </w:rPr>
        <w:t>审</w:t>
      </w:r>
      <w:r>
        <w:rPr>
          <w:rFonts w:ascii="宋体" w:hAnsi="宋体"/>
          <w:color w:val="000000"/>
          <w:sz w:val="24"/>
        </w:rPr>
        <w:t>委员会认定该</w:t>
      </w:r>
      <w:r>
        <w:rPr>
          <w:rFonts w:hint="eastAsia" w:ascii="宋体" w:hAnsi="宋体"/>
          <w:color w:val="000000"/>
          <w:sz w:val="24"/>
        </w:rPr>
        <w:t>供应商</w:t>
      </w:r>
      <w:r>
        <w:rPr>
          <w:rFonts w:ascii="宋体" w:hAnsi="宋体"/>
          <w:color w:val="000000"/>
          <w:sz w:val="24"/>
        </w:rPr>
        <w:t>以低于成本报价竞标，其</w:t>
      </w:r>
      <w:r>
        <w:rPr>
          <w:rFonts w:hint="eastAsia" w:ascii="宋体" w:hAnsi="宋体"/>
          <w:color w:val="000000"/>
          <w:sz w:val="24"/>
        </w:rPr>
        <w:t>竞争性谈判响应文件</w:t>
      </w:r>
      <w:r>
        <w:rPr>
          <w:rFonts w:ascii="宋体" w:hAnsi="宋体"/>
          <w:color w:val="000000"/>
          <w:sz w:val="24"/>
        </w:rPr>
        <w:t>应作为无效处理。</w:t>
      </w:r>
    </w:p>
    <w:p w14:paraId="3A209786">
      <w:pPr>
        <w:spacing w:line="360" w:lineRule="auto"/>
        <w:rPr>
          <w:rFonts w:hint="eastAsia" w:ascii="宋体" w:hAnsi="宋体"/>
          <w:b/>
          <w:color w:val="000000"/>
          <w:sz w:val="28"/>
          <w:szCs w:val="28"/>
        </w:rPr>
      </w:pPr>
      <w:r>
        <w:rPr>
          <w:rFonts w:hint="eastAsia" w:ascii="宋体" w:hAnsi="宋体"/>
          <w:b/>
          <w:color w:val="000000"/>
          <w:sz w:val="28"/>
          <w:szCs w:val="28"/>
        </w:rPr>
        <w:t>七、保密</w:t>
      </w:r>
    </w:p>
    <w:p w14:paraId="02FDA1FD">
      <w:pPr>
        <w:spacing w:line="360" w:lineRule="auto"/>
        <w:rPr>
          <w:rFonts w:hint="eastAsia" w:ascii="宋体" w:hAnsi="宋体"/>
          <w:color w:val="000000"/>
          <w:sz w:val="24"/>
        </w:rPr>
      </w:pPr>
      <w:r>
        <w:rPr>
          <w:rFonts w:ascii="宋体" w:hAnsi="宋体"/>
          <w:color w:val="000000"/>
          <w:sz w:val="24"/>
        </w:rPr>
        <w:t>20.</w:t>
      </w:r>
      <w:r>
        <w:rPr>
          <w:rFonts w:hint="eastAsia" w:ascii="宋体" w:hAnsi="宋体"/>
          <w:color w:val="000000"/>
          <w:sz w:val="24"/>
        </w:rPr>
        <w:t>与采购人的接触</w:t>
      </w:r>
    </w:p>
    <w:p w14:paraId="49BE5B56">
      <w:pPr>
        <w:spacing w:line="360" w:lineRule="auto"/>
        <w:rPr>
          <w:rFonts w:hint="eastAsia" w:ascii="宋体" w:hAnsi="宋体"/>
          <w:color w:val="000000"/>
          <w:sz w:val="24"/>
        </w:rPr>
      </w:pPr>
      <w:r>
        <w:rPr>
          <w:rFonts w:ascii="宋体" w:hAnsi="宋体"/>
          <w:color w:val="000000"/>
          <w:sz w:val="24"/>
        </w:rPr>
        <w:t>20.1</w:t>
      </w:r>
      <w:r>
        <w:rPr>
          <w:rFonts w:hint="eastAsia" w:ascii="宋体" w:hAnsi="宋体"/>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14:paraId="240BB93D">
      <w:pPr>
        <w:spacing w:line="360" w:lineRule="auto"/>
        <w:rPr>
          <w:rFonts w:hint="eastAsia" w:ascii="宋体" w:hAnsi="宋体"/>
          <w:color w:val="000000"/>
          <w:sz w:val="24"/>
        </w:rPr>
      </w:pPr>
      <w:r>
        <w:rPr>
          <w:rFonts w:ascii="宋体" w:hAnsi="宋体"/>
          <w:color w:val="000000"/>
          <w:sz w:val="24"/>
        </w:rPr>
        <w:t xml:space="preserve">20.2 </w:t>
      </w:r>
      <w:r>
        <w:rPr>
          <w:rFonts w:hint="eastAsia" w:ascii="宋体" w:hAnsi="宋体"/>
          <w:color w:val="000000"/>
          <w:sz w:val="24"/>
        </w:rPr>
        <w:t>供应商试图对评审委员会的评审、比较或授予合同的决定进行影响，都可能导致其响应文件被拒绝。</w:t>
      </w:r>
    </w:p>
    <w:p w14:paraId="18D567FA">
      <w:pPr>
        <w:spacing w:line="360" w:lineRule="auto"/>
        <w:rPr>
          <w:rFonts w:hint="eastAsia" w:ascii="宋体" w:hAnsi="宋体"/>
          <w:b/>
          <w:color w:val="000000"/>
          <w:sz w:val="28"/>
          <w:szCs w:val="28"/>
        </w:rPr>
      </w:pPr>
      <w:r>
        <w:rPr>
          <w:rFonts w:hint="eastAsia" w:ascii="宋体" w:hAnsi="宋体"/>
          <w:b/>
          <w:color w:val="000000"/>
          <w:sz w:val="28"/>
          <w:szCs w:val="28"/>
        </w:rPr>
        <w:t>八、合同的签订</w:t>
      </w:r>
    </w:p>
    <w:p w14:paraId="7874B8DE">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合同的签订（详见《供应商须知前附表》）</w:t>
      </w:r>
    </w:p>
    <w:p w14:paraId="7396CE09">
      <w:pPr>
        <w:spacing w:line="360" w:lineRule="auto"/>
        <w:rPr>
          <w:rFonts w:hint="eastAsia" w:ascii="宋体" w:hAnsi="宋体"/>
          <w:color w:val="000000"/>
          <w:sz w:val="24"/>
        </w:rPr>
      </w:pPr>
      <w:r>
        <w:rPr>
          <w:rFonts w:ascii="宋体" w:hAnsi="宋体"/>
          <w:color w:val="000000"/>
          <w:sz w:val="24"/>
        </w:rPr>
        <w:t>21.1评审委员会将根据供应商综合评估结果，按综合得分排序向采购人推荐本项目的</w:t>
      </w:r>
      <w:r>
        <w:rPr>
          <w:rFonts w:hint="eastAsia" w:ascii="宋体" w:hAnsi="宋体"/>
          <w:color w:val="000000"/>
          <w:sz w:val="24"/>
        </w:rPr>
        <w:t>成交</w:t>
      </w:r>
      <w:r>
        <w:rPr>
          <w:rFonts w:ascii="宋体" w:hAnsi="宋体"/>
          <w:color w:val="000000"/>
          <w:sz w:val="24"/>
        </w:rPr>
        <w:t>供应商候选人。</w:t>
      </w:r>
    </w:p>
    <w:p w14:paraId="1C34EA43">
      <w:pPr>
        <w:spacing w:line="360" w:lineRule="auto"/>
        <w:rPr>
          <w:rFonts w:hint="eastAsia" w:ascii="宋体" w:hAnsi="宋体"/>
          <w:color w:val="000000"/>
          <w:sz w:val="24"/>
        </w:rPr>
      </w:pPr>
      <w:r>
        <w:rPr>
          <w:rFonts w:ascii="宋体" w:hAnsi="宋体"/>
          <w:color w:val="000000"/>
          <w:sz w:val="24"/>
        </w:rPr>
        <w:t xml:space="preserve">21.2 </w:t>
      </w:r>
      <w:r>
        <w:rPr>
          <w:rFonts w:hint="eastAsia" w:ascii="宋体" w:hAnsi="宋体"/>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14:paraId="58A47EF0">
      <w:pPr>
        <w:spacing w:line="360" w:lineRule="auto"/>
        <w:rPr>
          <w:rFonts w:hint="eastAsia" w:ascii="宋体" w:hAnsi="宋体"/>
          <w:color w:val="000000"/>
          <w:sz w:val="24"/>
        </w:rPr>
      </w:pPr>
      <w:r>
        <w:rPr>
          <w:rFonts w:ascii="宋体" w:hAnsi="宋体"/>
          <w:color w:val="000000"/>
          <w:sz w:val="24"/>
        </w:rPr>
        <w:t xml:space="preserve">22. </w:t>
      </w:r>
      <w:r>
        <w:rPr>
          <w:rFonts w:hint="eastAsia" w:ascii="宋体" w:hAnsi="宋体"/>
          <w:color w:val="000000"/>
          <w:sz w:val="24"/>
        </w:rPr>
        <w:t>接受和拒绝任何或所有响应文件的权力</w:t>
      </w:r>
    </w:p>
    <w:p w14:paraId="46785F32">
      <w:pPr>
        <w:spacing w:line="360" w:lineRule="auto"/>
        <w:rPr>
          <w:rFonts w:hint="eastAsia" w:ascii="宋体" w:hAnsi="宋体"/>
          <w:color w:val="000000"/>
          <w:sz w:val="24"/>
        </w:rPr>
      </w:pPr>
      <w:r>
        <w:rPr>
          <w:rFonts w:ascii="宋体" w:hAnsi="宋体"/>
          <w:color w:val="000000"/>
          <w:sz w:val="24"/>
        </w:rPr>
        <w:t>22.1</w:t>
      </w:r>
      <w:r>
        <w:rPr>
          <w:rFonts w:hint="eastAsia" w:ascii="宋体" w:hAnsi="宋体"/>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506E62BE">
      <w:pPr>
        <w:spacing w:line="360" w:lineRule="auto"/>
        <w:rPr>
          <w:rFonts w:hint="eastAsia" w:ascii="宋体" w:hAnsi="宋体"/>
          <w:color w:val="000000"/>
          <w:sz w:val="24"/>
        </w:rPr>
      </w:pPr>
      <w:r>
        <w:rPr>
          <w:rFonts w:ascii="宋体" w:hAnsi="宋体"/>
          <w:color w:val="000000"/>
          <w:sz w:val="24"/>
        </w:rPr>
        <w:t>23.</w:t>
      </w:r>
      <w:r>
        <w:rPr>
          <w:rFonts w:hint="eastAsia" w:ascii="宋体" w:hAnsi="宋体"/>
          <w:color w:val="000000"/>
          <w:sz w:val="24"/>
        </w:rPr>
        <w:t>授予合同通知书</w:t>
      </w:r>
    </w:p>
    <w:p w14:paraId="436A7948">
      <w:pPr>
        <w:spacing w:line="360" w:lineRule="auto"/>
        <w:rPr>
          <w:rFonts w:hint="eastAsia" w:ascii="宋体" w:hAnsi="宋体"/>
          <w:color w:val="000000"/>
          <w:sz w:val="24"/>
        </w:rPr>
      </w:pPr>
      <w:r>
        <w:rPr>
          <w:rFonts w:ascii="宋体" w:hAnsi="宋体"/>
          <w:color w:val="000000"/>
          <w:sz w:val="24"/>
        </w:rPr>
        <w:t xml:space="preserve">23.1 </w:t>
      </w:r>
      <w:r>
        <w:rPr>
          <w:rFonts w:hint="eastAsia" w:ascii="宋体" w:hAnsi="宋体"/>
          <w:color w:val="000000"/>
          <w:sz w:val="24"/>
        </w:rPr>
        <w:t>采购人确定供应商后，将向成交供应商发出授予合同通知书。</w:t>
      </w:r>
    </w:p>
    <w:p w14:paraId="5768B0F8">
      <w:pPr>
        <w:spacing w:line="360" w:lineRule="auto"/>
        <w:rPr>
          <w:rFonts w:hint="eastAsia" w:ascii="宋体" w:hAnsi="宋体"/>
          <w:color w:val="000000"/>
          <w:sz w:val="24"/>
        </w:rPr>
      </w:pPr>
      <w:r>
        <w:rPr>
          <w:rFonts w:ascii="宋体" w:hAnsi="宋体"/>
          <w:color w:val="000000"/>
          <w:sz w:val="24"/>
        </w:rPr>
        <w:t xml:space="preserve">23.2 </w:t>
      </w:r>
      <w:r>
        <w:rPr>
          <w:rFonts w:hint="eastAsia" w:ascii="宋体" w:hAnsi="宋体"/>
          <w:color w:val="000000"/>
          <w:sz w:val="24"/>
        </w:rPr>
        <w:t>授予合同通知书是合同的一个组成部分。</w:t>
      </w:r>
    </w:p>
    <w:p w14:paraId="45998968">
      <w:pPr>
        <w:spacing w:line="360" w:lineRule="auto"/>
        <w:rPr>
          <w:rFonts w:hint="eastAsia" w:ascii="宋体" w:hAnsi="宋体"/>
          <w:color w:val="000000"/>
          <w:sz w:val="24"/>
        </w:rPr>
      </w:pPr>
      <w:r>
        <w:rPr>
          <w:rFonts w:ascii="宋体" w:hAnsi="宋体"/>
          <w:color w:val="000000"/>
          <w:sz w:val="24"/>
        </w:rPr>
        <w:t>24.</w:t>
      </w:r>
      <w:r>
        <w:rPr>
          <w:rFonts w:hint="eastAsia" w:ascii="宋体" w:hAnsi="宋体"/>
          <w:color w:val="000000"/>
          <w:sz w:val="24"/>
        </w:rPr>
        <w:t>签订合同</w:t>
      </w:r>
    </w:p>
    <w:p w14:paraId="41F56E46">
      <w:pPr>
        <w:spacing w:line="360" w:lineRule="auto"/>
        <w:rPr>
          <w:rFonts w:hint="eastAsia" w:ascii="宋体" w:hAnsi="宋体"/>
          <w:color w:val="000000"/>
          <w:sz w:val="24"/>
        </w:rPr>
      </w:pPr>
      <w:r>
        <w:rPr>
          <w:rFonts w:ascii="宋体" w:hAnsi="宋体"/>
          <w:color w:val="000000"/>
          <w:sz w:val="24"/>
        </w:rPr>
        <w:t>24.1</w:t>
      </w:r>
      <w:r>
        <w:rPr>
          <w:rFonts w:hint="eastAsia" w:ascii="宋体" w:hAnsi="宋体"/>
          <w:color w:val="000000"/>
          <w:sz w:val="24"/>
        </w:rPr>
        <w:t>成交供应商应按授予合同通知书规定的时间、地点与采购人签订合同（格式见第四章《合同格式》），否则按响应有效期内撤回响应文件处理。</w:t>
      </w:r>
    </w:p>
    <w:p w14:paraId="3A761827">
      <w:pPr>
        <w:spacing w:line="360" w:lineRule="auto"/>
        <w:rPr>
          <w:b/>
          <w:color w:val="000000"/>
          <w:sz w:val="36"/>
          <w:szCs w:val="36"/>
        </w:rPr>
      </w:pPr>
      <w:r>
        <w:rPr>
          <w:rFonts w:ascii="宋体" w:hAnsi="宋体"/>
          <w:color w:val="000000"/>
          <w:sz w:val="24"/>
        </w:rPr>
        <w:t xml:space="preserve">24.2 </w:t>
      </w:r>
      <w:r>
        <w:rPr>
          <w:rFonts w:hint="eastAsia" w:ascii="宋体" w:hAnsi="宋体"/>
          <w:color w:val="000000"/>
          <w:sz w:val="24"/>
        </w:rPr>
        <w:t>如果成交供应商没有按照上述规定执行，采购人将有充分理由取消该中选决定。在此情况下，采购人可与下一个候选人签订合同，或重新采购。</w:t>
      </w:r>
      <w:bookmarkEnd w:id="13"/>
      <w:bookmarkEnd w:id="14"/>
      <w:bookmarkEnd w:id="15"/>
      <w:bookmarkEnd w:id="16"/>
      <w:bookmarkStart w:id="18" w:name="_Toc107822520"/>
      <w:bookmarkStart w:id="19" w:name="_Toc226969316"/>
      <w:bookmarkStart w:id="20" w:name="_Toc227057922"/>
      <w:r>
        <w:rPr>
          <w:color w:val="000000"/>
        </w:rPr>
        <w:br w:type="page"/>
      </w:r>
      <w:bookmarkEnd w:id="18"/>
      <w:bookmarkEnd w:id="19"/>
      <w:bookmarkEnd w:id="20"/>
      <w:bookmarkStart w:id="21" w:name="_Toc69378617"/>
      <w:bookmarkStart w:id="22" w:name="_Toc226969352"/>
      <w:bookmarkStart w:id="23" w:name="_Toc107822556"/>
      <w:bookmarkStart w:id="24" w:name="_Toc227057958"/>
    </w:p>
    <w:p w14:paraId="45260FF5">
      <w:pPr>
        <w:pStyle w:val="3"/>
        <w:numPr>
          <w:ilvl w:val="0"/>
          <w:numId w:val="0"/>
        </w:numPr>
        <w:spacing w:before="0" w:after="0" w:line="360" w:lineRule="auto"/>
        <w:rPr>
          <w:b/>
          <w:color w:val="000000"/>
          <w:sz w:val="36"/>
          <w:szCs w:val="36"/>
        </w:rPr>
      </w:pPr>
      <w:r>
        <w:rPr>
          <w:rFonts w:hint="eastAsia"/>
          <w:b/>
          <w:color w:val="000000"/>
          <w:sz w:val="36"/>
          <w:szCs w:val="36"/>
        </w:rPr>
        <w:t>第三章</w:t>
      </w:r>
      <w:bookmarkStart w:id="25" w:name="_Hlk113980362"/>
      <w:r>
        <w:rPr>
          <w:rFonts w:hint="eastAsia"/>
          <w:b/>
          <w:color w:val="000000"/>
          <w:sz w:val="36"/>
          <w:szCs w:val="36"/>
        </w:rPr>
        <w:t xml:space="preserve"> 评审办法</w:t>
      </w:r>
      <w:bookmarkEnd w:id="21"/>
      <w:bookmarkEnd w:id="25"/>
    </w:p>
    <w:p w14:paraId="563BD3B3">
      <w:pPr>
        <w:spacing w:line="360" w:lineRule="auto"/>
        <w:ind w:firstLine="480" w:firstLineChars="200"/>
        <w:jc w:val="left"/>
        <w:rPr>
          <w:rFonts w:hint="eastAsia"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14:paraId="5BA0CE52">
      <w:pPr>
        <w:spacing w:line="360" w:lineRule="auto"/>
        <w:jc w:val="left"/>
        <w:rPr>
          <w:rFonts w:hint="eastAsia" w:ascii="宋体" w:hAnsi="宋体"/>
          <w:color w:val="000000"/>
          <w:sz w:val="24"/>
        </w:rPr>
      </w:pPr>
    </w:p>
    <w:p w14:paraId="3BD9ECB2">
      <w:pPr>
        <w:rPr>
          <w:rFonts w:hint="eastAsia" w:ascii="宋体" w:hAnsi="宋体"/>
          <w:color w:val="000000"/>
          <w:sz w:val="24"/>
        </w:rPr>
      </w:pPr>
    </w:p>
    <w:p w14:paraId="191A09E6">
      <w:pPr>
        <w:spacing w:line="360" w:lineRule="auto"/>
        <w:jc w:val="center"/>
        <w:rPr>
          <w:rFonts w:hint="eastAsia" w:ascii="黑体" w:hAnsi="黑体" w:eastAsia="黑体"/>
          <w:color w:val="000000"/>
          <w:sz w:val="37"/>
          <w:szCs w:val="37"/>
        </w:rPr>
      </w:pPr>
      <w:r>
        <w:rPr>
          <w:rFonts w:ascii="宋体" w:hAnsi="宋体"/>
          <w:color w:val="000000"/>
        </w:rPr>
        <w:br w:type="page"/>
      </w:r>
      <w:r>
        <w:rPr>
          <w:rFonts w:hint="eastAsia" w:ascii="黑体" w:hAnsi="黑体" w:eastAsia="黑体"/>
          <w:color w:val="000000"/>
          <w:sz w:val="37"/>
          <w:szCs w:val="37"/>
        </w:rPr>
        <w:t>详细</w:t>
      </w:r>
      <w:r>
        <w:rPr>
          <w:rFonts w:ascii="黑体" w:hAnsi="黑体" w:eastAsia="黑体"/>
          <w:color w:val="000000"/>
          <w:sz w:val="37"/>
          <w:szCs w:val="37"/>
        </w:rPr>
        <w:t>评分表</w:t>
      </w:r>
    </w:p>
    <w:p w14:paraId="77CCF86E">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5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97"/>
        <w:gridCol w:w="709"/>
        <w:gridCol w:w="7141"/>
      </w:tblGrid>
      <w:tr w14:paraId="0B81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926" w:type="dxa"/>
            <w:gridSpan w:val="2"/>
            <w:tcBorders>
              <w:top w:val="single" w:color="auto" w:sz="4" w:space="0"/>
              <w:left w:val="single" w:color="auto" w:sz="4" w:space="0"/>
              <w:bottom w:val="single" w:color="auto" w:sz="4" w:space="0"/>
              <w:right w:val="single" w:color="auto" w:sz="4" w:space="0"/>
            </w:tcBorders>
            <w:vAlign w:val="center"/>
          </w:tcPr>
          <w:p w14:paraId="44FE91BE">
            <w:pPr>
              <w:widowControl/>
              <w:spacing w:line="400" w:lineRule="exact"/>
              <w:contextualSpacing/>
              <w:jc w:val="center"/>
              <w:rPr>
                <w:rFonts w:hint="eastAsia" w:ascii="宋体" w:hAnsi="宋体"/>
                <w:b/>
                <w:color w:val="000000"/>
                <w:kern w:val="0"/>
                <w:szCs w:val="21"/>
              </w:rPr>
            </w:pPr>
            <w:r>
              <w:rPr>
                <w:rFonts w:ascii="宋体" w:hAnsi="宋体"/>
                <w:b/>
                <w:color w:val="000000"/>
                <w:kern w:val="0"/>
                <w:szCs w:val="21"/>
              </w:rPr>
              <w:t>评标项目</w:t>
            </w:r>
          </w:p>
        </w:tc>
        <w:tc>
          <w:tcPr>
            <w:tcW w:w="709" w:type="dxa"/>
            <w:tcBorders>
              <w:top w:val="single" w:color="auto" w:sz="4" w:space="0"/>
              <w:left w:val="single" w:color="auto" w:sz="4" w:space="0"/>
              <w:bottom w:val="single" w:color="auto" w:sz="4" w:space="0"/>
              <w:right w:val="single" w:color="auto" w:sz="4" w:space="0"/>
            </w:tcBorders>
            <w:vAlign w:val="center"/>
          </w:tcPr>
          <w:p w14:paraId="7F0AF1E9">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分值</w:t>
            </w:r>
          </w:p>
        </w:tc>
        <w:tc>
          <w:tcPr>
            <w:tcW w:w="7141" w:type="dxa"/>
            <w:tcBorders>
              <w:top w:val="single" w:color="auto" w:sz="4" w:space="0"/>
              <w:left w:val="single" w:color="auto" w:sz="4" w:space="0"/>
              <w:bottom w:val="single" w:color="auto" w:sz="4" w:space="0"/>
              <w:right w:val="single" w:color="auto" w:sz="4" w:space="0"/>
            </w:tcBorders>
            <w:vAlign w:val="center"/>
          </w:tcPr>
          <w:p w14:paraId="4CC04506">
            <w:pPr>
              <w:keepLines/>
              <w:widowControl/>
              <w:tabs>
                <w:tab w:val="left" w:pos="794"/>
                <w:tab w:val="left" w:pos="1191"/>
                <w:tab w:val="left" w:pos="1588"/>
                <w:tab w:val="left" w:pos="1985"/>
              </w:tabs>
              <w:spacing w:line="400" w:lineRule="exact"/>
              <w:contextualSpacing/>
              <w:jc w:val="center"/>
              <w:rPr>
                <w:rFonts w:hint="eastAsia" w:ascii="宋体" w:hAnsi="宋体"/>
                <w:b/>
                <w:color w:val="000000"/>
                <w:kern w:val="0"/>
                <w:szCs w:val="21"/>
              </w:rPr>
            </w:pPr>
            <w:r>
              <w:rPr>
                <w:rFonts w:ascii="宋体" w:hAnsi="宋体"/>
                <w:b/>
                <w:color w:val="000000"/>
                <w:kern w:val="0"/>
                <w:szCs w:val="21"/>
              </w:rPr>
              <w:t>评分要求</w:t>
            </w:r>
          </w:p>
        </w:tc>
      </w:tr>
      <w:tr w14:paraId="0BB66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9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56BDBBB">
            <w:pPr>
              <w:widowControl/>
              <w:spacing w:line="400" w:lineRule="exact"/>
              <w:contextualSpacing/>
              <w:jc w:val="center"/>
              <w:rPr>
                <w:rFonts w:hint="eastAsia" w:ascii="宋体" w:hAnsi="宋体"/>
                <w:b/>
                <w:bCs/>
                <w:color w:val="000000"/>
                <w:szCs w:val="21"/>
              </w:rPr>
            </w:pPr>
            <w:r>
              <w:rPr>
                <w:rFonts w:ascii="宋体" w:hAnsi="宋体"/>
                <w:b/>
                <w:bCs/>
                <w:color w:val="000000"/>
                <w:szCs w:val="21"/>
              </w:rPr>
              <w:t>价格部分</w:t>
            </w:r>
          </w:p>
          <w:p w14:paraId="506E9130">
            <w:pPr>
              <w:pStyle w:val="2"/>
              <w:spacing w:line="400" w:lineRule="exact"/>
              <w:contextualSpacing/>
              <w:jc w:val="center"/>
              <w:rPr>
                <w:rFonts w:hint="eastAsia" w:ascii="宋体" w:hAnsi="宋体"/>
                <w:color w:val="000000"/>
                <w:sz w:val="21"/>
                <w:szCs w:val="21"/>
              </w:rPr>
            </w:pPr>
            <w:r>
              <w:rPr>
                <w:rFonts w:ascii="宋体" w:hAnsi="宋体"/>
                <w:b/>
                <w:bCs/>
                <w:color w:val="000000"/>
                <w:sz w:val="21"/>
                <w:szCs w:val="21"/>
              </w:rPr>
              <w:t>（</w:t>
            </w:r>
            <w:r>
              <w:rPr>
                <w:rFonts w:hint="eastAsia" w:ascii="宋体" w:hAnsi="宋体"/>
                <w:b/>
                <w:bCs/>
                <w:color w:val="000000"/>
                <w:sz w:val="21"/>
                <w:szCs w:val="21"/>
              </w:rPr>
              <w:t>5</w:t>
            </w:r>
            <w:r>
              <w:rPr>
                <w:rFonts w:ascii="宋体" w:hAnsi="宋体"/>
                <w:b/>
                <w:bCs/>
                <w:color w:val="000000"/>
                <w:sz w:val="21"/>
                <w:szCs w:val="21"/>
              </w:rPr>
              <w:t>0分）</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3E0644">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5</w:t>
            </w:r>
            <w:r>
              <w:rPr>
                <w:rFonts w:ascii="宋体" w:hAnsi="宋体"/>
                <w:b/>
                <w:bCs/>
                <w:color w:val="000000"/>
                <w:szCs w:val="21"/>
              </w:rPr>
              <w:t>0</w:t>
            </w:r>
          </w:p>
        </w:tc>
        <w:tc>
          <w:tcPr>
            <w:tcW w:w="7141" w:type="dxa"/>
            <w:tcBorders>
              <w:top w:val="single" w:color="auto" w:sz="4" w:space="0"/>
              <w:left w:val="single" w:color="auto" w:sz="4" w:space="0"/>
              <w:bottom w:val="single" w:color="auto" w:sz="4" w:space="0"/>
              <w:right w:val="single" w:color="auto" w:sz="4" w:space="0"/>
            </w:tcBorders>
            <w:vAlign w:val="center"/>
          </w:tcPr>
          <w:p w14:paraId="68FA5A8A">
            <w:pPr>
              <w:widowControl/>
              <w:numPr>
                <w:ilvl w:val="0"/>
                <w:numId w:val="9"/>
              </w:numPr>
              <w:tabs>
                <w:tab w:val="left" w:pos="0"/>
              </w:tabs>
              <w:spacing w:line="400" w:lineRule="exact"/>
              <w:ind w:left="0"/>
              <w:contextualSpacing/>
              <w:rPr>
                <w:rFonts w:hint="eastAsia" w:ascii="宋体" w:hAnsi="宋体"/>
                <w:b/>
                <w:color w:val="000000"/>
                <w:kern w:val="0"/>
                <w:szCs w:val="21"/>
              </w:rPr>
            </w:pPr>
            <w:r>
              <w:rPr>
                <w:rFonts w:ascii="宋体" w:hAnsi="宋体"/>
                <w:b/>
                <w:color w:val="000000"/>
                <w:kern w:val="0"/>
                <w:szCs w:val="21"/>
              </w:rPr>
              <w:t>A、评标价的计算</w:t>
            </w:r>
          </w:p>
          <w:p w14:paraId="529B2592">
            <w:pPr>
              <w:keepLines/>
              <w:widowControl/>
              <w:tabs>
                <w:tab w:val="left" w:pos="794"/>
                <w:tab w:val="left" w:pos="1191"/>
                <w:tab w:val="left" w:pos="1588"/>
                <w:tab w:val="left" w:pos="1985"/>
              </w:tabs>
              <w:spacing w:line="400" w:lineRule="exact"/>
              <w:contextualSpacing/>
              <w:jc w:val="left"/>
              <w:rPr>
                <w:rFonts w:hint="eastAsia" w:ascii="宋体" w:hAnsi="宋体"/>
                <w:color w:val="000000"/>
                <w:szCs w:val="21"/>
              </w:rPr>
            </w:pPr>
            <w:r>
              <w:rPr>
                <w:rFonts w:ascii="宋体" w:hAnsi="宋体"/>
                <w:color w:val="000000"/>
                <w:szCs w:val="21"/>
              </w:rPr>
              <w:t>1</w:t>
            </w:r>
            <w:r>
              <w:rPr>
                <w:rFonts w:hint="eastAsia" w:ascii="宋体" w:hAnsi="宋体"/>
                <w:color w:val="000000"/>
                <w:szCs w:val="21"/>
              </w:rPr>
              <w:t>.</w:t>
            </w:r>
            <w:r>
              <w:rPr>
                <w:rFonts w:ascii="宋体" w:hAnsi="宋体"/>
                <w:color w:val="000000"/>
                <w:szCs w:val="21"/>
              </w:rPr>
              <w:t>供应商</w:t>
            </w:r>
            <w:r>
              <w:rPr>
                <w:rFonts w:hint="eastAsia" w:ascii="宋体" w:hAnsi="宋体"/>
                <w:color w:val="000000"/>
                <w:szCs w:val="21"/>
              </w:rPr>
              <w:t>所报</w:t>
            </w:r>
            <w:r>
              <w:rPr>
                <w:rFonts w:ascii="宋体" w:hAnsi="宋体"/>
                <w:color w:val="000000"/>
                <w:szCs w:val="21"/>
              </w:rPr>
              <w:t>价</w:t>
            </w:r>
            <w:r>
              <w:rPr>
                <w:rFonts w:hint="eastAsia" w:ascii="宋体" w:hAnsi="宋体"/>
                <w:color w:val="000000"/>
                <w:szCs w:val="21"/>
              </w:rPr>
              <w:t>格</w:t>
            </w:r>
            <w:r>
              <w:rPr>
                <w:rFonts w:ascii="宋体" w:hAnsi="宋体"/>
                <w:color w:val="000000"/>
                <w:szCs w:val="21"/>
              </w:rPr>
              <w:t>如有缺漏项，视为不实质性响应。</w:t>
            </w:r>
          </w:p>
          <w:p w14:paraId="0946F901">
            <w:pPr>
              <w:keepLines/>
              <w:widowControl/>
              <w:tabs>
                <w:tab w:val="left" w:pos="794"/>
                <w:tab w:val="left" w:pos="1191"/>
                <w:tab w:val="left" w:pos="1588"/>
                <w:tab w:val="left" w:pos="1985"/>
              </w:tabs>
              <w:spacing w:line="400" w:lineRule="exact"/>
              <w:contextualSpacing/>
              <w:jc w:val="left"/>
              <w:rPr>
                <w:rFonts w:hint="eastAsia" w:ascii="宋体" w:hAnsi="宋体"/>
                <w:color w:val="000000"/>
                <w:szCs w:val="21"/>
              </w:rPr>
            </w:pPr>
            <w:r>
              <w:rPr>
                <w:rFonts w:ascii="宋体" w:hAnsi="宋体"/>
                <w:color w:val="000000"/>
                <w:szCs w:val="21"/>
              </w:rPr>
              <w:t>2</w:t>
            </w:r>
            <w:r>
              <w:rPr>
                <w:rFonts w:hint="eastAsia" w:ascii="宋体" w:hAnsi="宋体"/>
                <w:color w:val="000000"/>
                <w:szCs w:val="21"/>
              </w:rPr>
              <w:t>.</w:t>
            </w:r>
            <w:r>
              <w:rPr>
                <w:rFonts w:ascii="宋体" w:hAnsi="宋体"/>
                <w:color w:val="000000"/>
                <w:szCs w:val="21"/>
              </w:rPr>
              <w:t>不接受选择性报价或者具有附加条件的报价。</w:t>
            </w:r>
          </w:p>
          <w:p w14:paraId="6FCDD350">
            <w:pPr>
              <w:keepLines/>
              <w:widowControl/>
              <w:tabs>
                <w:tab w:val="left" w:pos="794"/>
                <w:tab w:val="left" w:pos="1191"/>
                <w:tab w:val="left" w:pos="1588"/>
                <w:tab w:val="left" w:pos="1985"/>
              </w:tabs>
              <w:spacing w:line="400" w:lineRule="exact"/>
              <w:contextualSpacing/>
              <w:jc w:val="left"/>
              <w:rPr>
                <w:rFonts w:hint="eastAsia" w:ascii="宋体" w:hAnsi="宋体"/>
                <w:color w:val="000000"/>
                <w:szCs w:val="21"/>
              </w:rPr>
            </w:pPr>
            <w:r>
              <w:rPr>
                <w:rFonts w:ascii="宋体" w:hAnsi="宋体"/>
                <w:color w:val="000000"/>
                <w:szCs w:val="21"/>
              </w:rPr>
              <w:t>3</w:t>
            </w:r>
            <w:r>
              <w:rPr>
                <w:rFonts w:hint="eastAsia" w:ascii="宋体" w:hAnsi="宋体"/>
                <w:color w:val="000000"/>
                <w:szCs w:val="21"/>
              </w:rPr>
              <w:t>.响应</w:t>
            </w:r>
            <w:r>
              <w:rPr>
                <w:rFonts w:ascii="宋体" w:hAnsi="宋体"/>
                <w:color w:val="000000"/>
                <w:szCs w:val="21"/>
              </w:rPr>
              <w:t>文件中如果申报了非</w:t>
            </w:r>
            <w:r>
              <w:rPr>
                <w:rFonts w:hint="eastAsia" w:ascii="宋体" w:hAnsi="宋体"/>
                <w:color w:val="000000"/>
                <w:szCs w:val="21"/>
              </w:rPr>
              <w:t>本采购</w:t>
            </w:r>
            <w:r>
              <w:rPr>
                <w:rFonts w:ascii="宋体" w:hAnsi="宋体"/>
                <w:color w:val="000000"/>
                <w:szCs w:val="21"/>
              </w:rPr>
              <w:t>文件所要求的服务和产品，评标时不予以折价降低评标价。</w:t>
            </w:r>
          </w:p>
          <w:p w14:paraId="760038A6">
            <w:pPr>
              <w:keepLines/>
              <w:widowControl/>
              <w:tabs>
                <w:tab w:val="left" w:pos="794"/>
                <w:tab w:val="left" w:pos="1191"/>
                <w:tab w:val="left" w:pos="1588"/>
                <w:tab w:val="left" w:pos="1985"/>
              </w:tabs>
              <w:spacing w:line="400" w:lineRule="exact"/>
              <w:contextualSpacing/>
              <w:jc w:val="left"/>
              <w:rPr>
                <w:rFonts w:hint="eastAsia" w:ascii="宋体" w:hAnsi="宋体"/>
                <w:color w:val="000000"/>
                <w:szCs w:val="21"/>
              </w:rPr>
            </w:pPr>
            <w:r>
              <w:rPr>
                <w:rFonts w:ascii="宋体" w:hAnsi="宋体"/>
                <w:color w:val="000000"/>
                <w:szCs w:val="21"/>
              </w:rPr>
              <w:t>4、评标价=经评审的含税总价。</w:t>
            </w:r>
          </w:p>
          <w:p w14:paraId="27995166">
            <w:pPr>
              <w:widowControl/>
              <w:tabs>
                <w:tab w:val="left" w:pos="0"/>
              </w:tabs>
              <w:spacing w:line="400" w:lineRule="exact"/>
              <w:contextualSpacing/>
              <w:rPr>
                <w:rFonts w:hint="eastAsia" w:ascii="宋体" w:hAnsi="宋体"/>
                <w:b/>
                <w:color w:val="000000"/>
                <w:kern w:val="0"/>
                <w:szCs w:val="21"/>
              </w:rPr>
            </w:pPr>
            <w:r>
              <w:rPr>
                <w:rFonts w:ascii="宋体" w:hAnsi="宋体"/>
                <w:b/>
                <w:color w:val="000000"/>
                <w:kern w:val="0"/>
                <w:szCs w:val="21"/>
              </w:rPr>
              <w:t>B、价格分的计算（保留小数点后2位）</w:t>
            </w:r>
          </w:p>
          <w:p w14:paraId="5D65A949">
            <w:pPr>
              <w:widowControl/>
              <w:tabs>
                <w:tab w:val="left" w:pos="360"/>
                <w:tab w:val="left" w:pos="402"/>
              </w:tabs>
              <w:spacing w:line="400" w:lineRule="exact"/>
              <w:contextualSpacing/>
              <w:rPr>
                <w:rFonts w:hint="eastAsia" w:ascii="宋体" w:hAnsi="宋体"/>
                <w:color w:val="000000"/>
                <w:kern w:val="0"/>
                <w:szCs w:val="21"/>
              </w:rPr>
            </w:pPr>
            <w:r>
              <w:rPr>
                <w:rFonts w:ascii="宋体" w:hAnsi="宋体"/>
                <w:color w:val="000000"/>
                <w:kern w:val="0"/>
                <w:szCs w:val="21"/>
              </w:rPr>
              <w:t>1</w:t>
            </w:r>
            <w:r>
              <w:rPr>
                <w:rFonts w:hint="eastAsia" w:ascii="宋体" w:hAnsi="宋体"/>
                <w:color w:val="000000"/>
                <w:kern w:val="0"/>
                <w:szCs w:val="21"/>
              </w:rPr>
              <w:t>.</w:t>
            </w:r>
            <w:r>
              <w:rPr>
                <w:rFonts w:ascii="宋体" w:hAnsi="宋体"/>
                <w:color w:val="000000"/>
                <w:kern w:val="0"/>
                <w:szCs w:val="21"/>
              </w:rPr>
              <w:t>评标基准价：</w:t>
            </w:r>
          </w:p>
          <w:p w14:paraId="3AA2B4D3">
            <w:pPr>
              <w:widowControl/>
              <w:tabs>
                <w:tab w:val="left" w:pos="360"/>
                <w:tab w:val="left" w:pos="402"/>
              </w:tabs>
              <w:spacing w:line="400" w:lineRule="exact"/>
              <w:contextualSpacing/>
              <w:rPr>
                <w:rFonts w:hint="eastAsia" w:ascii="宋体" w:hAnsi="宋体"/>
                <w:color w:val="000000"/>
                <w:kern w:val="0"/>
                <w:szCs w:val="21"/>
              </w:rPr>
            </w:pPr>
            <w:r>
              <w:rPr>
                <w:rFonts w:ascii="宋体" w:hAnsi="宋体"/>
                <w:color w:val="000000"/>
                <w:kern w:val="0"/>
                <w:szCs w:val="21"/>
              </w:rPr>
              <w:t>（1）若有效供应商</w:t>
            </w:r>
            <w:r>
              <w:rPr>
                <w:rFonts w:hint="eastAsia" w:ascii="宋体" w:hAnsi="宋体"/>
                <w:color w:val="000000"/>
                <w:kern w:val="0"/>
                <w:szCs w:val="21"/>
              </w:rPr>
              <w:t>≥</w:t>
            </w:r>
            <w:r>
              <w:rPr>
                <w:rFonts w:ascii="宋体" w:hAnsi="宋体"/>
                <w:color w:val="000000"/>
                <w:kern w:val="0"/>
                <w:szCs w:val="21"/>
              </w:rPr>
              <w:t>5家，则去掉一个最低价和一个最高价，以剩余有效供应商</w:t>
            </w:r>
            <w:r>
              <w:rPr>
                <w:rFonts w:ascii="宋体" w:hAnsi="宋体"/>
                <w:color w:val="000000"/>
                <w:szCs w:val="21"/>
              </w:rPr>
              <w:t>评标价</w:t>
            </w:r>
            <w:r>
              <w:rPr>
                <w:rFonts w:ascii="宋体" w:hAnsi="宋体"/>
                <w:color w:val="000000"/>
                <w:kern w:val="0"/>
                <w:szCs w:val="21"/>
              </w:rPr>
              <w:t>的算术平均值</w:t>
            </w:r>
            <w:r>
              <w:rPr>
                <w:rFonts w:ascii="宋体" w:hAnsi="宋体"/>
                <w:color w:val="000000"/>
                <w:szCs w:val="21"/>
              </w:rPr>
              <w:t>×90%</w:t>
            </w:r>
            <w:r>
              <w:rPr>
                <w:rFonts w:ascii="宋体" w:hAnsi="宋体"/>
                <w:color w:val="000000"/>
                <w:kern w:val="0"/>
                <w:szCs w:val="21"/>
              </w:rPr>
              <w:t>作为评标基准价。</w:t>
            </w:r>
          </w:p>
          <w:p w14:paraId="7EECAB62">
            <w:pPr>
              <w:widowControl/>
              <w:tabs>
                <w:tab w:val="left" w:pos="360"/>
                <w:tab w:val="left" w:pos="402"/>
              </w:tabs>
              <w:spacing w:line="400" w:lineRule="exact"/>
              <w:contextualSpacing/>
              <w:rPr>
                <w:rFonts w:hint="eastAsia" w:ascii="宋体" w:hAnsi="宋体"/>
                <w:color w:val="000000"/>
                <w:kern w:val="0"/>
                <w:szCs w:val="21"/>
              </w:rPr>
            </w:pPr>
            <w:r>
              <w:rPr>
                <w:rFonts w:ascii="宋体" w:hAnsi="宋体"/>
                <w:color w:val="000000"/>
                <w:kern w:val="0"/>
                <w:szCs w:val="21"/>
              </w:rPr>
              <w:t>（2）若有效供应商＜5家，则以所有有效供应商</w:t>
            </w:r>
            <w:r>
              <w:rPr>
                <w:rFonts w:ascii="宋体" w:hAnsi="宋体"/>
                <w:color w:val="000000"/>
                <w:szCs w:val="21"/>
              </w:rPr>
              <w:t>评标价</w:t>
            </w:r>
            <w:r>
              <w:rPr>
                <w:rFonts w:ascii="宋体" w:hAnsi="宋体"/>
                <w:color w:val="000000"/>
                <w:kern w:val="0"/>
                <w:szCs w:val="21"/>
              </w:rPr>
              <w:t>的算术平均值×</w:t>
            </w:r>
            <w:r>
              <w:rPr>
                <w:rFonts w:ascii="宋体" w:hAnsi="宋体"/>
                <w:color w:val="000000"/>
                <w:szCs w:val="21"/>
              </w:rPr>
              <w:t>90%</w:t>
            </w:r>
            <w:r>
              <w:rPr>
                <w:rFonts w:ascii="宋体" w:hAnsi="宋体"/>
                <w:color w:val="000000"/>
                <w:kern w:val="0"/>
                <w:szCs w:val="21"/>
              </w:rPr>
              <w:t>作为评标基准价</w:t>
            </w:r>
            <w:r>
              <w:rPr>
                <w:rFonts w:ascii="宋体" w:hAnsi="宋体"/>
                <w:color w:val="000000"/>
                <w:szCs w:val="21"/>
              </w:rPr>
              <w:t>。</w:t>
            </w:r>
          </w:p>
          <w:p w14:paraId="3DAE6D31">
            <w:pPr>
              <w:spacing w:line="400" w:lineRule="exact"/>
              <w:contextualSpacing/>
              <w:rPr>
                <w:rFonts w:hint="eastAsia" w:ascii="宋体" w:hAnsi="宋体"/>
                <w:color w:val="000000"/>
                <w:szCs w:val="21"/>
              </w:rPr>
            </w:pPr>
            <w:r>
              <w:rPr>
                <w:rFonts w:ascii="宋体" w:hAnsi="宋体"/>
                <w:color w:val="000000"/>
                <w:kern w:val="0"/>
                <w:szCs w:val="21"/>
              </w:rPr>
              <w:t>2</w:t>
            </w:r>
            <w:r>
              <w:rPr>
                <w:rFonts w:hint="eastAsia" w:ascii="宋体" w:hAnsi="宋体"/>
                <w:color w:val="000000"/>
                <w:kern w:val="0"/>
                <w:szCs w:val="21"/>
              </w:rPr>
              <w:t>.</w:t>
            </w:r>
            <w:r>
              <w:rPr>
                <w:rFonts w:ascii="宋体" w:hAnsi="宋体"/>
                <w:color w:val="000000"/>
                <w:kern w:val="0"/>
                <w:szCs w:val="21"/>
              </w:rPr>
              <w:t>报价得分=（评标基准价/供应商报价）×</w:t>
            </w:r>
            <w:r>
              <w:rPr>
                <w:rFonts w:hint="eastAsia" w:ascii="宋体" w:hAnsi="宋体"/>
                <w:color w:val="000000"/>
                <w:kern w:val="0"/>
                <w:szCs w:val="21"/>
              </w:rPr>
              <w:t>5</w:t>
            </w:r>
            <w:r>
              <w:rPr>
                <w:rFonts w:ascii="宋体" w:hAnsi="宋体"/>
                <w:color w:val="000000"/>
                <w:kern w:val="0"/>
                <w:szCs w:val="21"/>
              </w:rPr>
              <w:t>0，如供应商的评标价低于评标基准价的得</w:t>
            </w:r>
            <w:r>
              <w:rPr>
                <w:rFonts w:hint="eastAsia" w:ascii="宋体" w:hAnsi="宋体"/>
                <w:color w:val="000000"/>
                <w:kern w:val="0"/>
                <w:szCs w:val="21"/>
              </w:rPr>
              <w:t>5</w:t>
            </w:r>
            <w:r>
              <w:rPr>
                <w:rFonts w:ascii="宋体" w:hAnsi="宋体"/>
                <w:color w:val="000000"/>
                <w:kern w:val="0"/>
                <w:szCs w:val="21"/>
              </w:rPr>
              <w:t>0分。</w:t>
            </w:r>
          </w:p>
        </w:tc>
      </w:tr>
      <w:tr w14:paraId="124F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29" w:type="dxa"/>
            <w:vMerge w:val="restart"/>
            <w:tcBorders>
              <w:top w:val="single" w:color="auto" w:sz="4" w:space="0"/>
              <w:left w:val="single" w:color="auto" w:sz="4" w:space="0"/>
              <w:right w:val="single" w:color="auto" w:sz="4" w:space="0"/>
            </w:tcBorders>
            <w:shd w:val="clear" w:color="auto" w:fill="auto"/>
            <w:vAlign w:val="center"/>
          </w:tcPr>
          <w:p w14:paraId="67AA6BC4">
            <w:pPr>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商务</w:t>
            </w:r>
          </w:p>
          <w:p w14:paraId="688E5B1C">
            <w:pPr>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部分</w:t>
            </w:r>
          </w:p>
          <w:p w14:paraId="7BB7D568">
            <w:pPr>
              <w:widowControl/>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w:t>
            </w:r>
            <w:r>
              <w:rPr>
                <w:rFonts w:hint="eastAsia" w:ascii="宋体" w:hAnsi="宋体"/>
                <w:b/>
                <w:bCs/>
                <w:color w:val="000000"/>
                <w:kern w:val="0"/>
                <w:szCs w:val="21"/>
              </w:rPr>
              <w:t>12</w:t>
            </w:r>
            <w:r>
              <w:rPr>
                <w:rFonts w:ascii="宋体" w:hAnsi="宋体"/>
                <w:b/>
                <w:bCs/>
                <w:color w:val="000000"/>
                <w:kern w:val="0"/>
                <w:szCs w:val="21"/>
              </w:rPr>
              <w:t>分）</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14:paraId="76B5706E">
            <w:pPr>
              <w:widowControl/>
              <w:spacing w:line="400" w:lineRule="exact"/>
              <w:contextualSpacing/>
              <w:jc w:val="center"/>
              <w:rPr>
                <w:rFonts w:hint="eastAsia" w:ascii="宋体" w:hAnsi="宋体"/>
                <w:b/>
                <w:bCs/>
                <w:color w:val="000000"/>
                <w:kern w:val="0"/>
                <w:szCs w:val="21"/>
              </w:rPr>
            </w:pPr>
            <w:r>
              <w:rPr>
                <w:rFonts w:hint="eastAsia" w:ascii="宋体" w:hAnsi="宋体" w:cs="宋体"/>
                <w:color w:val="000000"/>
                <w:kern w:val="0"/>
                <w:szCs w:val="21"/>
              </w:rPr>
              <w:t>业绩经验</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3C34FCC">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5</w:t>
            </w:r>
          </w:p>
        </w:tc>
        <w:tc>
          <w:tcPr>
            <w:tcW w:w="7141" w:type="dxa"/>
            <w:tcBorders>
              <w:top w:val="single" w:color="auto" w:sz="4" w:space="0"/>
              <w:left w:val="single" w:color="auto" w:sz="4" w:space="0"/>
              <w:bottom w:val="single" w:color="auto" w:sz="4" w:space="0"/>
              <w:right w:val="single" w:color="auto" w:sz="4" w:space="0"/>
            </w:tcBorders>
            <w:vAlign w:val="center"/>
          </w:tcPr>
          <w:p w14:paraId="408151B6">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根据供应商20</w:t>
            </w:r>
            <w:r>
              <w:rPr>
                <w:rFonts w:ascii="宋体" w:hAnsi="宋体" w:cs="宋体"/>
                <w:color w:val="000000"/>
                <w:szCs w:val="21"/>
              </w:rPr>
              <w:t>2</w:t>
            </w:r>
            <w:r>
              <w:rPr>
                <w:rFonts w:hint="eastAsia" w:ascii="宋体" w:hAnsi="宋体" w:cs="宋体"/>
                <w:color w:val="000000"/>
                <w:szCs w:val="21"/>
              </w:rPr>
              <w:t>1年1月1日以来省级及以上</w:t>
            </w:r>
            <w:r>
              <w:rPr>
                <w:rFonts w:hint="eastAsia" w:ascii="宋体" w:hAnsi="宋体"/>
                <w:bCs/>
                <w:color w:val="000000"/>
                <w:szCs w:val="21"/>
              </w:rPr>
              <w:t>公司机顶盒利旧升级成功合同业绩累计金额</w:t>
            </w:r>
            <w:r>
              <w:rPr>
                <w:rFonts w:hint="eastAsia" w:ascii="宋体" w:hAnsi="宋体" w:cs="宋体"/>
                <w:color w:val="000000"/>
                <w:szCs w:val="21"/>
              </w:rPr>
              <w:t>进行打分，</w:t>
            </w:r>
          </w:p>
          <w:p w14:paraId="4FEF0BCD">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100万元＜合同累计金额≤300万元得1分。</w:t>
            </w:r>
          </w:p>
          <w:p w14:paraId="3C3F446C">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300万元＜合同累计金额≤400万元得3分。</w:t>
            </w:r>
          </w:p>
          <w:p w14:paraId="65D0A6FA">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合同累计金额＞400万元得5分。</w:t>
            </w:r>
          </w:p>
          <w:p w14:paraId="76969F02">
            <w:pPr>
              <w:spacing w:line="400" w:lineRule="exact"/>
              <w:contextualSpacing/>
              <w:jc w:val="left"/>
              <w:rPr>
                <w:rFonts w:hint="eastAsia" w:ascii="宋体" w:hAnsi="宋体"/>
                <w:color w:val="000000"/>
                <w:szCs w:val="21"/>
              </w:rPr>
            </w:pPr>
            <w:r>
              <w:rPr>
                <w:rFonts w:ascii="宋体" w:hAnsi="宋体"/>
                <w:color w:val="000000"/>
                <w:szCs w:val="21"/>
              </w:rPr>
              <w:t>需提供</w:t>
            </w:r>
          </w:p>
          <w:p w14:paraId="2B205B31">
            <w:pPr>
              <w:spacing w:line="400" w:lineRule="exact"/>
              <w:contextualSpacing/>
              <w:jc w:val="left"/>
              <w:rPr>
                <w:rFonts w:hint="eastAsia" w:ascii="宋体" w:hAnsi="宋体"/>
                <w:color w:val="000000"/>
                <w:szCs w:val="21"/>
              </w:rPr>
            </w:pPr>
            <w:r>
              <w:rPr>
                <w:rFonts w:hint="eastAsia" w:ascii="宋体" w:hAnsi="宋体"/>
                <w:color w:val="000000"/>
                <w:szCs w:val="21"/>
              </w:rPr>
              <w:t>1.销售</w:t>
            </w:r>
            <w:r>
              <w:rPr>
                <w:rFonts w:ascii="宋体" w:hAnsi="宋体"/>
                <w:color w:val="000000"/>
                <w:szCs w:val="21"/>
              </w:rPr>
              <w:t>合同关键页扫描件（至少包含合同封面、内容、金额、货物名称、签字盖章页；或能体现前述内容的合同关键页）。</w:t>
            </w:r>
          </w:p>
          <w:p w14:paraId="7960E486">
            <w:pPr>
              <w:spacing w:line="400" w:lineRule="exact"/>
              <w:contextualSpacing/>
              <w:jc w:val="left"/>
              <w:rPr>
                <w:rFonts w:hint="eastAsia" w:ascii="宋体" w:hAnsi="宋体"/>
                <w:color w:val="000000"/>
                <w:szCs w:val="21"/>
              </w:rPr>
            </w:pPr>
            <w:r>
              <w:rPr>
                <w:rFonts w:hint="eastAsia" w:ascii="宋体" w:hAnsi="宋体"/>
                <w:color w:val="000000"/>
                <w:szCs w:val="21"/>
              </w:rPr>
              <w:t>2.</w:t>
            </w:r>
            <w:r>
              <w:rPr>
                <w:rFonts w:ascii="宋体" w:hAnsi="宋体"/>
                <w:color w:val="000000"/>
                <w:szCs w:val="21"/>
              </w:rPr>
              <w:t>如提供的合同为框架合同且不能体现具体金额的，须另附该合同项下的结算单或订单，该框架合同金额以结算单或订单累计金额为准，仅有订单未有对应合同的，该份业绩不予认可。</w:t>
            </w:r>
          </w:p>
          <w:p w14:paraId="4E6C9ABA">
            <w:pPr>
              <w:spacing w:line="400" w:lineRule="exact"/>
              <w:contextualSpacing/>
              <w:jc w:val="left"/>
              <w:rPr>
                <w:rFonts w:hint="eastAsia" w:ascii="宋体" w:hAnsi="宋体"/>
                <w:color w:val="000000"/>
                <w:szCs w:val="21"/>
              </w:rPr>
            </w:pPr>
            <w:r>
              <w:rPr>
                <w:rFonts w:hint="eastAsia" w:ascii="宋体" w:hAnsi="宋体"/>
                <w:color w:val="000000"/>
                <w:szCs w:val="21"/>
              </w:rPr>
              <w:t>3.</w:t>
            </w:r>
            <w:r>
              <w:rPr>
                <w:rFonts w:ascii="宋体" w:hAnsi="宋体"/>
                <w:color w:val="000000"/>
                <w:szCs w:val="21"/>
              </w:rPr>
              <w:t>每份合同均须同时提供至少一张对应的发票复印件。</w:t>
            </w:r>
          </w:p>
          <w:p w14:paraId="1D8A134F">
            <w:pPr>
              <w:keepLines/>
              <w:widowControl/>
              <w:tabs>
                <w:tab w:val="left" w:pos="794"/>
                <w:tab w:val="left" w:pos="1191"/>
                <w:tab w:val="left" w:pos="1588"/>
                <w:tab w:val="left" w:pos="1985"/>
              </w:tabs>
              <w:spacing w:line="400" w:lineRule="exact"/>
              <w:contextualSpacing/>
              <w:jc w:val="left"/>
              <w:rPr>
                <w:rFonts w:hint="eastAsia" w:ascii="宋体" w:hAnsi="宋体"/>
                <w:color w:val="000000"/>
                <w:szCs w:val="21"/>
              </w:rPr>
            </w:pPr>
            <w:r>
              <w:rPr>
                <w:rFonts w:ascii="宋体" w:hAnsi="宋体"/>
                <w:color w:val="000000"/>
                <w:szCs w:val="21"/>
              </w:rPr>
              <w:t>未按要求提供证明材料的该份合同业绩不予认可。</w:t>
            </w:r>
          </w:p>
        </w:tc>
      </w:tr>
      <w:tr w14:paraId="1881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shd w:val="clear" w:color="auto" w:fill="auto"/>
            <w:vAlign w:val="center"/>
          </w:tcPr>
          <w:p w14:paraId="4BEFE008">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right w:val="single" w:color="auto" w:sz="4" w:space="0"/>
            </w:tcBorders>
            <w:shd w:val="clear" w:color="auto" w:fill="auto"/>
            <w:vAlign w:val="center"/>
          </w:tcPr>
          <w:p w14:paraId="41D01E42">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软件著作权</w:t>
            </w:r>
          </w:p>
        </w:tc>
        <w:tc>
          <w:tcPr>
            <w:tcW w:w="709" w:type="dxa"/>
            <w:tcBorders>
              <w:top w:val="single" w:color="auto" w:sz="4" w:space="0"/>
              <w:left w:val="single" w:color="auto" w:sz="4" w:space="0"/>
              <w:right w:val="single" w:color="auto" w:sz="4" w:space="0"/>
            </w:tcBorders>
            <w:shd w:val="clear" w:color="auto" w:fill="auto"/>
            <w:vAlign w:val="center"/>
          </w:tcPr>
          <w:p w14:paraId="7AE9EEDF">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2</w:t>
            </w:r>
          </w:p>
        </w:tc>
        <w:tc>
          <w:tcPr>
            <w:tcW w:w="7141" w:type="dxa"/>
            <w:tcBorders>
              <w:top w:val="single" w:color="auto" w:sz="4" w:space="0"/>
              <w:left w:val="single" w:color="auto" w:sz="4" w:space="0"/>
              <w:bottom w:val="single" w:color="auto" w:sz="4" w:space="0"/>
              <w:right w:val="single" w:color="auto" w:sz="4" w:space="0"/>
            </w:tcBorders>
            <w:shd w:val="clear" w:color="auto" w:fill="auto"/>
            <w:vAlign w:val="center"/>
          </w:tcPr>
          <w:p w14:paraId="67356A9F">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根据供应商提供的2</w:t>
            </w:r>
            <w:r>
              <w:rPr>
                <w:rFonts w:ascii="宋体" w:hAnsi="宋体" w:cs="宋体"/>
                <w:color w:val="000000"/>
                <w:szCs w:val="21"/>
              </w:rPr>
              <w:t>0</w:t>
            </w:r>
            <w:r>
              <w:rPr>
                <w:rFonts w:hint="eastAsia" w:ascii="宋体" w:hAnsi="宋体" w:cs="宋体"/>
                <w:color w:val="000000"/>
                <w:szCs w:val="21"/>
              </w:rPr>
              <w:t>21年1月1日以后获得的软件著作权（软件著作权证书中应与机顶盒或</w:t>
            </w:r>
            <w:r>
              <w:rPr>
                <w:rFonts w:hint="eastAsia" w:ascii="宋体" w:hAnsi="宋体" w:cs="宋体"/>
                <w:color w:val="000000"/>
                <w:kern w:val="0"/>
                <w:szCs w:val="21"/>
              </w:rPr>
              <w:t>数字电视行业相关</w:t>
            </w:r>
            <w:r>
              <w:rPr>
                <w:rFonts w:hint="eastAsia" w:ascii="宋体" w:hAnsi="宋体" w:cs="宋体"/>
                <w:color w:val="000000"/>
                <w:szCs w:val="21"/>
              </w:rPr>
              <w:t>）数量进行打分，每提供</w:t>
            </w:r>
            <w:r>
              <w:rPr>
                <w:rFonts w:ascii="宋体" w:hAnsi="宋体" w:cs="宋体"/>
                <w:color w:val="000000"/>
                <w:szCs w:val="21"/>
              </w:rPr>
              <w:t>1</w:t>
            </w:r>
            <w:r>
              <w:rPr>
                <w:rFonts w:hint="eastAsia" w:ascii="宋体" w:hAnsi="宋体" w:cs="宋体"/>
                <w:color w:val="000000"/>
                <w:szCs w:val="21"/>
              </w:rPr>
              <w:t>个软件著作权证书得1分，满分2分。</w:t>
            </w:r>
          </w:p>
          <w:p w14:paraId="53C22DF6">
            <w:pPr>
              <w:pStyle w:val="2"/>
              <w:spacing w:line="400" w:lineRule="exact"/>
              <w:contextualSpacing/>
              <w:rPr>
                <w:rFonts w:hint="eastAsia" w:ascii="宋体" w:hAnsi="宋体"/>
                <w:color w:val="000000"/>
                <w:sz w:val="21"/>
                <w:szCs w:val="21"/>
              </w:rPr>
            </w:pPr>
            <w:r>
              <w:rPr>
                <w:rFonts w:hint="eastAsia" w:ascii="宋体" w:hAnsi="宋体" w:cs="宋体"/>
                <w:color w:val="000000"/>
                <w:sz w:val="21"/>
                <w:szCs w:val="21"/>
              </w:rPr>
              <w:t>提供软件著作权证书清单及证书复印件。</w:t>
            </w:r>
          </w:p>
        </w:tc>
      </w:tr>
      <w:tr w14:paraId="52986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shd w:val="clear" w:color="auto" w:fill="auto"/>
            <w:vAlign w:val="center"/>
          </w:tcPr>
          <w:p w14:paraId="6771F19B">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right w:val="single" w:color="auto" w:sz="4" w:space="0"/>
            </w:tcBorders>
            <w:shd w:val="clear" w:color="auto" w:fill="auto"/>
            <w:vAlign w:val="center"/>
          </w:tcPr>
          <w:p w14:paraId="57C291D0">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发明专利</w:t>
            </w:r>
          </w:p>
        </w:tc>
        <w:tc>
          <w:tcPr>
            <w:tcW w:w="709" w:type="dxa"/>
            <w:tcBorders>
              <w:top w:val="single" w:color="auto" w:sz="4" w:space="0"/>
              <w:left w:val="single" w:color="auto" w:sz="4" w:space="0"/>
              <w:right w:val="single" w:color="auto" w:sz="4" w:space="0"/>
            </w:tcBorders>
            <w:shd w:val="clear" w:color="auto" w:fill="auto"/>
            <w:vAlign w:val="center"/>
          </w:tcPr>
          <w:p w14:paraId="7A55830A">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2</w:t>
            </w:r>
          </w:p>
        </w:tc>
        <w:tc>
          <w:tcPr>
            <w:tcW w:w="7141" w:type="dxa"/>
            <w:tcBorders>
              <w:top w:val="single" w:color="auto" w:sz="4" w:space="0"/>
              <w:left w:val="single" w:color="auto" w:sz="4" w:space="0"/>
              <w:bottom w:val="single" w:color="auto" w:sz="4" w:space="0"/>
              <w:right w:val="single" w:color="auto" w:sz="4" w:space="0"/>
            </w:tcBorders>
            <w:shd w:val="clear" w:color="auto" w:fill="auto"/>
            <w:vAlign w:val="center"/>
          </w:tcPr>
          <w:p w14:paraId="7FB5FD60">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根据供应商提供的2</w:t>
            </w:r>
            <w:r>
              <w:rPr>
                <w:rFonts w:ascii="宋体" w:hAnsi="宋体" w:cs="宋体"/>
                <w:color w:val="000000"/>
                <w:szCs w:val="21"/>
              </w:rPr>
              <w:t>0</w:t>
            </w:r>
            <w:r>
              <w:rPr>
                <w:rFonts w:hint="eastAsia" w:ascii="宋体" w:hAnsi="宋体" w:cs="宋体"/>
                <w:color w:val="000000"/>
                <w:szCs w:val="21"/>
              </w:rPr>
              <w:t>21年1月1日以后获得的发明专利（专利内容应与机顶盒或</w:t>
            </w:r>
            <w:r>
              <w:rPr>
                <w:rFonts w:hint="eastAsia" w:ascii="宋体" w:hAnsi="宋体" w:cs="宋体"/>
                <w:color w:val="000000"/>
                <w:kern w:val="0"/>
                <w:szCs w:val="21"/>
              </w:rPr>
              <w:t>数字电视行业相关</w:t>
            </w:r>
            <w:r>
              <w:rPr>
                <w:rFonts w:hint="eastAsia" w:ascii="宋体" w:hAnsi="宋体" w:cs="宋体"/>
                <w:color w:val="000000"/>
                <w:szCs w:val="21"/>
              </w:rPr>
              <w:t>）数量进行打分，每提供</w:t>
            </w:r>
            <w:r>
              <w:rPr>
                <w:rFonts w:ascii="宋体" w:hAnsi="宋体" w:cs="宋体"/>
                <w:color w:val="000000"/>
                <w:szCs w:val="21"/>
              </w:rPr>
              <w:t>1</w:t>
            </w:r>
            <w:r>
              <w:rPr>
                <w:rFonts w:hint="eastAsia" w:ascii="宋体" w:hAnsi="宋体" w:cs="宋体"/>
                <w:color w:val="000000"/>
                <w:szCs w:val="21"/>
              </w:rPr>
              <w:t>个专利证书得1分，满分2分。</w:t>
            </w:r>
          </w:p>
          <w:p w14:paraId="3B9CDAB6">
            <w:pPr>
              <w:pStyle w:val="2"/>
              <w:spacing w:line="400" w:lineRule="exact"/>
              <w:contextualSpacing/>
              <w:rPr>
                <w:rFonts w:hint="eastAsia" w:ascii="宋体" w:hAnsi="宋体"/>
                <w:color w:val="000000"/>
                <w:sz w:val="21"/>
                <w:szCs w:val="21"/>
              </w:rPr>
            </w:pPr>
            <w:r>
              <w:rPr>
                <w:rFonts w:hint="eastAsia" w:ascii="宋体" w:hAnsi="宋体" w:cs="宋体"/>
                <w:color w:val="000000"/>
                <w:sz w:val="21"/>
                <w:szCs w:val="21"/>
              </w:rPr>
              <w:t>提供专利证书清单及证书复印件。</w:t>
            </w:r>
          </w:p>
        </w:tc>
      </w:tr>
      <w:tr w14:paraId="09C9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9" w:type="dxa"/>
            <w:vMerge w:val="continue"/>
            <w:tcBorders>
              <w:left w:val="single" w:color="auto" w:sz="4" w:space="0"/>
              <w:right w:val="single" w:color="auto" w:sz="4" w:space="0"/>
            </w:tcBorders>
            <w:vAlign w:val="center"/>
          </w:tcPr>
          <w:p w14:paraId="45EAC3D8">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right w:val="single" w:color="auto" w:sz="4" w:space="0"/>
            </w:tcBorders>
            <w:vAlign w:val="center"/>
          </w:tcPr>
          <w:p w14:paraId="03F98960">
            <w:pPr>
              <w:spacing w:line="400" w:lineRule="exact"/>
              <w:contextualSpacing/>
              <w:jc w:val="center"/>
              <w:rPr>
                <w:rFonts w:hint="eastAsia" w:ascii="宋体" w:hAnsi="宋体" w:cs="宋体"/>
                <w:color w:val="000000"/>
                <w:kern w:val="0"/>
                <w:szCs w:val="21"/>
              </w:rPr>
            </w:pPr>
            <w:r>
              <w:rPr>
                <w:rFonts w:hint="eastAsia" w:ascii="宋体" w:hAnsi="宋体" w:cs="宋体"/>
                <w:color w:val="000000"/>
                <w:szCs w:val="21"/>
              </w:rPr>
              <w:t>资质证书</w:t>
            </w:r>
          </w:p>
        </w:tc>
        <w:tc>
          <w:tcPr>
            <w:tcW w:w="709" w:type="dxa"/>
            <w:tcBorders>
              <w:top w:val="single" w:color="auto" w:sz="4" w:space="0"/>
              <w:left w:val="single" w:color="auto" w:sz="4" w:space="0"/>
              <w:right w:val="single" w:color="auto" w:sz="4" w:space="0"/>
            </w:tcBorders>
            <w:vAlign w:val="center"/>
          </w:tcPr>
          <w:p w14:paraId="01C173B9">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14:paraId="5B60C231">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根据供应商的资质证书进行打分。</w:t>
            </w:r>
          </w:p>
          <w:p w14:paraId="27B7FE7B">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1.供应商具有有效期内的质量管理体系（</w:t>
            </w:r>
            <w:r>
              <w:rPr>
                <w:rFonts w:hint="eastAsia" w:ascii="宋体" w:hAnsi="宋体"/>
                <w:color w:val="000000"/>
                <w:szCs w:val="21"/>
              </w:rPr>
              <w:t>ISO9000</w:t>
            </w:r>
            <w:r>
              <w:rPr>
                <w:rFonts w:hint="eastAsia" w:ascii="宋体" w:hAnsi="宋体" w:cs="宋体"/>
                <w:color w:val="000000"/>
                <w:szCs w:val="21"/>
              </w:rPr>
              <w:t>系列）认证证书得1分。</w:t>
            </w:r>
          </w:p>
          <w:p w14:paraId="45ABCA40">
            <w:pPr>
              <w:pStyle w:val="2"/>
              <w:spacing w:line="400" w:lineRule="exact"/>
              <w:contextualSpacing/>
              <w:rPr>
                <w:rFonts w:hint="eastAsia" w:ascii="宋体" w:hAnsi="宋体" w:cs="宋体"/>
                <w:color w:val="000000"/>
                <w:sz w:val="21"/>
                <w:szCs w:val="21"/>
              </w:rPr>
            </w:pPr>
            <w:r>
              <w:rPr>
                <w:rFonts w:hint="eastAsia" w:ascii="宋体" w:hAnsi="宋体" w:cs="宋体"/>
                <w:color w:val="000000"/>
                <w:sz w:val="21"/>
                <w:szCs w:val="21"/>
              </w:rPr>
              <w:t>2.供应商具有有效期内的</w:t>
            </w:r>
            <w:r>
              <w:rPr>
                <w:rFonts w:hint="eastAsia" w:ascii="宋体" w:hAnsi="宋体"/>
                <w:color w:val="000000"/>
                <w:sz w:val="21"/>
                <w:szCs w:val="21"/>
              </w:rPr>
              <w:t>信息技术服务管理体系（ISO20000系列）认证证书</w:t>
            </w:r>
            <w:r>
              <w:rPr>
                <w:rFonts w:hint="eastAsia" w:ascii="宋体" w:hAnsi="宋体" w:cs="宋体"/>
                <w:color w:val="000000"/>
                <w:sz w:val="21"/>
                <w:szCs w:val="21"/>
              </w:rPr>
              <w:t>得1分。</w:t>
            </w:r>
          </w:p>
          <w:p w14:paraId="212F034A">
            <w:pPr>
              <w:spacing w:line="400" w:lineRule="exact"/>
              <w:contextualSpacing/>
              <w:rPr>
                <w:rFonts w:hint="eastAsia" w:ascii="宋体" w:hAnsi="宋体"/>
                <w:color w:val="000000"/>
                <w:szCs w:val="21"/>
              </w:rPr>
            </w:pPr>
            <w:r>
              <w:rPr>
                <w:rFonts w:hint="eastAsia" w:ascii="宋体" w:hAnsi="宋体" w:cs="宋体"/>
                <w:color w:val="000000"/>
                <w:szCs w:val="21"/>
              </w:rPr>
              <w:t>3.供应商</w:t>
            </w:r>
            <w:r>
              <w:rPr>
                <w:rFonts w:ascii="宋体" w:hAnsi="宋体"/>
                <w:color w:val="000000"/>
                <w:szCs w:val="21"/>
              </w:rPr>
              <w:t>具有</w:t>
            </w:r>
            <w:r>
              <w:rPr>
                <w:rFonts w:hint="eastAsia" w:ascii="宋体" w:hAnsi="宋体" w:cs="宋体"/>
                <w:color w:val="000000"/>
                <w:szCs w:val="21"/>
              </w:rPr>
              <w:t>有效期内的</w:t>
            </w:r>
            <w:r>
              <w:rPr>
                <w:rFonts w:ascii="宋体" w:hAnsi="宋体"/>
                <w:color w:val="000000"/>
                <w:szCs w:val="21"/>
              </w:rPr>
              <w:t>软件能力成熟度集成模型认证CMMI</w:t>
            </w:r>
            <w:r>
              <w:rPr>
                <w:rFonts w:hint="eastAsia" w:ascii="宋体" w:hAnsi="宋体"/>
                <w:color w:val="000000"/>
                <w:szCs w:val="21"/>
              </w:rPr>
              <w:t>5</w:t>
            </w:r>
            <w:r>
              <w:rPr>
                <w:rFonts w:ascii="宋体" w:hAnsi="宋体"/>
                <w:color w:val="000000"/>
                <w:szCs w:val="21"/>
              </w:rPr>
              <w:t>级得1分</w:t>
            </w:r>
            <w:r>
              <w:rPr>
                <w:rFonts w:hint="eastAsia" w:ascii="宋体" w:hAnsi="宋体"/>
                <w:color w:val="000000"/>
                <w:szCs w:val="21"/>
              </w:rPr>
              <w:t>。</w:t>
            </w:r>
          </w:p>
          <w:p w14:paraId="4ED544F2">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提供有效期内的资质证书及认证证书复印件</w:t>
            </w:r>
            <w:r>
              <w:rPr>
                <w:rFonts w:hint="eastAsia" w:ascii="宋体" w:hAnsi="宋体"/>
                <w:color w:val="000000"/>
                <w:szCs w:val="21"/>
              </w:rPr>
              <w:t>。</w:t>
            </w:r>
          </w:p>
        </w:tc>
      </w:tr>
      <w:tr w14:paraId="6543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29" w:type="dxa"/>
            <w:vMerge w:val="restart"/>
            <w:tcBorders>
              <w:top w:val="single" w:color="auto" w:sz="4" w:space="0"/>
              <w:left w:val="single" w:color="auto" w:sz="4" w:space="0"/>
              <w:right w:val="single" w:color="auto" w:sz="4" w:space="0"/>
            </w:tcBorders>
            <w:vAlign w:val="center"/>
          </w:tcPr>
          <w:p w14:paraId="4C8C4DE8">
            <w:pPr>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技术</w:t>
            </w:r>
          </w:p>
          <w:p w14:paraId="5D5892BB">
            <w:pPr>
              <w:spacing w:line="400" w:lineRule="exact"/>
              <w:contextualSpacing/>
              <w:jc w:val="center"/>
              <w:rPr>
                <w:rFonts w:hint="eastAsia" w:ascii="宋体" w:hAnsi="宋体"/>
                <w:b/>
                <w:bCs/>
                <w:color w:val="000000"/>
                <w:kern w:val="0"/>
                <w:szCs w:val="21"/>
              </w:rPr>
            </w:pPr>
            <w:r>
              <w:rPr>
                <w:rFonts w:ascii="宋体" w:hAnsi="宋体"/>
                <w:b/>
                <w:bCs/>
                <w:color w:val="000000"/>
                <w:kern w:val="0"/>
                <w:szCs w:val="21"/>
              </w:rPr>
              <w:t>部分</w:t>
            </w:r>
          </w:p>
          <w:p w14:paraId="4929197E">
            <w:pPr>
              <w:widowControl/>
              <w:spacing w:line="400" w:lineRule="exact"/>
              <w:contextualSpacing/>
              <w:jc w:val="center"/>
              <w:rPr>
                <w:rFonts w:hint="eastAsia" w:ascii="宋体" w:hAnsi="宋体"/>
                <w:b/>
                <w:bCs/>
                <w:color w:val="000000"/>
                <w:szCs w:val="21"/>
              </w:rPr>
            </w:pPr>
            <w:r>
              <w:rPr>
                <w:rFonts w:ascii="宋体" w:hAnsi="宋体"/>
                <w:b/>
                <w:bCs/>
                <w:color w:val="000000"/>
                <w:kern w:val="0"/>
                <w:szCs w:val="21"/>
              </w:rPr>
              <w:t>（</w:t>
            </w:r>
            <w:r>
              <w:rPr>
                <w:rFonts w:hint="eastAsia" w:ascii="宋体" w:hAnsi="宋体"/>
                <w:b/>
                <w:bCs/>
                <w:color w:val="000000"/>
                <w:kern w:val="0"/>
                <w:szCs w:val="21"/>
              </w:rPr>
              <w:t>38</w:t>
            </w:r>
            <w:r>
              <w:rPr>
                <w:rFonts w:ascii="宋体" w:hAnsi="宋体"/>
                <w:b/>
                <w:bCs/>
                <w:color w:val="000000"/>
                <w:kern w:val="0"/>
                <w:szCs w:val="21"/>
              </w:rPr>
              <w:t>分）</w:t>
            </w:r>
          </w:p>
        </w:tc>
        <w:tc>
          <w:tcPr>
            <w:tcW w:w="1097" w:type="dxa"/>
            <w:tcBorders>
              <w:top w:val="single" w:color="auto" w:sz="4" w:space="0"/>
              <w:left w:val="single" w:color="auto" w:sz="4" w:space="0"/>
              <w:bottom w:val="single" w:color="auto" w:sz="4" w:space="0"/>
              <w:right w:val="single" w:color="auto" w:sz="4" w:space="0"/>
            </w:tcBorders>
            <w:vAlign w:val="center"/>
          </w:tcPr>
          <w:p w14:paraId="69F5E978">
            <w:pPr>
              <w:spacing w:line="400" w:lineRule="exact"/>
              <w:contextualSpacing/>
              <w:jc w:val="center"/>
              <w:rPr>
                <w:rFonts w:hint="eastAsia" w:ascii="宋体" w:hAnsi="宋体"/>
                <w:b/>
                <w:bCs/>
                <w:color w:val="000000"/>
                <w:szCs w:val="21"/>
              </w:rPr>
            </w:pPr>
            <w:r>
              <w:rPr>
                <w:rFonts w:hint="eastAsia" w:ascii="宋体" w:hAnsi="宋体" w:cs="宋体"/>
                <w:color w:val="000000"/>
                <w:kern w:val="0"/>
                <w:szCs w:val="21"/>
              </w:rPr>
              <w:t>技术需求</w:t>
            </w:r>
          </w:p>
        </w:tc>
        <w:tc>
          <w:tcPr>
            <w:tcW w:w="709" w:type="dxa"/>
            <w:tcBorders>
              <w:top w:val="single" w:color="auto" w:sz="4" w:space="0"/>
              <w:left w:val="single" w:color="auto" w:sz="4" w:space="0"/>
              <w:bottom w:val="single" w:color="auto" w:sz="4" w:space="0"/>
              <w:right w:val="single" w:color="auto" w:sz="4" w:space="0"/>
            </w:tcBorders>
            <w:vAlign w:val="center"/>
          </w:tcPr>
          <w:p w14:paraId="25D127D9">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12</w:t>
            </w:r>
          </w:p>
        </w:tc>
        <w:tc>
          <w:tcPr>
            <w:tcW w:w="7141" w:type="dxa"/>
            <w:tcBorders>
              <w:top w:val="single" w:color="auto" w:sz="4" w:space="0"/>
              <w:left w:val="single" w:color="auto" w:sz="4" w:space="0"/>
              <w:bottom w:val="single" w:color="auto" w:sz="4" w:space="0"/>
              <w:right w:val="single" w:color="auto" w:sz="4" w:space="0"/>
            </w:tcBorders>
            <w:vAlign w:val="center"/>
          </w:tcPr>
          <w:p w14:paraId="2EB6B514">
            <w:pPr>
              <w:widowControl/>
              <w:spacing w:line="400" w:lineRule="exact"/>
              <w:contextualSpacing/>
              <w:jc w:val="left"/>
              <w:rPr>
                <w:rFonts w:hint="eastAsia" w:ascii="宋体" w:hAnsi="宋体" w:cs="宋体"/>
                <w:color w:val="000000"/>
                <w:kern w:val="0"/>
                <w:szCs w:val="21"/>
              </w:rPr>
            </w:pPr>
            <w:r>
              <w:rPr>
                <w:rFonts w:hint="eastAsia" w:ascii="宋体" w:hAnsi="宋体" w:cs="宋体"/>
                <w:color w:val="000000"/>
                <w:kern w:val="0"/>
                <w:szCs w:val="21"/>
              </w:rPr>
              <w:t>根据供应商对竞争性谈判文件第五章《技术需求书》的偏离情况打分，供应商须详细阐述对技术需求的满足情况，基本分12分。</w:t>
            </w:r>
          </w:p>
          <w:p w14:paraId="748612D0">
            <w:pPr>
              <w:pStyle w:val="19"/>
              <w:spacing w:line="400" w:lineRule="exact"/>
              <w:contextualSpacing/>
              <w:rPr>
                <w:rFonts w:hint="eastAsia" w:ascii="宋体" w:hAnsi="宋体"/>
                <w:color w:val="000000"/>
                <w:szCs w:val="21"/>
              </w:rPr>
            </w:pPr>
            <w:r>
              <w:rPr>
                <w:rFonts w:hint="eastAsia" w:ascii="宋体" w:hAnsi="宋体" w:cs="宋体"/>
                <w:color w:val="000000"/>
                <w:kern w:val="0"/>
                <w:szCs w:val="21"/>
              </w:rPr>
              <w:t>关键条款（“★”号条款）不满足的直接否决本次采购，非关键条款（非“★”号条款）每项不满足扣</w:t>
            </w:r>
            <w:r>
              <w:rPr>
                <w:rFonts w:ascii="宋体" w:hAnsi="宋体" w:cs="宋体"/>
                <w:color w:val="000000"/>
                <w:kern w:val="0"/>
                <w:szCs w:val="21"/>
              </w:rPr>
              <w:t>3</w:t>
            </w:r>
            <w:r>
              <w:rPr>
                <w:rFonts w:hint="eastAsia" w:ascii="宋体" w:hAnsi="宋体" w:cs="宋体"/>
                <w:color w:val="000000"/>
                <w:kern w:val="0"/>
                <w:szCs w:val="21"/>
              </w:rPr>
              <w:t>分，4条及以上不满足直接否决本次采购。</w:t>
            </w:r>
          </w:p>
        </w:tc>
      </w:tr>
      <w:tr w14:paraId="3857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766B44F8">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3451077F">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研发团队</w:t>
            </w:r>
          </w:p>
        </w:tc>
        <w:tc>
          <w:tcPr>
            <w:tcW w:w="709" w:type="dxa"/>
            <w:tcBorders>
              <w:top w:val="single" w:color="auto" w:sz="4" w:space="0"/>
              <w:left w:val="single" w:color="auto" w:sz="4" w:space="0"/>
              <w:bottom w:val="single" w:color="auto" w:sz="4" w:space="0"/>
              <w:right w:val="single" w:color="auto" w:sz="4" w:space="0"/>
            </w:tcBorders>
            <w:vAlign w:val="center"/>
          </w:tcPr>
          <w:p w14:paraId="6C5CC5D2">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8</w:t>
            </w:r>
          </w:p>
        </w:tc>
        <w:tc>
          <w:tcPr>
            <w:tcW w:w="7141" w:type="dxa"/>
            <w:tcBorders>
              <w:top w:val="single" w:color="auto" w:sz="4" w:space="0"/>
              <w:left w:val="single" w:color="auto" w:sz="4" w:space="0"/>
              <w:bottom w:val="single" w:color="auto" w:sz="4" w:space="0"/>
              <w:right w:val="single" w:color="auto" w:sz="4" w:space="0"/>
            </w:tcBorders>
            <w:vAlign w:val="center"/>
          </w:tcPr>
          <w:p w14:paraId="601FDA30">
            <w:p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1.团队人员（4分）：</w:t>
            </w:r>
          </w:p>
          <w:p w14:paraId="68A713DD">
            <w:p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根据供应商提供的投入本项目</w:t>
            </w:r>
            <w:r>
              <w:rPr>
                <w:rFonts w:hint="eastAsia" w:ascii="宋体" w:hAnsi="宋体"/>
                <w:color w:val="000000"/>
                <w:szCs w:val="21"/>
              </w:rPr>
              <w:t>专职技术工程师</w:t>
            </w:r>
            <w:r>
              <w:rPr>
                <w:rFonts w:hint="eastAsia" w:ascii="宋体" w:hAnsi="宋体" w:cs="宋体"/>
                <w:color w:val="000000"/>
                <w:kern w:val="0"/>
                <w:szCs w:val="21"/>
              </w:rPr>
              <w:t>人员数量及资格证书等进行评分，</w:t>
            </w:r>
          </w:p>
          <w:p w14:paraId="289B964D">
            <w:pPr>
              <w:numPr>
                <w:ilvl w:val="0"/>
                <w:numId w:val="10"/>
              </w:num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本项目研发团队人数在满足《技术需求书》10人的基础上每增加1人得1分，最高得2分。</w:t>
            </w:r>
          </w:p>
          <w:p w14:paraId="418BB1CF">
            <w:pPr>
              <w:numPr>
                <w:ilvl w:val="0"/>
                <w:numId w:val="10"/>
              </w:num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项目经理和专职技术工程师中，每有1个具备PMP证书的，得1分，最高得2分。</w:t>
            </w:r>
          </w:p>
          <w:p w14:paraId="09ABB429">
            <w:pPr>
              <w:widowControl/>
              <w:spacing w:line="400" w:lineRule="exact"/>
              <w:contextualSpacing/>
              <w:jc w:val="left"/>
              <w:rPr>
                <w:rFonts w:hint="eastAsia" w:ascii="宋体" w:hAnsi="宋体" w:cs="宋体"/>
                <w:color w:val="000000"/>
                <w:kern w:val="0"/>
                <w:szCs w:val="21"/>
              </w:rPr>
            </w:pPr>
            <w:r>
              <w:rPr>
                <w:rFonts w:hint="eastAsia" w:ascii="宋体" w:hAnsi="宋体" w:cs="宋体"/>
                <w:color w:val="000000"/>
                <w:kern w:val="0"/>
                <w:szCs w:val="21"/>
              </w:rPr>
              <w:t>须提供项目团队人员清单、资质证书复印件、2024年1月以来任意连续3个月缴纳社保证明和相关证明材料复印件。</w:t>
            </w:r>
          </w:p>
          <w:p w14:paraId="7AF75B12">
            <w:p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2.现场服务（4分）：</w:t>
            </w:r>
          </w:p>
          <w:p w14:paraId="0D55E8A7">
            <w:p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（1）根据项目实施期间</w:t>
            </w:r>
            <w:r>
              <w:rPr>
                <w:rFonts w:hint="eastAsia" w:ascii="宋体" w:hAnsi="宋体"/>
                <w:color w:val="000000"/>
                <w:szCs w:val="21"/>
              </w:rPr>
              <w:t>专职技术工程师</w:t>
            </w:r>
            <w:r>
              <w:rPr>
                <w:rFonts w:hint="eastAsia" w:ascii="宋体" w:hAnsi="宋体" w:cs="宋体"/>
                <w:color w:val="000000"/>
                <w:kern w:val="0"/>
                <w:szCs w:val="21"/>
              </w:rPr>
              <w:t>现场投入情况打分，本项目实施期间，投入的</w:t>
            </w:r>
            <w:r>
              <w:rPr>
                <w:rFonts w:hint="eastAsia" w:ascii="宋体" w:hAnsi="宋体"/>
                <w:color w:val="000000"/>
                <w:szCs w:val="21"/>
              </w:rPr>
              <w:t>专职技术工程师须驻场工作，</w:t>
            </w:r>
            <w:r>
              <w:rPr>
                <w:rFonts w:hint="eastAsia" w:ascii="宋体" w:hAnsi="宋体" w:cs="宋体"/>
                <w:color w:val="000000"/>
                <w:kern w:val="0"/>
                <w:szCs w:val="21"/>
              </w:rPr>
              <w:t>在满足《技术需求书》3人的基础上，每增加1人得1分，最高得3分</w:t>
            </w:r>
          </w:p>
          <w:p w14:paraId="39BC0772">
            <w:pPr>
              <w:spacing w:line="400" w:lineRule="exact"/>
              <w:contextualSpacing/>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color w:val="000000"/>
                <w:szCs w:val="21"/>
              </w:rPr>
              <w:t>专职技术工程师</w:t>
            </w:r>
            <w:r>
              <w:rPr>
                <w:rFonts w:hint="eastAsia" w:ascii="宋体" w:hAnsi="宋体" w:cs="宋体"/>
                <w:color w:val="000000"/>
                <w:kern w:val="0"/>
                <w:szCs w:val="21"/>
              </w:rPr>
              <w:t>具有4年及以上工作经验的人数为2人及以上的得1分，其余不得分。</w:t>
            </w:r>
          </w:p>
          <w:p w14:paraId="36A609F9">
            <w:pPr>
              <w:widowControl/>
              <w:spacing w:line="400" w:lineRule="exact"/>
              <w:contextualSpacing/>
              <w:jc w:val="left"/>
              <w:rPr>
                <w:rFonts w:hint="eastAsia" w:ascii="宋体" w:hAnsi="宋体" w:cs="宋体"/>
                <w:color w:val="000000"/>
                <w:szCs w:val="21"/>
              </w:rPr>
            </w:pPr>
            <w:r>
              <w:rPr>
                <w:rFonts w:hint="eastAsia" w:ascii="宋体" w:hAnsi="宋体" w:cs="宋体"/>
                <w:color w:val="000000"/>
                <w:kern w:val="0"/>
                <w:szCs w:val="21"/>
              </w:rPr>
              <w:t>须提供现场支撑人员清单、学历证书复印件、2024年1月以来任意连续3个月缴纳社保证明和相关证明材料复印件。</w:t>
            </w:r>
          </w:p>
        </w:tc>
      </w:tr>
      <w:tr w14:paraId="7467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3B626AD3">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4C29698B">
            <w:pPr>
              <w:spacing w:line="400" w:lineRule="exact"/>
              <w:contextualSpacing/>
              <w:jc w:val="center"/>
              <w:rPr>
                <w:rFonts w:hint="eastAsia" w:ascii="宋体" w:hAnsi="宋体"/>
                <w:b/>
                <w:bCs/>
                <w:color w:val="000000"/>
                <w:szCs w:val="21"/>
              </w:rPr>
            </w:pPr>
            <w:r>
              <w:rPr>
                <w:rFonts w:hint="eastAsia" w:ascii="宋体" w:hAnsi="宋体" w:cs="宋体"/>
                <w:color w:val="000000"/>
                <w:kern w:val="0"/>
                <w:szCs w:val="21"/>
              </w:rPr>
              <w:t>实施方案</w:t>
            </w:r>
          </w:p>
        </w:tc>
        <w:tc>
          <w:tcPr>
            <w:tcW w:w="709" w:type="dxa"/>
            <w:tcBorders>
              <w:top w:val="single" w:color="auto" w:sz="4" w:space="0"/>
              <w:left w:val="single" w:color="auto" w:sz="4" w:space="0"/>
              <w:bottom w:val="single" w:color="auto" w:sz="4" w:space="0"/>
              <w:right w:val="single" w:color="auto" w:sz="4" w:space="0"/>
            </w:tcBorders>
            <w:vAlign w:val="center"/>
          </w:tcPr>
          <w:p w14:paraId="3A1AB7FC">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9</w:t>
            </w:r>
          </w:p>
        </w:tc>
        <w:tc>
          <w:tcPr>
            <w:tcW w:w="7141" w:type="dxa"/>
            <w:tcBorders>
              <w:top w:val="single" w:color="auto" w:sz="4" w:space="0"/>
              <w:left w:val="single" w:color="auto" w:sz="4" w:space="0"/>
              <w:bottom w:val="single" w:color="auto" w:sz="4" w:space="0"/>
              <w:right w:val="single" w:color="auto" w:sz="4" w:space="0"/>
            </w:tcBorders>
            <w:vAlign w:val="center"/>
          </w:tcPr>
          <w:p w14:paraId="7E910994">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根据供应商提供的实施方案进行评分：</w:t>
            </w:r>
          </w:p>
          <w:p w14:paraId="3F90FE20">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1、设计思路：设计思路应在充分理解项目内容、项目总体要求及第五章《技术需求书》所列全部具体要求基础上进行总体构架设计，并明确给出本项目技术路线及所遵循的技术标准，提出的技术路线和技术标准应完全满足或高于第五章《技术需求书》所列技术需求和指标要求。根据供应商给出的设计架构、技术路线、标准指标等方面综合比较打分。</w:t>
            </w:r>
            <w:r>
              <w:rPr>
                <w:rFonts w:ascii="宋体" w:hAnsi="宋体" w:cs="宋体"/>
                <w:color w:val="000000"/>
                <w:szCs w:val="21"/>
              </w:rPr>
              <w:t xml:space="preserve"> </w:t>
            </w:r>
          </w:p>
          <w:p w14:paraId="4757B05D">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优良（2，3]分，较好[1，2]分，一般[0，1)分。</w:t>
            </w:r>
          </w:p>
          <w:p w14:paraId="65946329">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2.技术方案：供应商在充分理解第五章《技术需求书》所列技术方案设计、软件方案设计、业务集成原则、技术体系统一性、继承性等要求基础上提出技术方案，在满足项目基本技术要求前提下，技术方案充分考虑系统的先进性、开放性、扩展性、继承性、安全性、成熟性等原则要求，结合江苏有线省公司电视平台业务、分公司本地化业务制定本项目技术研发、业务集成、安装联调、运行维护、业务培训、代码管理等详细技术方案。根据技术方案的可扩展性、可维护性、可实施性、安全性等方面综合比较打分。</w:t>
            </w:r>
          </w:p>
          <w:p w14:paraId="795BF293">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优良（2，3]分，较好[1，2]分，一般[0，1)分。</w:t>
            </w:r>
          </w:p>
          <w:p w14:paraId="2AD1A0FE">
            <w:pPr>
              <w:widowControl/>
              <w:spacing w:line="400" w:lineRule="exact"/>
              <w:contextualSpacing/>
              <w:jc w:val="left"/>
              <w:rPr>
                <w:rFonts w:hint="eastAsia" w:ascii="宋体" w:hAnsi="宋体" w:cs="宋体"/>
                <w:color w:val="000000"/>
                <w:szCs w:val="21"/>
              </w:rPr>
            </w:pPr>
            <w:r>
              <w:rPr>
                <w:rFonts w:hint="eastAsia" w:ascii="宋体" w:hAnsi="宋体" w:cs="宋体"/>
                <w:color w:val="000000"/>
                <w:szCs w:val="21"/>
              </w:rPr>
              <w:t>3.实施方案：实施方案应在充分理解第五章《技术需求书》所列升级部署、交付成果、项目组织和实施、售后服务、技术培训等要求基础上，准确描述升级软件和生产软件关系、部署步骤、版本管理、实施计划、售后安排和技术掊训内容，提供具体可行的风险应急预案，具体实施过程中的人员安排和任务分解，根据实施方案是否详细严谨、具有可操作等方面综合比较打分。</w:t>
            </w:r>
          </w:p>
          <w:p w14:paraId="19F6FE24">
            <w:pPr>
              <w:spacing w:line="400" w:lineRule="exact"/>
              <w:contextualSpacing/>
              <w:rPr>
                <w:rFonts w:hint="eastAsia" w:ascii="宋体" w:hAnsi="宋体"/>
                <w:color w:val="000000"/>
                <w:szCs w:val="21"/>
              </w:rPr>
            </w:pPr>
            <w:r>
              <w:rPr>
                <w:rFonts w:hint="eastAsia" w:ascii="宋体" w:hAnsi="宋体" w:cs="宋体"/>
                <w:color w:val="000000"/>
                <w:szCs w:val="21"/>
              </w:rPr>
              <w:t>优良（2，3]分，较好[1，2]分，一般[0，1)分。</w:t>
            </w:r>
          </w:p>
        </w:tc>
      </w:tr>
      <w:tr w14:paraId="364A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0067FA35">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5D6CF476">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售后服务</w:t>
            </w:r>
          </w:p>
        </w:tc>
        <w:tc>
          <w:tcPr>
            <w:tcW w:w="709" w:type="dxa"/>
            <w:tcBorders>
              <w:top w:val="single" w:color="auto" w:sz="4" w:space="0"/>
              <w:left w:val="single" w:color="auto" w:sz="4" w:space="0"/>
              <w:bottom w:val="single" w:color="auto" w:sz="4" w:space="0"/>
              <w:right w:val="single" w:color="auto" w:sz="4" w:space="0"/>
            </w:tcBorders>
            <w:vAlign w:val="center"/>
          </w:tcPr>
          <w:p w14:paraId="0C814ECF">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4</w:t>
            </w:r>
          </w:p>
        </w:tc>
        <w:tc>
          <w:tcPr>
            <w:tcW w:w="7141" w:type="dxa"/>
            <w:tcBorders>
              <w:top w:val="single" w:color="auto" w:sz="4" w:space="0"/>
              <w:left w:val="single" w:color="auto" w:sz="4" w:space="0"/>
              <w:bottom w:val="single" w:color="auto" w:sz="4" w:space="0"/>
              <w:right w:val="single" w:color="auto" w:sz="4" w:space="0"/>
            </w:tcBorders>
            <w:vAlign w:val="center"/>
          </w:tcPr>
          <w:p w14:paraId="03BDAB58">
            <w:pPr>
              <w:pStyle w:val="52"/>
              <w:spacing w:line="400" w:lineRule="exact"/>
              <w:contextualSpacing/>
              <w:rPr>
                <w:rFonts w:hint="eastAsia" w:ascii="宋体" w:hAnsi="宋体"/>
                <w:color w:val="000000"/>
                <w:sz w:val="21"/>
                <w:szCs w:val="21"/>
              </w:rPr>
            </w:pPr>
            <w:r>
              <w:rPr>
                <w:rFonts w:hint="eastAsia" w:ascii="宋体" w:hAnsi="宋体"/>
                <w:color w:val="000000"/>
                <w:sz w:val="21"/>
                <w:szCs w:val="21"/>
              </w:rPr>
              <w:t>1、</w:t>
            </w:r>
            <w:r>
              <w:rPr>
                <w:rFonts w:ascii="宋体" w:hAnsi="宋体"/>
                <w:color w:val="000000"/>
                <w:sz w:val="21"/>
                <w:szCs w:val="21"/>
              </w:rPr>
              <w:t>根据供应商售后服务机构的实力，包括数量、分布情况、人员水平；</w:t>
            </w:r>
            <w:r>
              <w:rPr>
                <w:rFonts w:hint="eastAsia" w:ascii="宋体" w:hAnsi="宋体"/>
                <w:color w:val="000000"/>
                <w:sz w:val="21"/>
                <w:szCs w:val="21"/>
              </w:rPr>
              <w:t>包</w:t>
            </w:r>
            <w:r>
              <w:rPr>
                <w:rFonts w:ascii="宋体" w:hAnsi="宋体"/>
                <w:color w:val="000000"/>
                <w:sz w:val="21"/>
                <w:szCs w:val="21"/>
              </w:rPr>
              <w:t>修期内服务承诺、</w:t>
            </w:r>
            <w:r>
              <w:rPr>
                <w:rFonts w:hint="eastAsia" w:ascii="宋体" w:hAnsi="宋体"/>
                <w:color w:val="000000"/>
                <w:sz w:val="21"/>
                <w:szCs w:val="21"/>
              </w:rPr>
              <w:t>包</w:t>
            </w:r>
            <w:r>
              <w:rPr>
                <w:rFonts w:ascii="宋体" w:hAnsi="宋体"/>
                <w:color w:val="000000"/>
                <w:sz w:val="21"/>
                <w:szCs w:val="21"/>
              </w:rPr>
              <w:t>修期外服务方案承诺等情况进行打分。免费包修期至少</w:t>
            </w:r>
            <w:r>
              <w:rPr>
                <w:rFonts w:hint="eastAsia" w:ascii="宋体" w:hAnsi="宋体"/>
                <w:color w:val="000000"/>
                <w:sz w:val="21"/>
                <w:szCs w:val="21"/>
              </w:rPr>
              <w:t>3年</w:t>
            </w:r>
            <w:r>
              <w:rPr>
                <w:rFonts w:ascii="宋体" w:hAnsi="宋体"/>
                <w:color w:val="000000"/>
                <w:sz w:val="21"/>
                <w:szCs w:val="21"/>
              </w:rPr>
              <w:t>，否则本项不得分。</w:t>
            </w:r>
          </w:p>
          <w:p w14:paraId="0A552F31">
            <w:pPr>
              <w:spacing w:line="400" w:lineRule="exact"/>
              <w:contextualSpacing/>
              <w:rPr>
                <w:rFonts w:hint="eastAsia" w:ascii="宋体" w:hAnsi="宋体" w:cs="宋体"/>
                <w:color w:val="000000"/>
                <w:szCs w:val="21"/>
              </w:rPr>
            </w:pPr>
            <w:r>
              <w:rPr>
                <w:rFonts w:hint="eastAsia" w:ascii="宋体" w:hAnsi="宋体" w:cs="宋体"/>
                <w:color w:val="000000"/>
                <w:szCs w:val="21"/>
              </w:rPr>
              <w:t>优良（2，3]分，较好[1，2]分，一般[0，1)分。</w:t>
            </w:r>
          </w:p>
          <w:p w14:paraId="09B66D8C">
            <w:pPr>
              <w:spacing w:line="400" w:lineRule="exact"/>
              <w:contextualSpacing/>
              <w:rPr>
                <w:rFonts w:hint="eastAsia" w:ascii="宋体" w:hAnsi="宋体" w:cs="宋体"/>
                <w:color w:val="000000"/>
                <w:kern w:val="0"/>
                <w:szCs w:val="21"/>
              </w:rPr>
            </w:pPr>
            <w:r>
              <w:rPr>
                <w:rFonts w:hint="eastAsia" w:ascii="宋体" w:hAnsi="宋体"/>
                <w:color w:val="000000"/>
                <w:szCs w:val="21"/>
              </w:rPr>
              <w:t>2、免费包</w:t>
            </w:r>
            <w:r>
              <w:rPr>
                <w:rFonts w:ascii="宋体" w:hAnsi="宋体"/>
                <w:color w:val="000000"/>
                <w:szCs w:val="21"/>
              </w:rPr>
              <w:t>修期</w:t>
            </w:r>
            <w:r>
              <w:rPr>
                <w:rFonts w:hint="eastAsia" w:ascii="宋体" w:hAnsi="宋体"/>
                <w:color w:val="000000"/>
                <w:szCs w:val="21"/>
              </w:rPr>
              <w:t>在3年的基础上，每增加一年加0.5分，满分1分。提供承诺函。</w:t>
            </w:r>
          </w:p>
        </w:tc>
      </w:tr>
      <w:tr w14:paraId="2574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29" w:type="dxa"/>
            <w:vMerge w:val="continue"/>
            <w:tcBorders>
              <w:left w:val="single" w:color="auto" w:sz="4" w:space="0"/>
              <w:right w:val="single" w:color="auto" w:sz="4" w:space="0"/>
            </w:tcBorders>
            <w:vAlign w:val="center"/>
          </w:tcPr>
          <w:p w14:paraId="368BC215">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6A456173">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培训方案</w:t>
            </w:r>
          </w:p>
        </w:tc>
        <w:tc>
          <w:tcPr>
            <w:tcW w:w="709" w:type="dxa"/>
            <w:tcBorders>
              <w:top w:val="single" w:color="auto" w:sz="4" w:space="0"/>
              <w:left w:val="single" w:color="auto" w:sz="4" w:space="0"/>
              <w:bottom w:val="single" w:color="auto" w:sz="4" w:space="0"/>
              <w:right w:val="single" w:color="auto" w:sz="4" w:space="0"/>
            </w:tcBorders>
            <w:vAlign w:val="center"/>
          </w:tcPr>
          <w:p w14:paraId="1B9BCA4C">
            <w:pPr>
              <w:keepLines/>
              <w:widowControl/>
              <w:tabs>
                <w:tab w:val="left" w:pos="794"/>
                <w:tab w:val="left" w:pos="1191"/>
                <w:tab w:val="left" w:pos="1588"/>
                <w:tab w:val="left" w:pos="1985"/>
              </w:tabs>
              <w:spacing w:line="400" w:lineRule="exact"/>
              <w:contextualSpacing/>
              <w:jc w:val="center"/>
              <w:rPr>
                <w:rFonts w:hint="eastAsia" w:ascii="宋体" w:hAnsi="宋体" w:cs="宋体"/>
                <w:color w:val="000000"/>
                <w:kern w:val="0"/>
                <w:szCs w:val="21"/>
              </w:rPr>
            </w:pPr>
            <w:r>
              <w:rPr>
                <w:rFonts w:hint="eastAsia" w:ascii="宋体" w:hAnsi="宋体"/>
                <w:b/>
                <w:bCs/>
                <w:color w:val="000000"/>
                <w:szCs w:val="21"/>
              </w:rPr>
              <w:t>2</w:t>
            </w:r>
          </w:p>
        </w:tc>
        <w:tc>
          <w:tcPr>
            <w:tcW w:w="7141" w:type="dxa"/>
            <w:tcBorders>
              <w:top w:val="single" w:color="auto" w:sz="4" w:space="0"/>
              <w:left w:val="single" w:color="auto" w:sz="4" w:space="0"/>
              <w:bottom w:val="single" w:color="auto" w:sz="4" w:space="0"/>
              <w:right w:val="single" w:color="auto" w:sz="4" w:space="0"/>
            </w:tcBorders>
            <w:vAlign w:val="center"/>
          </w:tcPr>
          <w:p w14:paraId="67A66C08">
            <w:pPr>
              <w:spacing w:line="400" w:lineRule="exact"/>
              <w:contextualSpacing/>
              <w:rPr>
                <w:rFonts w:hint="eastAsia" w:ascii="宋体" w:hAnsi="宋体" w:cs="宋体"/>
                <w:color w:val="000000"/>
                <w:kern w:val="0"/>
                <w:szCs w:val="21"/>
              </w:rPr>
            </w:pPr>
            <w:r>
              <w:rPr>
                <w:rFonts w:ascii="宋体" w:hAnsi="宋体" w:cs="宋体"/>
                <w:color w:val="000000"/>
                <w:kern w:val="0"/>
                <w:szCs w:val="21"/>
              </w:rPr>
              <w:t>根据供应商制定培训方案，包括培训</w:t>
            </w:r>
            <w:r>
              <w:rPr>
                <w:rFonts w:hint="eastAsia" w:ascii="宋体" w:hAnsi="宋体" w:cs="宋体"/>
                <w:color w:val="000000"/>
                <w:kern w:val="0"/>
                <w:szCs w:val="21"/>
              </w:rPr>
              <w:t>场次（不少于2次）、学时</w:t>
            </w:r>
            <w:r>
              <w:rPr>
                <w:rFonts w:hint="eastAsia" w:ascii="宋体" w:hAnsi="宋体" w:cs="宋体"/>
                <w:color w:val="000000"/>
                <w:kern w:val="0"/>
                <w:szCs w:val="21"/>
                <w:lang w:val="en-IE"/>
              </w:rPr>
              <w:t>设计（</w:t>
            </w:r>
            <w:r>
              <w:rPr>
                <w:rFonts w:hint="eastAsia" w:ascii="宋体" w:hAnsi="宋体" w:cs="宋体"/>
                <w:color w:val="000000"/>
                <w:kern w:val="0"/>
                <w:szCs w:val="21"/>
              </w:rPr>
              <w:t>不少于5个学时）、培训对像、培训材料等情况进行打分。</w:t>
            </w:r>
          </w:p>
          <w:p w14:paraId="60F03B7D">
            <w:pPr>
              <w:spacing w:line="400" w:lineRule="exact"/>
              <w:contextualSpacing/>
              <w:rPr>
                <w:rFonts w:hint="eastAsia" w:ascii="宋体" w:hAnsi="宋体" w:cs="宋体"/>
                <w:color w:val="000000"/>
                <w:szCs w:val="21"/>
              </w:rPr>
            </w:pPr>
            <w:r>
              <w:rPr>
                <w:rFonts w:hint="eastAsia" w:ascii="宋体" w:hAnsi="宋体" w:cs="宋体"/>
                <w:color w:val="000000"/>
                <w:szCs w:val="21"/>
              </w:rPr>
              <w:t>优良[1，2]分，一般[0，1)分。</w:t>
            </w:r>
          </w:p>
        </w:tc>
      </w:tr>
      <w:tr w14:paraId="6EF6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29" w:type="dxa"/>
            <w:vMerge w:val="continue"/>
            <w:tcBorders>
              <w:left w:val="single" w:color="auto" w:sz="4" w:space="0"/>
              <w:right w:val="single" w:color="auto" w:sz="4" w:space="0"/>
            </w:tcBorders>
            <w:vAlign w:val="center"/>
          </w:tcPr>
          <w:p w14:paraId="5C537DE4">
            <w:pPr>
              <w:widowControl/>
              <w:spacing w:line="400" w:lineRule="exact"/>
              <w:contextualSpacing/>
              <w:jc w:val="center"/>
              <w:rPr>
                <w:rFonts w:hint="eastAsia" w:ascii="宋体" w:hAnsi="宋体"/>
                <w:b/>
                <w:bCs/>
                <w:color w:val="000000"/>
                <w:szCs w:val="21"/>
              </w:rPr>
            </w:pPr>
          </w:p>
        </w:tc>
        <w:tc>
          <w:tcPr>
            <w:tcW w:w="1097" w:type="dxa"/>
            <w:tcBorders>
              <w:top w:val="single" w:color="auto" w:sz="4" w:space="0"/>
              <w:left w:val="single" w:color="auto" w:sz="4" w:space="0"/>
              <w:bottom w:val="single" w:color="auto" w:sz="4" w:space="0"/>
              <w:right w:val="single" w:color="auto" w:sz="4" w:space="0"/>
            </w:tcBorders>
            <w:vAlign w:val="center"/>
          </w:tcPr>
          <w:p w14:paraId="0304BB7B">
            <w:pPr>
              <w:spacing w:line="400" w:lineRule="exact"/>
              <w:contextualSpacing/>
              <w:jc w:val="center"/>
              <w:rPr>
                <w:rFonts w:hint="eastAsia" w:ascii="宋体" w:hAnsi="宋体" w:cs="宋体"/>
                <w:color w:val="000000"/>
                <w:kern w:val="0"/>
                <w:szCs w:val="21"/>
              </w:rPr>
            </w:pPr>
            <w:r>
              <w:rPr>
                <w:rFonts w:hint="eastAsia" w:ascii="宋体" w:hAnsi="宋体" w:cs="宋体"/>
                <w:color w:val="000000"/>
                <w:kern w:val="0"/>
                <w:szCs w:val="21"/>
              </w:rPr>
              <w:t>应急故障响应时间</w:t>
            </w:r>
          </w:p>
        </w:tc>
        <w:tc>
          <w:tcPr>
            <w:tcW w:w="709" w:type="dxa"/>
            <w:tcBorders>
              <w:top w:val="single" w:color="auto" w:sz="4" w:space="0"/>
              <w:left w:val="single" w:color="auto" w:sz="4" w:space="0"/>
              <w:bottom w:val="single" w:color="auto" w:sz="4" w:space="0"/>
              <w:right w:val="single" w:color="auto" w:sz="4" w:space="0"/>
            </w:tcBorders>
            <w:vAlign w:val="center"/>
          </w:tcPr>
          <w:p w14:paraId="3E069F4A">
            <w:pPr>
              <w:keepLines/>
              <w:widowControl/>
              <w:tabs>
                <w:tab w:val="left" w:pos="794"/>
                <w:tab w:val="left" w:pos="1191"/>
                <w:tab w:val="left" w:pos="1588"/>
                <w:tab w:val="left" w:pos="1985"/>
              </w:tabs>
              <w:spacing w:line="400" w:lineRule="exact"/>
              <w:contextualSpacing/>
              <w:jc w:val="center"/>
              <w:rPr>
                <w:rFonts w:hint="eastAsia" w:ascii="宋体" w:hAnsi="宋体"/>
                <w:b/>
                <w:bCs/>
                <w:color w:val="000000"/>
                <w:szCs w:val="21"/>
              </w:rPr>
            </w:pPr>
            <w:r>
              <w:rPr>
                <w:rFonts w:hint="eastAsia" w:ascii="宋体" w:hAnsi="宋体"/>
                <w:b/>
                <w:bCs/>
                <w:color w:val="000000"/>
                <w:szCs w:val="21"/>
              </w:rPr>
              <w:t>3</w:t>
            </w:r>
          </w:p>
        </w:tc>
        <w:tc>
          <w:tcPr>
            <w:tcW w:w="7141" w:type="dxa"/>
            <w:tcBorders>
              <w:top w:val="single" w:color="auto" w:sz="4" w:space="0"/>
              <w:left w:val="single" w:color="auto" w:sz="4" w:space="0"/>
              <w:bottom w:val="single" w:color="auto" w:sz="4" w:space="0"/>
              <w:right w:val="single" w:color="auto" w:sz="4" w:space="0"/>
            </w:tcBorders>
            <w:vAlign w:val="center"/>
          </w:tcPr>
          <w:p w14:paraId="19E17945">
            <w:pPr>
              <w:widowControl/>
              <w:tabs>
                <w:tab w:val="left" w:pos="0"/>
              </w:tabs>
              <w:spacing w:line="400" w:lineRule="exact"/>
              <w:contextualSpacing/>
              <w:rPr>
                <w:rFonts w:hint="eastAsia" w:ascii="宋体" w:hAnsi="宋体"/>
                <w:color w:val="000000"/>
                <w:kern w:val="0"/>
                <w:szCs w:val="21"/>
              </w:rPr>
            </w:pPr>
            <w:r>
              <w:rPr>
                <w:rFonts w:hint="eastAsia" w:ascii="宋体" w:hAnsi="宋体"/>
                <w:color w:val="000000"/>
                <w:kern w:val="0"/>
                <w:szCs w:val="21"/>
              </w:rPr>
              <w:t>根据供应商的故障响应方案（</w:t>
            </w:r>
            <w:r>
              <w:rPr>
                <w:rFonts w:hint="eastAsia" w:ascii="宋体" w:hAnsi="宋体"/>
                <w:color w:val="000000"/>
                <w:szCs w:val="21"/>
              </w:rPr>
              <w:t>包含日常维护方案、软件升级方案、应急处理预案、免费包修服务承诺、现场服务方案、故障响应支持等</w:t>
            </w:r>
            <w:r>
              <w:rPr>
                <w:rFonts w:hint="eastAsia" w:ascii="宋体" w:hAnsi="宋体"/>
                <w:color w:val="000000"/>
                <w:kern w:val="0"/>
                <w:szCs w:val="21"/>
              </w:rPr>
              <w:t>进行打分。</w:t>
            </w:r>
          </w:p>
          <w:p w14:paraId="020A130D">
            <w:pPr>
              <w:widowControl/>
              <w:spacing w:line="400" w:lineRule="exact"/>
              <w:contextualSpacing/>
              <w:jc w:val="left"/>
              <w:rPr>
                <w:rFonts w:hint="eastAsia" w:ascii="宋体" w:hAnsi="宋体"/>
                <w:color w:val="000000"/>
                <w:szCs w:val="21"/>
              </w:rPr>
            </w:pPr>
            <w:r>
              <w:rPr>
                <w:rFonts w:hint="eastAsia" w:ascii="宋体" w:hAnsi="宋体" w:cs="宋体"/>
                <w:color w:val="000000"/>
                <w:szCs w:val="21"/>
              </w:rPr>
              <w:t>优良（2，3]分，较好[1，2]分，一般[0，1)分。</w:t>
            </w:r>
          </w:p>
        </w:tc>
      </w:tr>
    </w:tbl>
    <w:p w14:paraId="264843EF">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777B50A2">
      <w:pPr>
        <w:pStyle w:val="3"/>
        <w:numPr>
          <w:ilvl w:val="0"/>
          <w:numId w:val="0"/>
        </w:numPr>
        <w:spacing w:before="0" w:after="0" w:line="360" w:lineRule="auto"/>
        <w:rPr>
          <w:b/>
          <w:color w:val="000000"/>
          <w:sz w:val="36"/>
          <w:szCs w:val="36"/>
        </w:rPr>
      </w:pPr>
      <w:r>
        <w:rPr>
          <w:color w:val="000000"/>
        </w:rPr>
        <w:br w:type="page"/>
      </w:r>
      <w:bookmarkStart w:id="26" w:name="_Toc69378618"/>
      <w:r>
        <w:rPr>
          <w:rFonts w:hint="eastAsia"/>
          <w:b/>
          <w:color w:val="000000"/>
          <w:sz w:val="36"/>
          <w:szCs w:val="36"/>
        </w:rPr>
        <w:t xml:space="preserve">第四章 </w:t>
      </w:r>
      <w:r>
        <w:rPr>
          <w:b/>
          <w:color w:val="000000"/>
          <w:sz w:val="36"/>
          <w:szCs w:val="36"/>
        </w:rPr>
        <w:t>合同格式</w:t>
      </w:r>
      <w:bookmarkEnd w:id="26"/>
    </w:p>
    <w:p w14:paraId="59409466">
      <w:pPr>
        <w:spacing w:line="360" w:lineRule="auto"/>
        <w:ind w:firstLine="480" w:firstLineChars="200"/>
        <w:jc w:val="left"/>
        <w:rPr>
          <w:rFonts w:hint="eastAsia" w:ascii="宋体" w:hAnsi="宋体"/>
          <w:color w:val="000000"/>
          <w:sz w:val="24"/>
        </w:rPr>
      </w:pPr>
      <w:r>
        <w:rPr>
          <w:rFonts w:ascii="宋体" w:hAnsi="宋体"/>
          <w:color w:val="000000"/>
          <w:sz w:val="24"/>
        </w:rPr>
        <w:t>除了对</w:t>
      </w:r>
      <w:r>
        <w:rPr>
          <w:rFonts w:hint="eastAsia" w:ascii="宋体" w:hAnsi="宋体"/>
          <w:color w:val="000000"/>
          <w:sz w:val="24"/>
        </w:rPr>
        <w:t>谈判</w:t>
      </w:r>
      <w:r>
        <w:rPr>
          <w:rFonts w:ascii="宋体" w:hAnsi="宋体"/>
          <w:color w:val="000000"/>
          <w:sz w:val="24"/>
        </w:rPr>
        <w:t>文件第</w:t>
      </w:r>
      <w:r>
        <w:rPr>
          <w:rFonts w:hint="eastAsia" w:ascii="宋体" w:hAnsi="宋体"/>
          <w:color w:val="000000"/>
          <w:sz w:val="24"/>
        </w:rPr>
        <w:t>四</w:t>
      </w:r>
      <w:r>
        <w:rPr>
          <w:rFonts w:ascii="宋体" w:hAnsi="宋体"/>
          <w:color w:val="000000"/>
          <w:sz w:val="24"/>
        </w:rPr>
        <w:t>章《合同格式》内容的逐项应答外，供应商还应提供一份完整的合同文本，作为</w:t>
      </w:r>
      <w:r>
        <w:rPr>
          <w:rFonts w:hint="eastAsia" w:ascii="宋体" w:hAnsi="宋体"/>
          <w:color w:val="000000"/>
          <w:sz w:val="24"/>
        </w:rPr>
        <w:t>响应</w:t>
      </w:r>
      <w:r>
        <w:rPr>
          <w:rFonts w:ascii="宋体" w:hAnsi="宋体"/>
          <w:color w:val="000000"/>
          <w:sz w:val="24"/>
        </w:rPr>
        <w:t>文件的一部分</w:t>
      </w:r>
      <w:r>
        <w:rPr>
          <w:rFonts w:hint="eastAsia" w:ascii="宋体" w:hAnsi="宋体"/>
          <w:color w:val="000000"/>
          <w:sz w:val="24"/>
        </w:rPr>
        <w:t>。</w:t>
      </w:r>
      <w:r>
        <w:rPr>
          <w:rFonts w:ascii="宋体" w:hAnsi="宋体"/>
          <w:color w:val="000000"/>
          <w:sz w:val="24"/>
        </w:rPr>
        <w:t>对于</w:t>
      </w:r>
      <w:r>
        <w:rPr>
          <w:rFonts w:hint="eastAsia" w:ascii="宋体" w:hAnsi="宋体"/>
          <w:color w:val="000000"/>
          <w:sz w:val="24"/>
        </w:rPr>
        <w:t>谈判</w:t>
      </w:r>
      <w:r>
        <w:rPr>
          <w:rFonts w:ascii="宋体" w:hAnsi="宋体"/>
          <w:color w:val="000000"/>
          <w:sz w:val="24"/>
        </w:rPr>
        <w:t>文件第</w:t>
      </w:r>
      <w:r>
        <w:rPr>
          <w:rFonts w:hint="eastAsia" w:ascii="宋体" w:hAnsi="宋体"/>
          <w:color w:val="000000"/>
          <w:sz w:val="24"/>
        </w:rPr>
        <w:t>四</w:t>
      </w:r>
      <w:r>
        <w:rPr>
          <w:rFonts w:ascii="宋体" w:hAnsi="宋体"/>
          <w:color w:val="000000"/>
          <w:sz w:val="24"/>
        </w:rPr>
        <w:t>章《合同格式》内容的任何负偏离均将导致废标。</w:t>
      </w:r>
    </w:p>
    <w:p w14:paraId="417E2A73">
      <w:pPr>
        <w:widowControl/>
        <w:spacing w:line="300" w:lineRule="auto"/>
        <w:jc w:val="left"/>
        <w:rPr>
          <w:b/>
          <w:color w:val="000000"/>
        </w:rPr>
      </w:pPr>
      <w:r>
        <w:rPr>
          <w:rFonts w:eastAsia="黑体"/>
          <w:bCs/>
          <w:color w:val="000000"/>
          <w:sz w:val="52"/>
          <w:szCs w:val="52"/>
        </w:rPr>
        <w:br w:type="page"/>
      </w:r>
    </w:p>
    <w:p w14:paraId="24A5CAC4">
      <w:pPr>
        <w:widowControl/>
        <w:spacing w:line="360" w:lineRule="auto"/>
        <w:jc w:val="center"/>
        <w:rPr>
          <w:rFonts w:hint="eastAsia" w:ascii="黑体" w:hAnsi="黑体" w:eastAsia="黑体" w:cs="黑体"/>
          <w:sz w:val="36"/>
          <w:szCs w:val="36"/>
        </w:rPr>
      </w:pPr>
      <w:r>
        <w:rPr>
          <w:rFonts w:hint="eastAsia" w:ascii="黑体" w:hAnsi="黑体" w:eastAsia="黑体" w:cs="黑体"/>
          <w:sz w:val="36"/>
          <w:szCs w:val="36"/>
        </w:rPr>
        <w:t>合同格式</w:t>
      </w:r>
    </w:p>
    <w:p w14:paraId="71E355F8">
      <w:pPr>
        <w:spacing w:before="320" w:after="320"/>
        <w:jc w:val="center"/>
        <w:rPr>
          <w:rFonts w:hint="eastAsia" w:ascii="黑体" w:hAnsi="黑体" w:eastAsia="黑体"/>
          <w:sz w:val="30"/>
          <w:szCs w:val="30"/>
        </w:rPr>
      </w:pPr>
      <w:r>
        <w:rPr>
          <w:rFonts w:hint="eastAsia" w:ascii="黑体" w:hAnsi="黑体" w:eastAsia="黑体"/>
          <w:sz w:val="30"/>
          <w:szCs w:val="30"/>
        </w:rPr>
        <w:t>江苏省广电有线信息网络股份有限公司加密定向传送经批准落地境外卫星频道平台建设（终端配套集成）</w:t>
      </w:r>
    </w:p>
    <w:p w14:paraId="38028C29">
      <w:pPr>
        <w:widowControl/>
        <w:spacing w:line="300" w:lineRule="auto"/>
        <w:ind w:firstLine="422"/>
        <w:rPr>
          <w:rFonts w:hint="eastAsia" w:ascii="宋体" w:hAnsi="宋体"/>
          <w:b/>
          <w:color w:val="000000"/>
          <w:szCs w:val="21"/>
        </w:rPr>
      </w:pPr>
      <w:r>
        <w:rPr>
          <w:rFonts w:hint="eastAsia" w:ascii="宋体" w:hAnsi="宋体"/>
          <w:b/>
          <w:color w:val="000000"/>
          <w:szCs w:val="21"/>
        </w:rPr>
        <w:t>甲方：江苏省广电有线信息网络股份有限公司</w:t>
      </w:r>
    </w:p>
    <w:p w14:paraId="002BC5D5">
      <w:pPr>
        <w:widowControl/>
        <w:spacing w:line="300" w:lineRule="auto"/>
        <w:ind w:firstLine="422"/>
        <w:rPr>
          <w:rFonts w:hint="eastAsia" w:ascii="宋体" w:hAnsi="宋体"/>
          <w:b/>
          <w:color w:val="000000"/>
          <w:szCs w:val="21"/>
        </w:rPr>
      </w:pPr>
      <w:r>
        <w:rPr>
          <w:rFonts w:hint="eastAsia" w:ascii="宋体" w:hAnsi="宋体"/>
          <w:b/>
          <w:color w:val="000000"/>
          <w:szCs w:val="21"/>
        </w:rPr>
        <w:t>乙方：</w:t>
      </w:r>
    </w:p>
    <w:p w14:paraId="43742ACF">
      <w:pPr>
        <w:widowControl/>
        <w:spacing w:line="300" w:lineRule="auto"/>
        <w:ind w:firstLine="422"/>
        <w:rPr>
          <w:rFonts w:hint="eastAsia" w:ascii="宋体" w:hAnsi="宋体"/>
          <w:b/>
          <w:color w:val="000000"/>
          <w:szCs w:val="21"/>
        </w:rPr>
      </w:pPr>
    </w:p>
    <w:p w14:paraId="70D944A1">
      <w:pPr>
        <w:widowControl/>
        <w:spacing w:line="300" w:lineRule="auto"/>
        <w:ind w:firstLine="422"/>
        <w:rPr>
          <w:rFonts w:hint="eastAsia" w:ascii="宋体" w:hAnsi="宋体"/>
          <w:b/>
          <w:color w:val="000000"/>
          <w:szCs w:val="21"/>
        </w:rPr>
      </w:pPr>
      <w:r>
        <w:rPr>
          <w:rFonts w:hint="eastAsia" w:ascii="宋体" w:hAnsi="宋体"/>
          <w:b/>
          <w:color w:val="000000"/>
          <w:szCs w:val="21"/>
        </w:rPr>
        <w:t>甲乙双方就江苏省广电有线信息网络股份有限公司加密定向传送经批准落地境外卫星频道平台建设（终端配套集成）项目，采用如下方式，依法签订本合同：</w:t>
      </w:r>
    </w:p>
    <w:p w14:paraId="1C908871">
      <w:pPr>
        <w:spacing w:line="360" w:lineRule="auto"/>
        <w:ind w:left="2" w:firstLine="422"/>
        <w:rPr>
          <w:b/>
          <w:color w:val="000000"/>
          <w:szCs w:val="21"/>
          <w:u w:val="single"/>
        </w:rPr>
      </w:pPr>
      <w:r>
        <w:rPr>
          <w:rFonts w:hint="eastAsia"/>
          <w:b/>
          <w:color w:val="000000"/>
          <w:szCs w:val="21"/>
          <w:u w:val="single"/>
        </w:rPr>
        <w:t>甲方组织了竞争性谈判，经评委会严格评审，本项目由乙方成交。双方根据甲方竞争性源谈判文件的规定、乙方竞争性谈判响应文件及谈判时乙方作出的书面承诺依法签订本合同。</w:t>
      </w:r>
    </w:p>
    <w:p w14:paraId="3B1A342A">
      <w:pPr>
        <w:pStyle w:val="4"/>
        <w:numPr>
          <w:ilvl w:val="0"/>
          <w:numId w:val="0"/>
        </w:numPr>
        <w:spacing w:before="0" w:after="0" w:line="360" w:lineRule="auto"/>
        <w:rPr>
          <w:sz w:val="20"/>
          <w:szCs w:val="20"/>
        </w:rPr>
      </w:pPr>
      <w:bookmarkStart w:id="27" w:name="_Toc24729"/>
      <w:bookmarkStart w:id="28" w:name="_Toc25256"/>
      <w:bookmarkStart w:id="29" w:name="_Toc2889"/>
      <w:bookmarkStart w:id="30" w:name="_Toc51053550"/>
      <w:r>
        <w:rPr>
          <w:sz w:val="20"/>
          <w:szCs w:val="20"/>
        </w:rPr>
        <w:t>一、项目标的和内容</w:t>
      </w:r>
      <w:bookmarkEnd w:id="27"/>
      <w:bookmarkEnd w:id="28"/>
      <w:bookmarkEnd w:id="29"/>
      <w:bookmarkEnd w:id="30"/>
    </w:p>
    <w:p w14:paraId="7404B5B6">
      <w:pPr>
        <w:tabs>
          <w:tab w:val="left" w:pos="0"/>
        </w:tabs>
        <w:spacing w:line="360" w:lineRule="auto"/>
        <w:ind w:firstLine="420" w:firstLineChars="200"/>
        <w:rPr>
          <w:color w:val="000000"/>
          <w:szCs w:val="21"/>
        </w:rPr>
      </w:pPr>
      <w:r>
        <w:rPr>
          <w:rFonts w:ascii="宋体" w:hAnsi="宋体"/>
          <w:color w:val="000000"/>
          <w:szCs w:val="21"/>
        </w:rPr>
        <w:t>项目标的内容包括乙方按照甲方具体要求供应“</w:t>
      </w:r>
      <w:r>
        <w:rPr>
          <w:rFonts w:hint="eastAsia" w:ascii="宋体" w:hAnsi="宋体"/>
          <w:color w:val="000000"/>
          <w:szCs w:val="21"/>
        </w:rPr>
        <w:t>加密定向传送经批准落地境外卫星频道平台建设（终端配套集成）项目</w:t>
      </w:r>
      <w:r>
        <w:rPr>
          <w:rFonts w:ascii="宋体" w:hAnsi="宋体"/>
          <w:color w:val="000000"/>
          <w:szCs w:val="21"/>
        </w:rPr>
        <w:t>”相关软件研发服务，并完成所有软件的安装、调试及操作培训工作。同时乙方承诺配合甲方及甲方指定的厂商完成相关的系统集成和新发机顶盒预装生产，指导甲方及其分（子）公司完成升级部署。</w:t>
      </w:r>
      <w:r>
        <w:rPr>
          <w:color w:val="000000"/>
          <w:szCs w:val="21"/>
        </w:rPr>
        <w:t>。</w:t>
      </w:r>
    </w:p>
    <w:p w14:paraId="389F5C8C">
      <w:pPr>
        <w:pStyle w:val="4"/>
        <w:numPr>
          <w:ilvl w:val="0"/>
          <w:numId w:val="0"/>
        </w:numPr>
        <w:spacing w:before="0" w:after="0" w:line="360" w:lineRule="auto"/>
        <w:rPr>
          <w:sz w:val="20"/>
          <w:szCs w:val="20"/>
        </w:rPr>
      </w:pPr>
      <w:bookmarkStart w:id="31" w:name="_Toc31119"/>
      <w:bookmarkStart w:id="32" w:name="_Toc51053551"/>
      <w:bookmarkStart w:id="33" w:name="_Toc17277"/>
      <w:bookmarkStart w:id="34" w:name="_Toc19180"/>
      <w:r>
        <w:rPr>
          <w:sz w:val="20"/>
          <w:szCs w:val="20"/>
        </w:rPr>
        <w:t>二、合同总价</w:t>
      </w:r>
      <w:bookmarkEnd w:id="31"/>
      <w:bookmarkEnd w:id="32"/>
      <w:bookmarkEnd w:id="33"/>
      <w:bookmarkEnd w:id="34"/>
    </w:p>
    <w:p w14:paraId="5FD91130">
      <w:pPr>
        <w:pStyle w:val="96"/>
        <w:numPr>
          <w:ilvl w:val="0"/>
          <w:numId w:val="11"/>
        </w:numPr>
        <w:spacing w:line="360" w:lineRule="auto"/>
        <w:ind w:firstLineChars="0"/>
        <w:rPr>
          <w:rFonts w:hint="eastAsia" w:ascii="宋体" w:hAnsi="宋体"/>
          <w:color w:val="000000"/>
          <w:szCs w:val="21"/>
        </w:rPr>
      </w:pPr>
      <w:bookmarkStart w:id="35" w:name="_Toc11256"/>
      <w:bookmarkStart w:id="36" w:name="_Toc6107"/>
      <w:bookmarkStart w:id="37" w:name="_Toc643"/>
      <w:bookmarkStart w:id="38" w:name="_Toc51053552"/>
      <w:r>
        <w:rPr>
          <w:rFonts w:ascii="宋体" w:hAnsi="宋体"/>
          <w:color w:val="000000"/>
          <w:szCs w:val="21"/>
        </w:rPr>
        <w:t>合同总价</w:t>
      </w:r>
      <w:r>
        <w:rPr>
          <w:rFonts w:ascii="宋体" w:hAnsi="宋体"/>
          <w:b/>
          <w:color w:val="000000"/>
          <w:szCs w:val="21"/>
        </w:rPr>
        <w:t>（人民币大写）：</w:t>
      </w:r>
      <w:r>
        <w:rPr>
          <w:rFonts w:ascii="宋体" w:hAnsi="宋体"/>
          <w:b/>
          <w:color w:val="000000"/>
          <w:szCs w:val="21"/>
          <w:u w:val="single"/>
        </w:rPr>
        <w:t xml:space="preserve">                           </w:t>
      </w:r>
      <w:r>
        <w:rPr>
          <w:rFonts w:ascii="宋体" w:hAnsi="宋体"/>
          <w:color w:val="000000"/>
          <w:szCs w:val="21"/>
        </w:rPr>
        <w:t>。</w:t>
      </w:r>
    </w:p>
    <w:p w14:paraId="63D2E057">
      <w:pPr>
        <w:spacing w:line="360" w:lineRule="auto"/>
        <w:ind w:firstLine="1054" w:firstLineChars="500"/>
        <w:rPr>
          <w:rFonts w:hint="eastAsia" w:ascii="宋体" w:hAnsi="宋体"/>
          <w:color w:val="000000"/>
          <w:szCs w:val="21"/>
        </w:rPr>
      </w:pPr>
      <w:r>
        <w:rPr>
          <w:rFonts w:ascii="宋体" w:hAnsi="宋体"/>
          <w:b/>
          <w:color w:val="000000"/>
          <w:szCs w:val="21"/>
        </w:rPr>
        <w:t>（人民币小写）</w:t>
      </w:r>
      <w:r>
        <w:rPr>
          <w:rFonts w:ascii="宋体" w:hAnsi="宋体"/>
          <w:b/>
          <w:color w:val="000000"/>
          <w:szCs w:val="21"/>
          <w:u w:val="single"/>
        </w:rPr>
        <w:t>：￥：                     元</w:t>
      </w:r>
      <w:r>
        <w:rPr>
          <w:rFonts w:ascii="宋体" w:hAnsi="宋体"/>
          <w:color w:val="000000"/>
          <w:szCs w:val="21"/>
        </w:rPr>
        <w:t>。</w:t>
      </w:r>
    </w:p>
    <w:p w14:paraId="28C0FA50">
      <w:pPr>
        <w:pStyle w:val="96"/>
        <w:numPr>
          <w:ilvl w:val="0"/>
          <w:numId w:val="11"/>
        </w:numPr>
        <w:spacing w:line="360" w:lineRule="auto"/>
        <w:ind w:firstLineChars="0"/>
        <w:rPr>
          <w:rFonts w:hint="eastAsia" w:ascii="宋体" w:hAnsi="宋体"/>
          <w:color w:val="000000"/>
          <w:szCs w:val="21"/>
        </w:rPr>
      </w:pPr>
      <w:r>
        <w:rPr>
          <w:rFonts w:ascii="宋体" w:hAnsi="宋体"/>
          <w:color w:val="000000"/>
          <w:szCs w:val="21"/>
        </w:rPr>
        <w:t>合同总价为一次性软件买断价，指按本合同的规定，乙方在完全履行了合同的义务后，买方支付给乙方的总价款，包括但不限于软件系统的采购费、包装费、运输费、保险费、安装调试费、升级部署、专用工具费、检测验收费、培训费、售后服务费，以及与所供产品和服务有关的一切税费。除此之外，买方不再以任何名义、任何方式向乙方支付费用。</w:t>
      </w:r>
    </w:p>
    <w:p w14:paraId="4B1F5437">
      <w:pPr>
        <w:pStyle w:val="96"/>
        <w:numPr>
          <w:ilvl w:val="0"/>
          <w:numId w:val="11"/>
        </w:numPr>
        <w:spacing w:line="360" w:lineRule="auto"/>
        <w:ind w:firstLineChars="0"/>
        <w:rPr>
          <w:rFonts w:hint="eastAsia" w:ascii="宋体" w:hAnsi="宋体"/>
          <w:color w:val="000000"/>
          <w:szCs w:val="21"/>
        </w:rPr>
      </w:pPr>
      <w:r>
        <w:rPr>
          <w:rFonts w:ascii="宋体" w:hAnsi="宋体"/>
          <w:color w:val="000000"/>
          <w:szCs w:val="21"/>
        </w:rPr>
        <w:t>当国家法定增值税税率发生变更，甲乙双方约定以含税价格不变作为基准，调整增值税税额。</w:t>
      </w:r>
    </w:p>
    <w:p w14:paraId="69231678">
      <w:pPr>
        <w:pStyle w:val="4"/>
        <w:numPr>
          <w:ilvl w:val="0"/>
          <w:numId w:val="0"/>
        </w:numPr>
        <w:spacing w:before="0" w:after="0" w:line="360" w:lineRule="auto"/>
        <w:rPr>
          <w:sz w:val="20"/>
          <w:szCs w:val="20"/>
        </w:rPr>
      </w:pPr>
      <w:r>
        <w:rPr>
          <w:rFonts w:hint="eastAsia"/>
          <w:sz w:val="20"/>
          <w:szCs w:val="20"/>
        </w:rPr>
        <w:t>三</w:t>
      </w:r>
      <w:r>
        <w:rPr>
          <w:sz w:val="20"/>
          <w:szCs w:val="20"/>
        </w:rPr>
        <w:t>、付款方式及期限</w:t>
      </w:r>
      <w:bookmarkEnd w:id="35"/>
      <w:bookmarkEnd w:id="36"/>
      <w:bookmarkEnd w:id="37"/>
      <w:bookmarkEnd w:id="38"/>
    </w:p>
    <w:p w14:paraId="20F60757">
      <w:pPr>
        <w:pStyle w:val="96"/>
        <w:numPr>
          <w:ilvl w:val="0"/>
          <w:numId w:val="12"/>
        </w:numPr>
        <w:spacing w:line="360" w:lineRule="auto"/>
        <w:ind w:firstLineChars="0"/>
        <w:rPr>
          <w:rFonts w:hint="eastAsia" w:ascii="宋体" w:hAnsi="宋体"/>
          <w:color w:val="000000"/>
          <w:szCs w:val="21"/>
        </w:rPr>
      </w:pPr>
      <w:r>
        <w:rPr>
          <w:rFonts w:ascii="宋体" w:hAnsi="宋体"/>
          <w:color w:val="000000"/>
          <w:szCs w:val="21"/>
        </w:rPr>
        <w:t>付款方式：付款方以电汇或转帐支票的方式汇入收款方的账号内，禁止将货款划入其他账号或支付现金，其中合同总价的60%以半年期银行承兑汇票</w:t>
      </w:r>
      <w:r>
        <w:rPr>
          <w:rFonts w:hint="eastAsia" w:ascii="宋体" w:hAnsi="宋体"/>
          <w:color w:val="000000"/>
          <w:szCs w:val="21"/>
        </w:rPr>
        <w:t>或半年期供应链金融</w:t>
      </w:r>
      <w:r>
        <w:rPr>
          <w:rFonts w:ascii="宋体" w:hAnsi="宋体"/>
          <w:color w:val="000000"/>
          <w:szCs w:val="21"/>
        </w:rPr>
        <w:t>支付，剩余部分以电汇或者转账的方式支付。如收款方的账号和开户行变更，须及时以书面形式通知付款方，通知上必须同时盖有收款方的合同章和财务章。所有付款前，乙方必须按照国家有关发票管理规定，向甲方提供相应的增值税发票，由甲方审核认为无误后再支付相应款额，否则给甲方造成的损失由乙方承担。</w:t>
      </w:r>
    </w:p>
    <w:p w14:paraId="748D3379">
      <w:pPr>
        <w:pStyle w:val="96"/>
        <w:numPr>
          <w:ilvl w:val="0"/>
          <w:numId w:val="12"/>
        </w:numPr>
        <w:spacing w:line="360" w:lineRule="auto"/>
        <w:ind w:firstLineChars="0"/>
        <w:rPr>
          <w:rFonts w:hint="eastAsia" w:ascii="宋体" w:hAnsi="宋体"/>
          <w:color w:val="000000"/>
          <w:szCs w:val="21"/>
        </w:rPr>
      </w:pPr>
      <w:r>
        <w:rPr>
          <w:rFonts w:ascii="宋体" w:hAnsi="宋体"/>
          <w:color w:val="000000"/>
          <w:szCs w:val="21"/>
        </w:rPr>
        <w:t>付款期限：系统通过初验后转账支付合同总额的30%，即人民币：    ，系统通过终验后支付合同总额的60%（该部分以半年期银行承兑汇票支付</w:t>
      </w:r>
      <w:r>
        <w:rPr>
          <w:rFonts w:hint="eastAsia" w:ascii="宋体" w:hAnsi="宋体"/>
          <w:color w:val="000000"/>
          <w:szCs w:val="21"/>
        </w:rPr>
        <w:t>或半年期供应链金融</w:t>
      </w:r>
      <w:r>
        <w:rPr>
          <w:rFonts w:ascii="宋体" w:hAnsi="宋体"/>
          <w:color w:val="000000"/>
          <w:szCs w:val="21"/>
        </w:rPr>
        <w:t>支付），即人民币：     ，尾款10%作为质量保证金，即人民币：     ，在终验合格一年后的10个工作日之内支付7%，如乙方此时向甲方开据3%的银行保函（此保函须在免费包修期结束后到期），甲方在收到银行保函45日内将尾款结清（即合同总价的10%），否则甲方将在免费保修期结束后的10个工作日之内支付剩余的3%给乙方。</w:t>
      </w:r>
    </w:p>
    <w:p w14:paraId="23E5C733">
      <w:pPr>
        <w:pStyle w:val="96"/>
        <w:numPr>
          <w:ilvl w:val="0"/>
          <w:numId w:val="12"/>
        </w:numPr>
        <w:spacing w:line="360" w:lineRule="auto"/>
        <w:ind w:firstLineChars="0"/>
        <w:rPr>
          <w:rFonts w:hint="eastAsia" w:ascii="宋体" w:hAnsi="宋体"/>
          <w:color w:val="000000"/>
          <w:szCs w:val="21"/>
        </w:rPr>
      </w:pPr>
      <w:r>
        <w:rPr>
          <w:rFonts w:ascii="宋体" w:hAnsi="宋体"/>
          <w:color w:val="000000"/>
          <w:szCs w:val="21"/>
        </w:rPr>
        <w:t>质量保证金：质量保证金包含对履约的保证、对质量的保证和廉政的保证。在合同履行过程中，如乙方应承担履约保证、质量保证或廉政保证中约定的保证责任，甲方有权直接在质量保证金中扣除；扣除后保证金不足的，乙方应在五个工作日内补足，或由甲方直接在应付账款中扣除。</w:t>
      </w:r>
    </w:p>
    <w:p w14:paraId="194422CF">
      <w:pPr>
        <w:pStyle w:val="96"/>
        <w:numPr>
          <w:ilvl w:val="0"/>
          <w:numId w:val="12"/>
        </w:numPr>
        <w:spacing w:line="360" w:lineRule="auto"/>
        <w:ind w:firstLineChars="0"/>
        <w:rPr>
          <w:rFonts w:hint="eastAsia" w:ascii="宋体" w:hAnsi="宋体"/>
          <w:color w:val="000000"/>
          <w:szCs w:val="21"/>
        </w:rPr>
      </w:pPr>
      <w:r>
        <w:rPr>
          <w:rFonts w:ascii="宋体" w:hAnsi="宋体"/>
          <w:color w:val="000000"/>
          <w:szCs w:val="21"/>
        </w:rPr>
        <w:t>付款前，乙方必须按照国家有关发票管理规定，向甲方一次性提供合同总额的增值税专用发票，由甲方审核无误后再支付相应款项，否则甲方有权拒绝或迟延支付货款，且不影响乙方履行本合同项下的义务，由此给甲方造成的全部损失由乙方承担。特殊情况，乙方须提供政府部门相关证明材料。</w:t>
      </w:r>
    </w:p>
    <w:p w14:paraId="518F3CB4">
      <w:pPr>
        <w:pStyle w:val="96"/>
        <w:numPr>
          <w:ilvl w:val="0"/>
          <w:numId w:val="12"/>
        </w:numPr>
        <w:spacing w:line="360" w:lineRule="auto"/>
        <w:ind w:firstLineChars="0"/>
        <w:rPr>
          <w:rFonts w:hint="eastAsia" w:ascii="宋体" w:hAnsi="宋体"/>
          <w:color w:val="000000"/>
          <w:szCs w:val="21"/>
        </w:rPr>
      </w:pPr>
      <w:r>
        <w:rPr>
          <w:rFonts w:ascii="宋体" w:hAnsi="宋体"/>
          <w:color w:val="000000"/>
          <w:szCs w:val="21"/>
        </w:rPr>
        <w:t>扣款细则</w:t>
      </w:r>
    </w:p>
    <w:p w14:paraId="5C99B3F0">
      <w:pPr>
        <w:pStyle w:val="96"/>
        <w:spacing w:line="360" w:lineRule="auto"/>
        <w:ind w:left="420" w:firstLine="0" w:firstLineChars="0"/>
        <w:rPr>
          <w:rFonts w:hint="eastAsia" w:ascii="宋体" w:hAnsi="宋体"/>
          <w:color w:val="000000"/>
          <w:szCs w:val="21"/>
        </w:rPr>
      </w:pPr>
      <w:r>
        <w:rPr>
          <w:rFonts w:ascii="宋体" w:hAnsi="宋体"/>
          <w:color w:val="000000"/>
          <w:szCs w:val="21"/>
        </w:rPr>
        <w:t>乙方履行义务期间，存在以下情况时（见</w:t>
      </w:r>
      <w:r>
        <w:rPr>
          <w:rFonts w:ascii="宋体" w:hAnsi="宋体"/>
          <w:color w:val="000000"/>
          <w:szCs w:val="21"/>
        </w:rPr>
        <w:fldChar w:fldCharType="begin"/>
      </w:r>
      <w:r>
        <w:rPr>
          <w:rFonts w:ascii="宋体" w:hAnsi="宋体"/>
          <w:color w:val="000000"/>
          <w:szCs w:val="21"/>
        </w:rPr>
        <w:instrText xml:space="preserve"> REF _Ref153212539 \h  \* MERGEFORMAT </w:instrText>
      </w:r>
      <w:r>
        <w:rPr>
          <w:rFonts w:ascii="宋体" w:hAnsi="宋体"/>
          <w:color w:val="000000"/>
          <w:szCs w:val="21"/>
        </w:rPr>
        <w:fldChar w:fldCharType="separate"/>
      </w:r>
      <w:r>
        <w:rPr>
          <w:rFonts w:ascii="宋体" w:hAnsi="宋体"/>
          <w:color w:val="000000"/>
          <w:szCs w:val="21"/>
        </w:rPr>
        <w:t>表2：扣款细则</w:t>
      </w:r>
      <w:r>
        <w:rPr>
          <w:rFonts w:ascii="宋体" w:hAnsi="宋体"/>
          <w:color w:val="000000"/>
          <w:szCs w:val="21"/>
        </w:rPr>
        <w:fldChar w:fldCharType="end"/>
      </w:r>
      <w:r>
        <w:rPr>
          <w:rFonts w:ascii="宋体" w:hAnsi="宋体"/>
          <w:color w:val="000000"/>
          <w:szCs w:val="21"/>
        </w:rPr>
        <w:t>），甲方可视情况进行相应的扣款。</w:t>
      </w:r>
    </w:p>
    <w:p w14:paraId="76A863F7">
      <w:pPr>
        <w:spacing w:line="360" w:lineRule="auto"/>
        <w:ind w:firstLine="420" w:firstLineChars="200"/>
        <w:jc w:val="center"/>
        <w:rPr>
          <w:rFonts w:hint="eastAsia" w:ascii="宋体" w:hAnsi="宋体"/>
          <w:color w:val="000000"/>
          <w:szCs w:val="21"/>
        </w:rPr>
      </w:pPr>
      <w:bookmarkStart w:id="39" w:name="_Ref153212539"/>
      <w:r>
        <w:rPr>
          <w:rFonts w:ascii="宋体" w:hAnsi="宋体"/>
          <w:color w:val="000000"/>
          <w:szCs w:val="21"/>
        </w:rPr>
        <w:t>表</w:t>
      </w:r>
      <w:r>
        <w:rPr>
          <w:rFonts w:ascii="宋体" w:hAnsi="宋体"/>
          <w:color w:val="000000"/>
          <w:szCs w:val="21"/>
        </w:rPr>
        <w:fldChar w:fldCharType="begin"/>
      </w:r>
      <w:r>
        <w:rPr>
          <w:rFonts w:ascii="宋体" w:hAnsi="宋体"/>
          <w:color w:val="000000"/>
          <w:szCs w:val="21"/>
        </w:rPr>
        <w:instrText xml:space="preserve"> SEQ 表 \* ARABIC </w:instrText>
      </w:r>
      <w:r>
        <w:rPr>
          <w:rFonts w:ascii="宋体" w:hAnsi="宋体"/>
          <w:color w:val="000000"/>
          <w:szCs w:val="21"/>
        </w:rPr>
        <w:fldChar w:fldCharType="separate"/>
      </w:r>
      <w:r>
        <w:rPr>
          <w:rFonts w:ascii="宋体" w:hAnsi="宋体"/>
          <w:color w:val="000000"/>
          <w:szCs w:val="21"/>
        </w:rPr>
        <w:t>2</w:t>
      </w:r>
      <w:r>
        <w:rPr>
          <w:rFonts w:ascii="宋体" w:hAnsi="宋体"/>
          <w:color w:val="000000"/>
          <w:szCs w:val="21"/>
        </w:rPr>
        <w:fldChar w:fldCharType="end"/>
      </w:r>
      <w:r>
        <w:rPr>
          <w:rFonts w:ascii="宋体" w:hAnsi="宋体"/>
          <w:color w:val="000000"/>
          <w:szCs w:val="21"/>
        </w:rPr>
        <w:t>：扣款细则</w:t>
      </w:r>
      <w:bookmarkEnd w:id="39"/>
    </w:p>
    <w:tbl>
      <w:tblPr>
        <w:tblStyle w:val="58"/>
        <w:tblW w:w="9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8"/>
        <w:gridCol w:w="2385"/>
        <w:gridCol w:w="1972"/>
        <w:gridCol w:w="1476"/>
        <w:gridCol w:w="1810"/>
      </w:tblGrid>
      <w:tr w14:paraId="04FCE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blHeader/>
          <w:jc w:val="center"/>
        </w:trPr>
        <w:tc>
          <w:tcPr>
            <w:tcW w:w="674" w:type="dxa"/>
            <w:shd w:val="clear" w:color="auto" w:fill="D9D9D9"/>
            <w:vAlign w:val="center"/>
          </w:tcPr>
          <w:p w14:paraId="7FFA5740">
            <w:pPr>
              <w:spacing w:line="360" w:lineRule="auto"/>
              <w:jc w:val="center"/>
              <w:rPr>
                <w:rFonts w:hint="eastAsia" w:ascii="宋体" w:hAnsi="宋体"/>
                <w:b/>
                <w:color w:val="000000"/>
                <w:szCs w:val="21"/>
              </w:rPr>
            </w:pPr>
            <w:r>
              <w:rPr>
                <w:rFonts w:ascii="宋体" w:hAnsi="宋体"/>
                <w:b/>
                <w:color w:val="000000"/>
                <w:szCs w:val="21"/>
              </w:rPr>
              <w:t>序号</w:t>
            </w:r>
          </w:p>
        </w:tc>
        <w:tc>
          <w:tcPr>
            <w:tcW w:w="1268" w:type="dxa"/>
            <w:shd w:val="clear" w:color="auto" w:fill="D9D9D9"/>
            <w:vAlign w:val="center"/>
          </w:tcPr>
          <w:p w14:paraId="79E3FB81">
            <w:pPr>
              <w:spacing w:line="360" w:lineRule="auto"/>
              <w:jc w:val="center"/>
              <w:rPr>
                <w:rFonts w:hint="eastAsia" w:ascii="宋体" w:hAnsi="宋体"/>
                <w:b/>
                <w:color w:val="000000"/>
                <w:szCs w:val="21"/>
              </w:rPr>
            </w:pPr>
            <w:r>
              <w:rPr>
                <w:rFonts w:ascii="宋体" w:hAnsi="宋体"/>
                <w:b/>
                <w:color w:val="000000"/>
                <w:szCs w:val="21"/>
              </w:rPr>
              <w:t>费用类别</w:t>
            </w:r>
          </w:p>
        </w:tc>
        <w:tc>
          <w:tcPr>
            <w:tcW w:w="2385" w:type="dxa"/>
            <w:shd w:val="clear" w:color="auto" w:fill="D9D9D9"/>
            <w:vAlign w:val="center"/>
          </w:tcPr>
          <w:p w14:paraId="78983C94">
            <w:pPr>
              <w:spacing w:line="360" w:lineRule="auto"/>
              <w:jc w:val="center"/>
              <w:rPr>
                <w:rFonts w:hint="eastAsia" w:ascii="宋体" w:hAnsi="宋体"/>
                <w:b/>
                <w:color w:val="000000"/>
                <w:szCs w:val="21"/>
              </w:rPr>
            </w:pPr>
            <w:r>
              <w:rPr>
                <w:rFonts w:ascii="宋体" w:hAnsi="宋体"/>
                <w:b/>
                <w:color w:val="000000"/>
                <w:szCs w:val="21"/>
              </w:rPr>
              <w:t>适用状况</w:t>
            </w:r>
          </w:p>
        </w:tc>
        <w:tc>
          <w:tcPr>
            <w:tcW w:w="1972" w:type="dxa"/>
            <w:shd w:val="clear" w:color="auto" w:fill="D9D9D9"/>
            <w:vAlign w:val="center"/>
          </w:tcPr>
          <w:p w14:paraId="2CC57DFC">
            <w:pPr>
              <w:spacing w:line="360" w:lineRule="auto"/>
              <w:jc w:val="center"/>
              <w:rPr>
                <w:rFonts w:hint="eastAsia" w:ascii="宋体" w:hAnsi="宋体"/>
                <w:b/>
                <w:color w:val="000000"/>
                <w:szCs w:val="21"/>
              </w:rPr>
            </w:pPr>
            <w:r>
              <w:rPr>
                <w:rFonts w:ascii="宋体" w:hAnsi="宋体"/>
                <w:b/>
                <w:color w:val="000000"/>
                <w:szCs w:val="21"/>
              </w:rPr>
              <w:t>执行方法</w:t>
            </w:r>
          </w:p>
        </w:tc>
        <w:tc>
          <w:tcPr>
            <w:tcW w:w="1476" w:type="dxa"/>
            <w:shd w:val="clear" w:color="auto" w:fill="D9D9D9"/>
            <w:vAlign w:val="center"/>
          </w:tcPr>
          <w:p w14:paraId="1C5D562D">
            <w:pPr>
              <w:spacing w:line="360" w:lineRule="auto"/>
              <w:jc w:val="center"/>
              <w:rPr>
                <w:rFonts w:hint="eastAsia" w:ascii="宋体" w:hAnsi="宋体"/>
                <w:b/>
                <w:color w:val="000000"/>
                <w:szCs w:val="21"/>
              </w:rPr>
            </w:pPr>
            <w:r>
              <w:rPr>
                <w:rFonts w:ascii="宋体" w:hAnsi="宋体"/>
                <w:b/>
                <w:color w:val="000000"/>
                <w:szCs w:val="21"/>
              </w:rPr>
              <w:t>罚款金额</w:t>
            </w:r>
          </w:p>
        </w:tc>
        <w:tc>
          <w:tcPr>
            <w:tcW w:w="1810" w:type="dxa"/>
            <w:shd w:val="clear" w:color="auto" w:fill="D9D9D9"/>
            <w:vAlign w:val="center"/>
          </w:tcPr>
          <w:p w14:paraId="792FA8D3">
            <w:pPr>
              <w:spacing w:line="360" w:lineRule="auto"/>
              <w:jc w:val="center"/>
              <w:rPr>
                <w:rFonts w:hint="eastAsia" w:ascii="宋体" w:hAnsi="宋体"/>
                <w:b/>
                <w:color w:val="000000"/>
                <w:szCs w:val="21"/>
              </w:rPr>
            </w:pPr>
            <w:r>
              <w:rPr>
                <w:rFonts w:ascii="宋体" w:hAnsi="宋体"/>
                <w:b/>
                <w:color w:val="000000"/>
                <w:szCs w:val="21"/>
              </w:rPr>
              <w:t>备注</w:t>
            </w:r>
          </w:p>
        </w:tc>
      </w:tr>
      <w:tr w14:paraId="5EC1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16451015">
            <w:pPr>
              <w:spacing w:line="360" w:lineRule="auto"/>
              <w:jc w:val="center"/>
              <w:rPr>
                <w:rFonts w:hint="eastAsia" w:ascii="宋体" w:hAnsi="宋体"/>
                <w:color w:val="000000"/>
                <w:szCs w:val="21"/>
              </w:rPr>
            </w:pPr>
            <w:r>
              <w:rPr>
                <w:rFonts w:ascii="宋体" w:hAnsi="宋体"/>
                <w:color w:val="000000"/>
                <w:szCs w:val="21"/>
              </w:rPr>
              <w:t>1</w:t>
            </w:r>
          </w:p>
        </w:tc>
        <w:tc>
          <w:tcPr>
            <w:tcW w:w="1268" w:type="dxa"/>
            <w:vAlign w:val="center"/>
          </w:tcPr>
          <w:p w14:paraId="782A4F87">
            <w:pPr>
              <w:spacing w:line="360" w:lineRule="auto"/>
              <w:jc w:val="center"/>
              <w:rPr>
                <w:rFonts w:hint="eastAsia" w:ascii="宋体" w:hAnsi="宋体"/>
                <w:color w:val="000000"/>
                <w:szCs w:val="21"/>
              </w:rPr>
            </w:pPr>
            <w:r>
              <w:rPr>
                <w:rFonts w:ascii="宋体" w:hAnsi="宋体"/>
                <w:color w:val="000000"/>
                <w:szCs w:val="21"/>
              </w:rPr>
              <w:t>项目人员缺勤费用</w:t>
            </w:r>
          </w:p>
        </w:tc>
        <w:tc>
          <w:tcPr>
            <w:tcW w:w="2385" w:type="dxa"/>
            <w:vAlign w:val="center"/>
          </w:tcPr>
          <w:p w14:paraId="187DBB34">
            <w:pPr>
              <w:spacing w:line="360" w:lineRule="auto"/>
              <w:jc w:val="center"/>
              <w:rPr>
                <w:rFonts w:hint="eastAsia" w:ascii="宋体" w:hAnsi="宋体"/>
                <w:color w:val="000000"/>
                <w:szCs w:val="21"/>
              </w:rPr>
            </w:pPr>
            <w:r>
              <w:rPr>
                <w:rFonts w:ascii="宋体" w:hAnsi="宋体"/>
                <w:color w:val="000000"/>
                <w:szCs w:val="21"/>
              </w:rPr>
              <w:t>乙方未按照甲方的考勤要求开展工作或未经甲方同意擅自更换项目人员。</w:t>
            </w:r>
          </w:p>
        </w:tc>
        <w:tc>
          <w:tcPr>
            <w:tcW w:w="1972" w:type="dxa"/>
            <w:vAlign w:val="center"/>
          </w:tcPr>
          <w:p w14:paraId="37951277">
            <w:pPr>
              <w:spacing w:line="360" w:lineRule="auto"/>
              <w:jc w:val="center"/>
              <w:rPr>
                <w:rFonts w:hint="eastAsia" w:ascii="宋体" w:hAnsi="宋体"/>
                <w:color w:val="000000"/>
                <w:szCs w:val="21"/>
              </w:rPr>
            </w:pPr>
            <w:r>
              <w:rPr>
                <w:rFonts w:ascii="宋体" w:hAnsi="宋体"/>
                <w:color w:val="000000"/>
                <w:szCs w:val="21"/>
              </w:rPr>
              <w:t>由甲方项目经理提交项目考勤表,提交财务部扣款</w:t>
            </w:r>
          </w:p>
        </w:tc>
        <w:tc>
          <w:tcPr>
            <w:tcW w:w="1476" w:type="dxa"/>
            <w:vAlign w:val="center"/>
          </w:tcPr>
          <w:p w14:paraId="2479C693">
            <w:pPr>
              <w:spacing w:line="360" w:lineRule="auto"/>
              <w:jc w:val="center"/>
              <w:rPr>
                <w:rFonts w:hint="eastAsia" w:ascii="宋体" w:hAnsi="宋体"/>
                <w:color w:val="000000"/>
                <w:szCs w:val="21"/>
              </w:rPr>
            </w:pPr>
            <w:r>
              <w:rPr>
                <w:rFonts w:ascii="宋体" w:hAnsi="宋体"/>
                <w:color w:val="000000"/>
                <w:szCs w:val="21"/>
              </w:rPr>
              <w:t>100元/人天</w:t>
            </w:r>
          </w:p>
        </w:tc>
        <w:tc>
          <w:tcPr>
            <w:tcW w:w="1810" w:type="dxa"/>
            <w:vAlign w:val="center"/>
          </w:tcPr>
          <w:p w14:paraId="2B0AA2C0">
            <w:pPr>
              <w:spacing w:line="360" w:lineRule="auto"/>
              <w:ind w:firstLine="420"/>
              <w:jc w:val="center"/>
              <w:rPr>
                <w:rFonts w:hint="eastAsia" w:ascii="宋体" w:hAnsi="宋体"/>
                <w:color w:val="000000"/>
                <w:szCs w:val="21"/>
              </w:rPr>
            </w:pPr>
          </w:p>
        </w:tc>
      </w:tr>
      <w:tr w14:paraId="3A28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47B555DB">
            <w:pPr>
              <w:spacing w:line="360" w:lineRule="auto"/>
              <w:jc w:val="center"/>
              <w:rPr>
                <w:rFonts w:hint="eastAsia" w:ascii="宋体" w:hAnsi="宋体"/>
                <w:color w:val="000000"/>
                <w:szCs w:val="21"/>
              </w:rPr>
            </w:pPr>
            <w:r>
              <w:rPr>
                <w:rFonts w:ascii="宋体" w:hAnsi="宋体"/>
                <w:color w:val="000000"/>
                <w:szCs w:val="21"/>
              </w:rPr>
              <w:t>2</w:t>
            </w:r>
          </w:p>
        </w:tc>
        <w:tc>
          <w:tcPr>
            <w:tcW w:w="1268" w:type="dxa"/>
            <w:vAlign w:val="center"/>
          </w:tcPr>
          <w:p w14:paraId="1F0678B3">
            <w:pPr>
              <w:spacing w:line="360" w:lineRule="auto"/>
              <w:jc w:val="center"/>
              <w:rPr>
                <w:rFonts w:hint="eastAsia" w:ascii="宋体" w:hAnsi="宋体"/>
                <w:color w:val="000000"/>
                <w:szCs w:val="21"/>
              </w:rPr>
            </w:pPr>
            <w:r>
              <w:rPr>
                <w:rFonts w:ascii="宋体" w:hAnsi="宋体"/>
                <w:color w:val="000000"/>
                <w:szCs w:val="21"/>
              </w:rPr>
              <w:t>项目进度滞后费用</w:t>
            </w:r>
          </w:p>
        </w:tc>
        <w:tc>
          <w:tcPr>
            <w:tcW w:w="2385" w:type="dxa"/>
            <w:vAlign w:val="center"/>
          </w:tcPr>
          <w:p w14:paraId="2842D9C7">
            <w:pPr>
              <w:spacing w:line="360" w:lineRule="auto"/>
              <w:jc w:val="center"/>
              <w:rPr>
                <w:rFonts w:hint="eastAsia" w:ascii="宋体" w:hAnsi="宋体"/>
                <w:color w:val="000000"/>
                <w:szCs w:val="21"/>
              </w:rPr>
            </w:pPr>
            <w:r>
              <w:rPr>
                <w:rFonts w:ascii="宋体" w:hAnsi="宋体"/>
                <w:color w:val="000000"/>
                <w:szCs w:val="21"/>
              </w:rPr>
              <w:t>乙方未按照提交的项目进度按时完成阶段性工作。</w:t>
            </w:r>
          </w:p>
        </w:tc>
        <w:tc>
          <w:tcPr>
            <w:tcW w:w="1972" w:type="dxa"/>
            <w:vAlign w:val="center"/>
          </w:tcPr>
          <w:p w14:paraId="1DC57CB9">
            <w:pPr>
              <w:spacing w:line="360" w:lineRule="auto"/>
              <w:jc w:val="center"/>
              <w:rPr>
                <w:rFonts w:hint="eastAsia" w:ascii="宋体" w:hAnsi="宋体"/>
                <w:color w:val="000000"/>
                <w:szCs w:val="21"/>
              </w:rPr>
            </w:pPr>
            <w:r>
              <w:rPr>
                <w:rFonts w:ascii="宋体" w:hAnsi="宋体"/>
                <w:color w:val="000000"/>
                <w:szCs w:val="21"/>
              </w:rPr>
              <w:t>由甲方项目经理完成项目进度确认表，提交财务部扣款</w:t>
            </w:r>
          </w:p>
        </w:tc>
        <w:tc>
          <w:tcPr>
            <w:tcW w:w="1476" w:type="dxa"/>
            <w:vAlign w:val="center"/>
          </w:tcPr>
          <w:p w14:paraId="676F8540">
            <w:pPr>
              <w:spacing w:line="360" w:lineRule="auto"/>
              <w:jc w:val="center"/>
              <w:rPr>
                <w:rFonts w:hint="eastAsia" w:ascii="宋体" w:hAnsi="宋体"/>
                <w:color w:val="000000"/>
                <w:szCs w:val="21"/>
              </w:rPr>
            </w:pPr>
            <w:r>
              <w:rPr>
                <w:rFonts w:ascii="宋体" w:hAnsi="宋体"/>
                <w:color w:val="000000"/>
                <w:szCs w:val="21"/>
              </w:rPr>
              <w:t>合同总价</w:t>
            </w:r>
            <w:r>
              <w:rPr>
                <w:rFonts w:hint="eastAsia" w:ascii="宋体" w:hAnsi="宋体"/>
                <w:color w:val="000000"/>
                <w:szCs w:val="21"/>
              </w:rPr>
              <w:t>*1%</w:t>
            </w:r>
            <w:r>
              <w:rPr>
                <w:rFonts w:ascii="宋体" w:hAnsi="宋体"/>
                <w:color w:val="000000"/>
                <w:szCs w:val="21"/>
              </w:rPr>
              <w:t>/天</w:t>
            </w:r>
          </w:p>
        </w:tc>
        <w:tc>
          <w:tcPr>
            <w:tcW w:w="1810" w:type="dxa"/>
            <w:vAlign w:val="center"/>
          </w:tcPr>
          <w:p w14:paraId="5D66556C">
            <w:pPr>
              <w:spacing w:line="360" w:lineRule="auto"/>
              <w:jc w:val="center"/>
              <w:rPr>
                <w:rFonts w:hint="eastAsia" w:ascii="宋体" w:hAnsi="宋体"/>
                <w:color w:val="000000"/>
                <w:szCs w:val="21"/>
              </w:rPr>
            </w:pPr>
            <w:r>
              <w:rPr>
                <w:rFonts w:ascii="宋体" w:hAnsi="宋体"/>
                <w:color w:val="000000"/>
                <w:szCs w:val="21"/>
              </w:rPr>
              <w:t>由于项目风险等不可抗力原因，进度滞后五个工作日内，提供合理说明经项目经理确认后可免责。</w:t>
            </w:r>
          </w:p>
        </w:tc>
      </w:tr>
      <w:tr w14:paraId="7B48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37FA86BE">
            <w:pPr>
              <w:spacing w:line="360" w:lineRule="auto"/>
              <w:jc w:val="center"/>
              <w:rPr>
                <w:rFonts w:hint="eastAsia" w:ascii="宋体" w:hAnsi="宋体"/>
                <w:color w:val="000000"/>
                <w:szCs w:val="21"/>
              </w:rPr>
            </w:pPr>
            <w:r>
              <w:rPr>
                <w:rFonts w:ascii="宋体" w:hAnsi="宋体"/>
                <w:color w:val="000000"/>
                <w:szCs w:val="21"/>
              </w:rPr>
              <w:t>3</w:t>
            </w:r>
          </w:p>
        </w:tc>
        <w:tc>
          <w:tcPr>
            <w:tcW w:w="1268" w:type="dxa"/>
            <w:vAlign w:val="center"/>
          </w:tcPr>
          <w:p w14:paraId="0694C9B3">
            <w:pPr>
              <w:spacing w:line="360" w:lineRule="auto"/>
              <w:jc w:val="center"/>
              <w:rPr>
                <w:rFonts w:hint="eastAsia" w:ascii="宋体" w:hAnsi="宋体"/>
                <w:color w:val="000000"/>
                <w:szCs w:val="21"/>
              </w:rPr>
            </w:pPr>
            <w:r>
              <w:rPr>
                <w:rFonts w:ascii="宋体" w:hAnsi="宋体"/>
                <w:color w:val="000000"/>
                <w:szCs w:val="21"/>
              </w:rPr>
              <w:t>产品质量不合格</w:t>
            </w:r>
          </w:p>
        </w:tc>
        <w:tc>
          <w:tcPr>
            <w:tcW w:w="2385" w:type="dxa"/>
            <w:vAlign w:val="center"/>
          </w:tcPr>
          <w:p w14:paraId="20F37E84">
            <w:pPr>
              <w:spacing w:line="360" w:lineRule="auto"/>
              <w:jc w:val="center"/>
              <w:rPr>
                <w:rFonts w:hint="eastAsia" w:ascii="宋体" w:hAnsi="宋体"/>
                <w:color w:val="000000"/>
                <w:szCs w:val="21"/>
              </w:rPr>
            </w:pPr>
            <w:r>
              <w:rPr>
                <w:rFonts w:ascii="宋体" w:hAnsi="宋体"/>
                <w:color w:val="000000"/>
                <w:szCs w:val="21"/>
              </w:rPr>
              <w:t>乙方提交的产品不满足事先约定的质量要求。</w:t>
            </w:r>
          </w:p>
        </w:tc>
        <w:tc>
          <w:tcPr>
            <w:tcW w:w="1972" w:type="dxa"/>
            <w:vAlign w:val="center"/>
          </w:tcPr>
          <w:p w14:paraId="1087F08D">
            <w:pPr>
              <w:spacing w:line="360" w:lineRule="auto"/>
              <w:jc w:val="center"/>
              <w:rPr>
                <w:rFonts w:hint="eastAsia" w:ascii="宋体" w:hAnsi="宋体"/>
                <w:color w:val="000000"/>
                <w:szCs w:val="21"/>
              </w:rPr>
            </w:pPr>
            <w:r>
              <w:rPr>
                <w:rFonts w:ascii="宋体" w:hAnsi="宋体"/>
                <w:color w:val="000000"/>
                <w:szCs w:val="21"/>
              </w:rPr>
              <w:t>由甲方项目经理完成产品质量缺陷说明，提交财务部扣款</w:t>
            </w:r>
          </w:p>
        </w:tc>
        <w:tc>
          <w:tcPr>
            <w:tcW w:w="1476" w:type="dxa"/>
            <w:vAlign w:val="center"/>
          </w:tcPr>
          <w:p w14:paraId="312DF1BB">
            <w:pPr>
              <w:spacing w:line="360" w:lineRule="auto"/>
              <w:ind w:firstLine="420"/>
              <w:jc w:val="center"/>
              <w:rPr>
                <w:rFonts w:hint="eastAsia" w:ascii="宋体" w:hAnsi="宋体"/>
                <w:color w:val="000000"/>
                <w:szCs w:val="21"/>
              </w:rPr>
            </w:pPr>
            <w:r>
              <w:rPr>
                <w:rFonts w:ascii="宋体" w:hAnsi="宋体"/>
                <w:color w:val="000000"/>
                <w:szCs w:val="21"/>
              </w:rPr>
              <w:t>合同款*5%~10%</w:t>
            </w:r>
          </w:p>
        </w:tc>
        <w:tc>
          <w:tcPr>
            <w:tcW w:w="1810" w:type="dxa"/>
            <w:vAlign w:val="center"/>
          </w:tcPr>
          <w:p w14:paraId="3882242F">
            <w:pPr>
              <w:spacing w:line="360" w:lineRule="auto"/>
              <w:jc w:val="center"/>
              <w:rPr>
                <w:rFonts w:hint="eastAsia" w:ascii="宋体" w:hAnsi="宋体"/>
                <w:color w:val="000000"/>
                <w:szCs w:val="21"/>
              </w:rPr>
            </w:pPr>
            <w:r>
              <w:rPr>
                <w:rFonts w:ascii="宋体" w:hAnsi="宋体"/>
                <w:color w:val="000000"/>
                <w:szCs w:val="21"/>
              </w:rPr>
              <w:t>视问题严重程度</w:t>
            </w:r>
          </w:p>
        </w:tc>
      </w:tr>
      <w:tr w14:paraId="46705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49429E14">
            <w:pPr>
              <w:spacing w:line="360" w:lineRule="auto"/>
              <w:jc w:val="center"/>
              <w:rPr>
                <w:rFonts w:hint="eastAsia" w:ascii="宋体" w:hAnsi="宋体"/>
                <w:color w:val="000000"/>
                <w:szCs w:val="21"/>
              </w:rPr>
            </w:pPr>
            <w:r>
              <w:rPr>
                <w:rFonts w:ascii="宋体" w:hAnsi="宋体"/>
                <w:color w:val="000000"/>
                <w:szCs w:val="21"/>
              </w:rPr>
              <w:t>4</w:t>
            </w:r>
          </w:p>
        </w:tc>
        <w:tc>
          <w:tcPr>
            <w:tcW w:w="1268" w:type="dxa"/>
            <w:vAlign w:val="center"/>
          </w:tcPr>
          <w:p w14:paraId="5E4E9E2A">
            <w:pPr>
              <w:spacing w:line="360" w:lineRule="auto"/>
              <w:jc w:val="center"/>
              <w:rPr>
                <w:rFonts w:hint="eastAsia" w:ascii="宋体" w:hAnsi="宋体"/>
                <w:color w:val="000000"/>
                <w:szCs w:val="21"/>
              </w:rPr>
            </w:pPr>
            <w:r>
              <w:rPr>
                <w:rFonts w:ascii="宋体" w:hAnsi="宋体"/>
                <w:color w:val="000000"/>
                <w:szCs w:val="21"/>
              </w:rPr>
              <w:t>技术支持延迟或售后不合格</w:t>
            </w:r>
          </w:p>
        </w:tc>
        <w:tc>
          <w:tcPr>
            <w:tcW w:w="2385" w:type="dxa"/>
            <w:vAlign w:val="center"/>
          </w:tcPr>
          <w:p w14:paraId="3FDF5520">
            <w:pPr>
              <w:spacing w:line="360" w:lineRule="auto"/>
              <w:jc w:val="center"/>
              <w:rPr>
                <w:rFonts w:hint="eastAsia" w:ascii="宋体" w:hAnsi="宋体"/>
                <w:color w:val="000000"/>
                <w:szCs w:val="21"/>
              </w:rPr>
            </w:pPr>
            <w:r>
              <w:rPr>
                <w:rFonts w:ascii="宋体" w:hAnsi="宋体"/>
                <w:color w:val="000000"/>
                <w:szCs w:val="21"/>
              </w:rPr>
              <w:t>乙方未在要求的时间内解决甲方提出的符合包修或技术支持范围的问题</w:t>
            </w:r>
          </w:p>
        </w:tc>
        <w:tc>
          <w:tcPr>
            <w:tcW w:w="1972" w:type="dxa"/>
            <w:vAlign w:val="center"/>
          </w:tcPr>
          <w:p w14:paraId="49A7B99C">
            <w:pPr>
              <w:spacing w:line="360" w:lineRule="auto"/>
              <w:jc w:val="center"/>
              <w:rPr>
                <w:rFonts w:hint="eastAsia" w:ascii="宋体" w:hAnsi="宋体"/>
                <w:color w:val="000000"/>
                <w:szCs w:val="21"/>
              </w:rPr>
            </w:pPr>
            <w:r>
              <w:rPr>
                <w:rFonts w:ascii="宋体" w:hAnsi="宋体"/>
                <w:color w:val="000000"/>
                <w:szCs w:val="21"/>
              </w:rPr>
              <w:t>由甲方项目经理完成售后反馈表，提交财务部扣款</w:t>
            </w:r>
          </w:p>
        </w:tc>
        <w:tc>
          <w:tcPr>
            <w:tcW w:w="1476" w:type="dxa"/>
            <w:vAlign w:val="center"/>
          </w:tcPr>
          <w:p w14:paraId="1CB3681F">
            <w:pPr>
              <w:spacing w:line="360" w:lineRule="auto"/>
              <w:jc w:val="center"/>
              <w:rPr>
                <w:rFonts w:hint="eastAsia" w:ascii="宋体" w:hAnsi="宋体"/>
                <w:color w:val="000000"/>
                <w:szCs w:val="21"/>
              </w:rPr>
            </w:pPr>
            <w:r>
              <w:rPr>
                <w:rFonts w:ascii="宋体" w:hAnsi="宋体"/>
                <w:color w:val="000000"/>
                <w:szCs w:val="21"/>
              </w:rPr>
              <w:t>5,000~50,000元</w:t>
            </w:r>
          </w:p>
        </w:tc>
        <w:tc>
          <w:tcPr>
            <w:tcW w:w="1810" w:type="dxa"/>
            <w:vAlign w:val="center"/>
          </w:tcPr>
          <w:p w14:paraId="59A960CF">
            <w:pPr>
              <w:spacing w:line="360" w:lineRule="auto"/>
              <w:jc w:val="center"/>
              <w:rPr>
                <w:rFonts w:hint="eastAsia" w:ascii="宋体" w:hAnsi="宋体"/>
                <w:color w:val="000000"/>
                <w:szCs w:val="21"/>
              </w:rPr>
            </w:pPr>
            <w:r>
              <w:rPr>
                <w:rFonts w:ascii="宋体" w:hAnsi="宋体"/>
                <w:color w:val="000000"/>
                <w:szCs w:val="21"/>
              </w:rPr>
              <w:t>视问题严重程度</w:t>
            </w:r>
          </w:p>
        </w:tc>
      </w:tr>
      <w:tr w14:paraId="67464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4" w:type="dxa"/>
            <w:vAlign w:val="center"/>
          </w:tcPr>
          <w:p w14:paraId="1B4F8CAF">
            <w:pPr>
              <w:spacing w:line="360" w:lineRule="auto"/>
              <w:jc w:val="center"/>
              <w:rPr>
                <w:rFonts w:hint="eastAsia" w:ascii="宋体" w:hAnsi="宋体"/>
                <w:color w:val="000000"/>
                <w:szCs w:val="21"/>
              </w:rPr>
            </w:pPr>
            <w:r>
              <w:rPr>
                <w:rFonts w:ascii="宋体" w:hAnsi="宋体"/>
                <w:color w:val="000000"/>
                <w:szCs w:val="21"/>
              </w:rPr>
              <w:t>5</w:t>
            </w:r>
          </w:p>
        </w:tc>
        <w:tc>
          <w:tcPr>
            <w:tcW w:w="1268" w:type="dxa"/>
            <w:vAlign w:val="center"/>
          </w:tcPr>
          <w:p w14:paraId="2B747D88">
            <w:pPr>
              <w:spacing w:line="360" w:lineRule="auto"/>
              <w:jc w:val="center"/>
              <w:rPr>
                <w:rFonts w:hint="eastAsia" w:ascii="宋体" w:hAnsi="宋体"/>
                <w:color w:val="000000"/>
                <w:szCs w:val="21"/>
              </w:rPr>
            </w:pPr>
            <w:r>
              <w:rPr>
                <w:rFonts w:ascii="宋体" w:hAnsi="宋体"/>
                <w:color w:val="000000"/>
                <w:szCs w:val="21"/>
              </w:rPr>
              <w:t>文档缺失或质量不合格</w:t>
            </w:r>
          </w:p>
        </w:tc>
        <w:tc>
          <w:tcPr>
            <w:tcW w:w="2385" w:type="dxa"/>
            <w:vAlign w:val="center"/>
          </w:tcPr>
          <w:p w14:paraId="0374A84B">
            <w:pPr>
              <w:spacing w:line="360" w:lineRule="auto"/>
              <w:jc w:val="center"/>
              <w:rPr>
                <w:rFonts w:hint="eastAsia" w:ascii="宋体" w:hAnsi="宋体"/>
                <w:color w:val="000000"/>
                <w:szCs w:val="21"/>
              </w:rPr>
            </w:pPr>
            <w:r>
              <w:rPr>
                <w:rFonts w:ascii="宋体" w:hAnsi="宋体"/>
                <w:color w:val="000000"/>
                <w:szCs w:val="21"/>
              </w:rPr>
              <w:t>乙方未提供或提供的技术规范、培训材料等文档</w:t>
            </w:r>
          </w:p>
        </w:tc>
        <w:tc>
          <w:tcPr>
            <w:tcW w:w="1972" w:type="dxa"/>
            <w:vAlign w:val="center"/>
          </w:tcPr>
          <w:p w14:paraId="198A5B62">
            <w:pPr>
              <w:spacing w:line="360" w:lineRule="auto"/>
              <w:jc w:val="center"/>
              <w:rPr>
                <w:rFonts w:hint="eastAsia" w:ascii="宋体" w:hAnsi="宋体"/>
                <w:color w:val="000000"/>
                <w:szCs w:val="21"/>
              </w:rPr>
            </w:pPr>
            <w:r>
              <w:rPr>
                <w:rFonts w:ascii="宋体" w:hAnsi="宋体"/>
                <w:color w:val="000000"/>
                <w:szCs w:val="21"/>
              </w:rPr>
              <w:t>由甲方项目经理确认文档条目，提交财务部扣款</w:t>
            </w:r>
          </w:p>
        </w:tc>
        <w:tc>
          <w:tcPr>
            <w:tcW w:w="1476" w:type="dxa"/>
            <w:vAlign w:val="center"/>
          </w:tcPr>
          <w:p w14:paraId="5FD07C53">
            <w:pPr>
              <w:spacing w:line="360" w:lineRule="auto"/>
              <w:jc w:val="center"/>
              <w:rPr>
                <w:rFonts w:hint="eastAsia" w:ascii="宋体" w:hAnsi="宋体"/>
                <w:color w:val="000000"/>
                <w:szCs w:val="21"/>
              </w:rPr>
            </w:pPr>
            <w:r>
              <w:rPr>
                <w:rFonts w:ascii="宋体" w:hAnsi="宋体"/>
                <w:color w:val="000000"/>
                <w:szCs w:val="21"/>
              </w:rPr>
              <w:t>1,000~5,0000元</w:t>
            </w:r>
          </w:p>
        </w:tc>
        <w:tc>
          <w:tcPr>
            <w:tcW w:w="1810" w:type="dxa"/>
            <w:vAlign w:val="center"/>
          </w:tcPr>
          <w:p w14:paraId="10A12087">
            <w:pPr>
              <w:spacing w:line="360" w:lineRule="auto"/>
              <w:jc w:val="center"/>
              <w:rPr>
                <w:rFonts w:hint="eastAsia" w:ascii="宋体" w:hAnsi="宋体"/>
                <w:color w:val="000000"/>
                <w:szCs w:val="21"/>
              </w:rPr>
            </w:pPr>
            <w:r>
              <w:rPr>
                <w:rFonts w:ascii="宋体" w:hAnsi="宋体"/>
                <w:color w:val="000000"/>
                <w:szCs w:val="21"/>
              </w:rPr>
              <w:t>视文档重要性</w:t>
            </w:r>
          </w:p>
        </w:tc>
      </w:tr>
    </w:tbl>
    <w:p w14:paraId="2F304436">
      <w:pPr>
        <w:tabs>
          <w:tab w:val="left" w:pos="0"/>
        </w:tabs>
        <w:spacing w:line="360" w:lineRule="auto"/>
        <w:rPr>
          <w:color w:val="000000"/>
          <w:szCs w:val="21"/>
        </w:rPr>
      </w:pPr>
    </w:p>
    <w:p w14:paraId="5C3A92D9">
      <w:pPr>
        <w:pStyle w:val="4"/>
        <w:numPr>
          <w:ilvl w:val="0"/>
          <w:numId w:val="0"/>
        </w:numPr>
        <w:spacing w:before="0" w:after="0" w:line="360" w:lineRule="auto"/>
        <w:rPr>
          <w:sz w:val="20"/>
          <w:szCs w:val="20"/>
        </w:rPr>
      </w:pPr>
      <w:bookmarkStart w:id="40" w:name="_Toc30768"/>
      <w:bookmarkStart w:id="41" w:name="_Toc24786"/>
      <w:bookmarkStart w:id="42" w:name="_Toc16718"/>
      <w:bookmarkStart w:id="43" w:name="_Toc51053553"/>
      <w:r>
        <w:rPr>
          <w:rFonts w:hint="eastAsia"/>
          <w:sz w:val="20"/>
          <w:szCs w:val="20"/>
        </w:rPr>
        <w:t>四、</w:t>
      </w:r>
      <w:r>
        <w:rPr>
          <w:sz w:val="20"/>
          <w:szCs w:val="20"/>
        </w:rPr>
        <w:t>产品的质量要求</w:t>
      </w:r>
      <w:bookmarkEnd w:id="40"/>
      <w:bookmarkEnd w:id="41"/>
      <w:bookmarkEnd w:id="42"/>
      <w:bookmarkEnd w:id="43"/>
    </w:p>
    <w:p w14:paraId="084CBFCE">
      <w:pPr>
        <w:pStyle w:val="96"/>
        <w:numPr>
          <w:ilvl w:val="0"/>
          <w:numId w:val="13"/>
        </w:numPr>
        <w:spacing w:line="360" w:lineRule="auto"/>
        <w:ind w:firstLineChars="0"/>
        <w:rPr>
          <w:rFonts w:hint="eastAsia" w:ascii="宋体" w:hAnsi="宋体"/>
          <w:color w:val="000000"/>
          <w:szCs w:val="21"/>
        </w:rPr>
      </w:pPr>
      <w:bookmarkStart w:id="44" w:name="_Toc14398"/>
      <w:bookmarkStart w:id="45" w:name="_Toc2480"/>
      <w:bookmarkStart w:id="46" w:name="_Hlk90459172"/>
      <w:bookmarkStart w:id="47" w:name="_Toc51053554"/>
      <w:bookmarkStart w:id="48" w:name="_Toc513"/>
      <w:r>
        <w:rPr>
          <w:rFonts w:ascii="宋体" w:hAnsi="宋体"/>
          <w:color w:val="000000"/>
          <w:szCs w:val="21"/>
        </w:rPr>
        <w:t>乙方所提供的软件技术指标和技术性能必须完全满足甲方在“</w:t>
      </w:r>
      <w:r>
        <w:rPr>
          <w:rFonts w:hint="eastAsia" w:ascii="宋体" w:hAnsi="宋体"/>
          <w:color w:val="000000"/>
          <w:szCs w:val="21"/>
        </w:rPr>
        <w:t>加密定向传送经批准落地境外卫星频道平台建设（终端配套集成）项目</w:t>
      </w:r>
      <w:r>
        <w:rPr>
          <w:rFonts w:ascii="宋体" w:hAnsi="宋体"/>
          <w:color w:val="000000"/>
          <w:szCs w:val="21"/>
        </w:rPr>
        <w:t>”竞争性谈判文件中提出的技术要求，乙方所提供的软件的功能与服务实现必须完全遵守响应文件和询标时做出的书面承诺；乙方保证所开发软件没有任何版权或其他权属争议，且符合相应技术规定的品质和技术要求。若项目涉及的技术性能无相应说明，则按国家或国际有关部门最新颁布的标准及规范为准。同时，乙方保证提供的所有技术是现阶段主流技术。</w:t>
      </w:r>
    </w:p>
    <w:p w14:paraId="08368DF8">
      <w:pPr>
        <w:pStyle w:val="96"/>
        <w:numPr>
          <w:ilvl w:val="0"/>
          <w:numId w:val="13"/>
        </w:numPr>
        <w:spacing w:line="360" w:lineRule="auto"/>
        <w:ind w:firstLineChars="0"/>
        <w:rPr>
          <w:rFonts w:hint="eastAsia" w:ascii="宋体" w:hAnsi="宋体"/>
          <w:color w:val="000000"/>
          <w:szCs w:val="21"/>
        </w:rPr>
      </w:pPr>
      <w:r>
        <w:rPr>
          <w:rFonts w:ascii="宋体" w:hAnsi="宋体"/>
          <w:color w:val="000000"/>
          <w:szCs w:val="21"/>
        </w:rPr>
        <w:t>软件的技术文档乙方必须以光盘、电子文档和纸质等的包装方式提供所开发软件安装及日常运行维护所需的全部技术文件（含软件），提供软件的全部技术文档包括但不限于源代码、接口文档、设计方案、模块开发卷宗、测试方案、用户手册、系统业务规则等，提供软件及安装调试、系统集成及日常运行维护所需的全部技术文件。</w:t>
      </w:r>
    </w:p>
    <w:p w14:paraId="7B2FAA32">
      <w:pPr>
        <w:pStyle w:val="4"/>
        <w:numPr>
          <w:ilvl w:val="0"/>
          <w:numId w:val="0"/>
        </w:numPr>
        <w:spacing w:before="0" w:after="0" w:line="360" w:lineRule="auto"/>
        <w:rPr>
          <w:sz w:val="20"/>
          <w:szCs w:val="20"/>
        </w:rPr>
      </w:pPr>
      <w:r>
        <w:rPr>
          <w:rFonts w:hint="eastAsia"/>
          <w:sz w:val="20"/>
          <w:szCs w:val="20"/>
        </w:rPr>
        <w:t>五</w:t>
      </w:r>
      <w:r>
        <w:rPr>
          <w:sz w:val="20"/>
          <w:szCs w:val="20"/>
        </w:rPr>
        <w:t>、</w:t>
      </w:r>
      <w:bookmarkEnd w:id="44"/>
      <w:bookmarkEnd w:id="45"/>
      <w:bookmarkEnd w:id="46"/>
      <w:bookmarkEnd w:id="47"/>
      <w:bookmarkEnd w:id="48"/>
      <w:r>
        <w:rPr>
          <w:sz w:val="20"/>
          <w:szCs w:val="20"/>
        </w:rPr>
        <w:t>运输费用</w:t>
      </w:r>
    </w:p>
    <w:p w14:paraId="64CF9865">
      <w:pPr>
        <w:spacing w:line="360" w:lineRule="auto"/>
        <w:ind w:firstLine="420"/>
        <w:rPr>
          <w:color w:val="000000"/>
          <w:szCs w:val="21"/>
        </w:rPr>
      </w:pPr>
      <w:r>
        <w:rPr>
          <w:rFonts w:hint="eastAsia" w:ascii="宋体" w:hAnsi="宋体" w:cs="宋体"/>
          <w:kern w:val="0"/>
          <w:szCs w:val="21"/>
        </w:rPr>
        <w:t>乙方承担所有因系统开发而产生的运输、装卸和保险等费用</w:t>
      </w:r>
      <w:r>
        <w:rPr>
          <w:color w:val="000000"/>
          <w:szCs w:val="21"/>
        </w:rPr>
        <w:t>。</w:t>
      </w:r>
    </w:p>
    <w:p w14:paraId="2AC656A1">
      <w:pPr>
        <w:pStyle w:val="4"/>
        <w:numPr>
          <w:ilvl w:val="0"/>
          <w:numId w:val="0"/>
        </w:numPr>
        <w:spacing w:before="0" w:after="0" w:line="360" w:lineRule="auto"/>
        <w:rPr>
          <w:sz w:val="20"/>
          <w:szCs w:val="20"/>
        </w:rPr>
      </w:pPr>
      <w:bookmarkStart w:id="49" w:name="_Toc24094"/>
      <w:bookmarkStart w:id="50" w:name="_Toc171695438"/>
      <w:bookmarkStart w:id="51" w:name="_Toc105"/>
      <w:bookmarkStart w:id="52" w:name="_Toc31014"/>
      <w:bookmarkStart w:id="53" w:name="_Toc51053557"/>
      <w:bookmarkStart w:id="54" w:name="_Toc19966"/>
      <w:r>
        <w:rPr>
          <w:rFonts w:hint="eastAsia"/>
          <w:sz w:val="20"/>
          <w:szCs w:val="20"/>
        </w:rPr>
        <w:t>六</w:t>
      </w:r>
      <w:r>
        <w:rPr>
          <w:sz w:val="20"/>
          <w:szCs w:val="20"/>
        </w:rPr>
        <w:t>、开发周期</w:t>
      </w:r>
      <w:bookmarkEnd w:id="49"/>
      <w:bookmarkEnd w:id="50"/>
    </w:p>
    <w:p w14:paraId="2DD07138">
      <w:pPr>
        <w:spacing w:line="360" w:lineRule="auto"/>
        <w:ind w:firstLine="420"/>
      </w:pPr>
      <w:r>
        <w:rPr>
          <w:rFonts w:ascii="宋体" w:hAnsi="宋体"/>
          <w:color w:val="000000"/>
          <w:szCs w:val="21"/>
        </w:rPr>
        <w:t>要求于签订合同后的</w:t>
      </w:r>
      <w:r>
        <w:rPr>
          <w:rFonts w:ascii="宋体" w:hAnsi="宋体"/>
          <w:color w:val="000000"/>
          <w:szCs w:val="21"/>
          <w:u w:val="single"/>
        </w:rPr>
        <w:t xml:space="preserve">   </w:t>
      </w:r>
      <w:r>
        <w:rPr>
          <w:rFonts w:ascii="宋体" w:hAnsi="宋体"/>
          <w:color w:val="000000"/>
          <w:szCs w:val="21"/>
        </w:rPr>
        <w:t>天（不超过</w:t>
      </w:r>
      <w:r>
        <w:rPr>
          <w:rFonts w:hint="eastAsia" w:ascii="宋体" w:hAnsi="宋体"/>
          <w:b/>
          <w:color w:val="000000"/>
          <w:szCs w:val="21"/>
          <w:u w:val="single"/>
        </w:rPr>
        <w:t>90</w:t>
      </w:r>
      <w:r>
        <w:rPr>
          <w:rFonts w:ascii="宋体" w:hAnsi="宋体"/>
          <w:color w:val="000000"/>
          <w:szCs w:val="21"/>
        </w:rPr>
        <w:t>天）内完成系统所有功能模块与接口的开发、改造、现场安装和调试以及相应的集成对接工作。乙方每逾期一天交付（不足一天按一天计算），按合同总价的1%收取滞纳金，滞纳金从合同款中扣除。如逾期时间超过6周仍未能交付全部或部分开发系统，在不妨碍甲方其他救济手段的情况下，甲方可以向乙方发出书面违约通知从而全部或部分地终止合同，并向乙方索赔。</w:t>
      </w:r>
    </w:p>
    <w:p w14:paraId="58962E75">
      <w:pPr>
        <w:spacing w:line="360" w:lineRule="auto"/>
        <w:ind w:firstLine="420"/>
        <w:rPr>
          <w:rFonts w:hint="eastAsia" w:ascii="宋体" w:hAnsi="宋体"/>
          <w:color w:val="000000"/>
          <w:szCs w:val="21"/>
        </w:rPr>
      </w:pPr>
      <w:r>
        <w:rPr>
          <w:rFonts w:ascii="宋体" w:hAnsi="宋体"/>
          <w:color w:val="000000"/>
          <w:szCs w:val="21"/>
        </w:rPr>
        <w:t>软件开发和系统调试的进度严格按照双方约定的工程进度表进行。乙方逾期交付，甲方接受的，不影响甲方追究乙方逾期交付的违约责任。</w:t>
      </w:r>
    </w:p>
    <w:p w14:paraId="43F29858">
      <w:pPr>
        <w:pStyle w:val="4"/>
        <w:numPr>
          <w:ilvl w:val="0"/>
          <w:numId w:val="0"/>
        </w:numPr>
        <w:spacing w:before="0" w:after="0" w:line="360" w:lineRule="auto"/>
        <w:rPr>
          <w:sz w:val="20"/>
          <w:szCs w:val="20"/>
        </w:rPr>
      </w:pPr>
      <w:r>
        <w:rPr>
          <w:rFonts w:hint="eastAsia"/>
          <w:sz w:val="20"/>
          <w:szCs w:val="20"/>
        </w:rPr>
        <w:t>七</w:t>
      </w:r>
      <w:r>
        <w:rPr>
          <w:sz w:val="20"/>
          <w:szCs w:val="20"/>
        </w:rPr>
        <w:t>、包修、保修</w:t>
      </w:r>
    </w:p>
    <w:p w14:paraId="1F9428CA">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包修期</w:t>
      </w:r>
    </w:p>
    <w:p w14:paraId="459C366A">
      <w:pPr>
        <w:spacing w:line="360" w:lineRule="auto"/>
        <w:ind w:firstLine="420"/>
        <w:rPr>
          <w:rFonts w:hint="eastAsia" w:ascii="宋体" w:hAnsi="宋体"/>
          <w:color w:val="000000"/>
          <w:szCs w:val="21"/>
        </w:rPr>
      </w:pPr>
      <w:r>
        <w:rPr>
          <w:rFonts w:ascii="宋体" w:hAnsi="宋体"/>
          <w:color w:val="000000"/>
          <w:szCs w:val="21"/>
        </w:rPr>
        <w:t>整个系统的免费包修期为终验合格后</w:t>
      </w:r>
      <w:r>
        <w:rPr>
          <w:rFonts w:ascii="宋体" w:hAnsi="宋体"/>
          <w:color w:val="000000"/>
          <w:szCs w:val="21"/>
          <w:u w:val="single"/>
        </w:rPr>
        <w:t xml:space="preserve">   </w:t>
      </w:r>
      <w:r>
        <w:rPr>
          <w:rFonts w:ascii="宋体" w:hAnsi="宋体"/>
          <w:color w:val="000000"/>
          <w:szCs w:val="21"/>
        </w:rPr>
        <w:t>年（不少于3年）。</w:t>
      </w:r>
    </w:p>
    <w:p w14:paraId="51D7C9CF">
      <w:pPr>
        <w:spacing w:line="360" w:lineRule="auto"/>
        <w:ind w:firstLine="420"/>
        <w:rPr>
          <w:rFonts w:hint="eastAsia" w:ascii="宋体" w:hAnsi="宋体"/>
          <w:color w:val="000000"/>
          <w:szCs w:val="21"/>
        </w:rPr>
      </w:pPr>
      <w:r>
        <w:rPr>
          <w:rFonts w:ascii="宋体" w:hAnsi="宋体"/>
          <w:color w:val="000000"/>
          <w:szCs w:val="21"/>
        </w:rPr>
        <w:t>在包修期内，软件故障的排、修复以及必要的功能升级，均由乙方免费提供。</w:t>
      </w:r>
    </w:p>
    <w:p w14:paraId="55D82F59">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保修期</w:t>
      </w:r>
    </w:p>
    <w:p w14:paraId="5F620854">
      <w:pPr>
        <w:spacing w:line="360" w:lineRule="auto"/>
        <w:ind w:firstLine="420"/>
        <w:rPr>
          <w:rFonts w:hint="eastAsia" w:ascii="宋体" w:hAnsi="宋体"/>
          <w:color w:val="000000"/>
          <w:szCs w:val="21"/>
        </w:rPr>
      </w:pPr>
      <w:r>
        <w:rPr>
          <w:rFonts w:ascii="宋体" w:hAnsi="宋体"/>
          <w:color w:val="000000"/>
          <w:szCs w:val="21"/>
        </w:rPr>
        <w:t>3年的包修期结束后，乙方应提供终身保修服务。</w:t>
      </w:r>
    </w:p>
    <w:p w14:paraId="1B84CDDC">
      <w:pPr>
        <w:spacing w:line="360" w:lineRule="auto"/>
        <w:ind w:firstLine="420"/>
        <w:rPr>
          <w:rFonts w:hint="eastAsia" w:ascii="宋体" w:hAnsi="宋体"/>
          <w:color w:val="000000"/>
          <w:szCs w:val="21"/>
        </w:rPr>
      </w:pPr>
      <w:r>
        <w:rPr>
          <w:rFonts w:ascii="宋体" w:hAnsi="宋体"/>
          <w:color w:val="000000"/>
          <w:szCs w:val="21"/>
        </w:rPr>
        <w:t>如甲方要求乙方提供维保服务，则维保服务的内容与包修期相同。维保年服务费用（全包）应不超过成交总价（合同价）的</w:t>
      </w:r>
      <w:r>
        <w:rPr>
          <w:rFonts w:ascii="宋体" w:hAnsi="宋体"/>
          <w:color w:val="000000"/>
          <w:szCs w:val="21"/>
          <w:u w:val="single"/>
        </w:rPr>
        <w:t xml:space="preserve">   </w:t>
      </w:r>
      <w:r>
        <w:rPr>
          <w:rFonts w:ascii="宋体" w:hAnsi="宋体"/>
          <w:color w:val="000000"/>
          <w:szCs w:val="21"/>
        </w:rPr>
        <w:t>%（不超过5%）。</w:t>
      </w:r>
    </w:p>
    <w:p w14:paraId="309C4DEC"/>
    <w:p w14:paraId="70D2A3BF">
      <w:pPr>
        <w:pStyle w:val="4"/>
        <w:numPr>
          <w:ilvl w:val="0"/>
          <w:numId w:val="0"/>
        </w:numPr>
        <w:spacing w:before="0" w:after="0" w:line="360" w:lineRule="auto"/>
        <w:rPr>
          <w:sz w:val="20"/>
          <w:szCs w:val="20"/>
        </w:rPr>
      </w:pPr>
      <w:r>
        <w:rPr>
          <w:rFonts w:hint="eastAsia"/>
          <w:sz w:val="20"/>
          <w:szCs w:val="20"/>
        </w:rPr>
        <w:t>八、</w:t>
      </w:r>
      <w:bookmarkEnd w:id="51"/>
      <w:bookmarkEnd w:id="52"/>
      <w:bookmarkEnd w:id="53"/>
      <w:bookmarkEnd w:id="54"/>
      <w:r>
        <w:rPr>
          <w:rFonts w:hint="eastAsia"/>
          <w:sz w:val="20"/>
          <w:szCs w:val="20"/>
        </w:rPr>
        <w:t>验收标准</w:t>
      </w:r>
    </w:p>
    <w:p w14:paraId="3D337E2F">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当乙方完成甲方所要求的全部终端软件功能研发、集成与调试，乙方需免费提供验收所需的测试工具、并搭建测试环境，按甲方</w:t>
      </w:r>
      <w:r>
        <w:rPr>
          <w:rFonts w:hint="eastAsia" w:ascii="宋体" w:hAnsi="宋体"/>
          <w:color w:val="000000"/>
          <w:szCs w:val="21"/>
        </w:rPr>
        <w:t>竞争性谈判文件</w:t>
      </w:r>
      <w:r>
        <w:rPr>
          <w:rFonts w:ascii="宋体" w:hAnsi="宋体"/>
          <w:color w:val="000000"/>
          <w:szCs w:val="21"/>
        </w:rPr>
        <w:t>、乙方</w:t>
      </w:r>
      <w:r>
        <w:rPr>
          <w:rFonts w:hint="eastAsia" w:ascii="宋体" w:hAnsi="宋体"/>
          <w:color w:val="000000"/>
          <w:szCs w:val="21"/>
        </w:rPr>
        <w:t>响应</w:t>
      </w:r>
      <w:r>
        <w:rPr>
          <w:rFonts w:ascii="宋体" w:hAnsi="宋体"/>
          <w:color w:val="000000"/>
          <w:szCs w:val="21"/>
        </w:rPr>
        <w:t>文件、</w:t>
      </w:r>
      <w:r>
        <w:rPr>
          <w:rFonts w:hint="eastAsia" w:ascii="宋体" w:hAnsi="宋体"/>
          <w:color w:val="000000"/>
          <w:szCs w:val="21"/>
        </w:rPr>
        <w:t>谈判</w:t>
      </w:r>
      <w:r>
        <w:rPr>
          <w:rFonts w:ascii="宋体" w:hAnsi="宋体"/>
          <w:color w:val="000000"/>
          <w:szCs w:val="21"/>
        </w:rPr>
        <w:t>时乙方做出的书面承诺以及甲、乙双方共同签订的补充协议的要求进行验收。</w:t>
      </w:r>
    </w:p>
    <w:p w14:paraId="22D0A5FF">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乙方完成本项目所有机顶盒软件研发，通过甲方组织的软件测试，并把升级文件交付到甲方指定的分（子）公司</w:t>
      </w:r>
      <w:r>
        <w:rPr>
          <w:rFonts w:hint="eastAsia" w:ascii="宋体" w:hAnsi="宋体"/>
          <w:color w:val="000000"/>
          <w:szCs w:val="21"/>
        </w:rPr>
        <w:t>测试通过</w:t>
      </w:r>
      <w:r>
        <w:rPr>
          <w:rFonts w:ascii="宋体" w:hAnsi="宋体"/>
          <w:color w:val="000000"/>
          <w:szCs w:val="21"/>
        </w:rPr>
        <w:t>后，向甲方提交系统初验申请报告，甲方应在接到乙方提供的系统初验申请报告后10个工作日内组织有关部门进行初验，甲方（或指定的试点分/子公司）测试通过的测试报告为初验验收合格的必要条件。初验合格后30天内启动试升级和试运营工作，试升级和试运营期为90天，90天内无重大升级风险发生（报障率超过3%，即为重大升级风险），视为终验合格的必要条件。在试运行期结束后，如系统的性能和业务功能满足竞争性谈判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0F2360A0">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如第一次初验或终验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按照本合同的相关条款追究乙方的责任。</w:t>
      </w:r>
    </w:p>
    <w:p w14:paraId="158B10C7">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因甲方原因未能及时组织初验或终验，甲方应在乙方的协助下尽快解决问题。在乙方提出书面申请后，如甲方无正当理由在一个月内不予响应的，则视为系统验收通过。</w:t>
      </w:r>
    </w:p>
    <w:p w14:paraId="5CF07900">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甲乙双方应按合同规定的时间进行初验和终验，验收时间因各种原因需要更改的，甲乙双方应共同商定修改验收日期。</w:t>
      </w:r>
    </w:p>
    <w:p w14:paraId="4666A763">
      <w:pPr>
        <w:pStyle w:val="96"/>
        <w:numPr>
          <w:ilvl w:val="0"/>
          <w:numId w:val="14"/>
        </w:numPr>
        <w:spacing w:line="360" w:lineRule="auto"/>
        <w:ind w:firstLineChars="0"/>
        <w:rPr>
          <w:rFonts w:hint="eastAsia" w:ascii="宋体" w:hAnsi="宋体"/>
          <w:color w:val="000000"/>
          <w:szCs w:val="21"/>
        </w:rPr>
      </w:pPr>
      <w:r>
        <w:rPr>
          <w:rFonts w:ascii="宋体" w:hAnsi="宋体"/>
          <w:color w:val="000000"/>
          <w:szCs w:val="21"/>
        </w:rPr>
        <w:t>在初验和终验过程中，若一方对验收过程或结果提出质疑，且经协商不成的，可由甲方选择法定检验机构进行检验，检验费用由乙方承担。</w:t>
      </w:r>
    </w:p>
    <w:p w14:paraId="0D9F6428">
      <w:pPr>
        <w:pStyle w:val="96"/>
        <w:numPr>
          <w:ilvl w:val="0"/>
          <w:numId w:val="14"/>
        </w:numPr>
        <w:spacing w:line="360" w:lineRule="auto"/>
        <w:ind w:firstLineChars="0"/>
        <w:rPr>
          <w:rFonts w:hint="eastAsia" w:ascii="宋体" w:hAnsi="宋体"/>
          <w:color w:val="000000"/>
          <w:szCs w:val="21"/>
        </w:rPr>
      </w:pPr>
      <w:r>
        <w:rPr>
          <w:rFonts w:hint="eastAsia" w:ascii="宋体" w:hAnsi="宋体"/>
          <w:color w:val="000000"/>
          <w:szCs w:val="21"/>
        </w:rPr>
        <w:t>甲、乙双方约定合同产品检验期自交货日起至终验通过之日止。</w:t>
      </w:r>
    </w:p>
    <w:p w14:paraId="50FA5F37">
      <w:pPr>
        <w:pStyle w:val="4"/>
        <w:numPr>
          <w:ilvl w:val="0"/>
          <w:numId w:val="0"/>
        </w:numPr>
        <w:spacing w:before="0" w:after="0" w:line="360" w:lineRule="auto"/>
        <w:rPr>
          <w:sz w:val="20"/>
          <w:szCs w:val="20"/>
        </w:rPr>
      </w:pPr>
      <w:r>
        <w:rPr>
          <w:rFonts w:hint="eastAsia"/>
          <w:sz w:val="20"/>
          <w:szCs w:val="20"/>
        </w:rPr>
        <w:t>九、</w:t>
      </w:r>
      <w:r>
        <w:rPr>
          <w:sz w:val="20"/>
          <w:szCs w:val="20"/>
        </w:rPr>
        <w:t>售后服务</w:t>
      </w:r>
    </w:p>
    <w:p w14:paraId="2E210F04">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服务响应时间：乙方提供每周7天×24小时的技术支持和服务。如果出现技术问题或故障，乙方应按响应文件和询标时做出的书面承诺提供相应的服务和技术支持。在接到通知后1小时内应答，6小时内派出代表到达现场进行处理。在得到乙方同意后，或在规定期限内，乙方代表仍未到达现场，甲方可以自己进行故障处理，并要求乙方承担相应费用。重大技术故障乙方需要明确处理的时间。</w:t>
      </w:r>
    </w:p>
    <w:p w14:paraId="7696499D">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包修期：包修期   年（不少于3年），自终验通过之日起计算超过免费质保期后，乙方对其提供的产品在设备寿命期内提供有偿保修服务。超过免费质保期后，乙方对其提供的产品在寿命期内提供有偿保修服务。每年价格不得高于需要保修系统成交价的   %（不高于3%）。</w:t>
      </w:r>
    </w:p>
    <w:p w14:paraId="2527EAA2">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培训：乙方应对甲方人员进行技术培训，使甲方人员具备独立进行管理、维护测试和故障处理等工作的能力，以保证乙方所提供的软件能够正常、安全运行。培训内容不限于软、硬件设备的相关技术原理、性能、操作使用方法、维护管理的技术、实际的操作练习等。在项目现场的培训不不少于半天，参训人员由甲方指定。包括响应文件和询标时做出的书面承诺的培训。乙方另行提供的其它培训，往返路程费用、住宿及餐饮等费用由乙方承担。</w:t>
      </w:r>
    </w:p>
    <w:p w14:paraId="18CAB4D5">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原厂服务：乙方所提供的技术服务都由各产品制造商原厂提供，所销售的产品均已包含3年期每周7天×24小时原厂服务。项目上线一年内，乙方至少有一名技术人员常驻现场进行支撑，遵守采购人的考勤制度。</w:t>
      </w:r>
    </w:p>
    <w:p w14:paraId="0BFC5FE3">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无论在质保期内还是在质保期后，乙方保证系统发生故障后6小时内，解决系统问题。</w:t>
      </w:r>
    </w:p>
    <w:p w14:paraId="71BE87F4">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如果在系统发生故障后，乙方未能按照要求时间排除系统故障，甲方有权请第三方解决问题，由此产生的费用由乙方承担。造成甲方业务损失的，由乙方承担相应责任。</w:t>
      </w:r>
    </w:p>
    <w:p w14:paraId="7CCB8BA5">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甲方在使用成交的软件不论何种原因造成的故障，乙方在接到甲方要求修复的电话或书面通知后：</w:t>
      </w:r>
    </w:p>
    <w:p w14:paraId="0266BB62">
      <w:pPr>
        <w:tabs>
          <w:tab w:val="left" w:pos="0"/>
        </w:tabs>
        <w:spacing w:line="360" w:lineRule="auto"/>
        <w:ind w:firstLine="426"/>
        <w:rPr>
          <w:rFonts w:hint="eastAsia" w:ascii="宋体" w:hAnsi="宋体"/>
          <w:color w:val="000000"/>
          <w:szCs w:val="21"/>
        </w:rPr>
      </w:pPr>
      <w:r>
        <w:rPr>
          <w:rFonts w:ascii="宋体" w:hAnsi="宋体"/>
          <w:color w:val="000000"/>
          <w:szCs w:val="21"/>
        </w:rPr>
        <w:t>（1）乙方保证立即响应并至少6小时内通过电话做远程诊断，尝试排除故障或进行紧急处理。</w:t>
      </w:r>
    </w:p>
    <w:p w14:paraId="34A12EB4">
      <w:pPr>
        <w:tabs>
          <w:tab w:val="left" w:pos="0"/>
        </w:tabs>
        <w:spacing w:line="360" w:lineRule="auto"/>
        <w:ind w:firstLine="420"/>
        <w:rPr>
          <w:rFonts w:hint="eastAsia" w:ascii="宋体" w:hAnsi="宋体"/>
          <w:color w:val="000000"/>
          <w:szCs w:val="21"/>
        </w:rPr>
      </w:pPr>
      <w:r>
        <w:rPr>
          <w:rFonts w:ascii="宋体" w:hAnsi="宋体"/>
          <w:color w:val="000000"/>
          <w:szCs w:val="21"/>
        </w:rPr>
        <w:t>（2）乙方保证提供完善的技术支持服务，如需要软件更新才能解决的问题，乙方须于24小时内提供软件迭代更新方案，7日内提供可正常使用的更新升级软件。</w:t>
      </w:r>
    </w:p>
    <w:p w14:paraId="1200F921">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乙方在甲方指定工作地点安装、调试期间，一切费用由乙方自理。</w:t>
      </w:r>
    </w:p>
    <w:p w14:paraId="4EE13758">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乙方所供软件要求实行终身维保；乙方应提供货物最低使用年限，在此期间内，不应发生非人为操作原因的重大故障，否则甲方有权追溯乙方的责任。</w:t>
      </w:r>
    </w:p>
    <w:p w14:paraId="0BDB87F3">
      <w:pPr>
        <w:pStyle w:val="96"/>
        <w:numPr>
          <w:ilvl w:val="0"/>
          <w:numId w:val="15"/>
        </w:numPr>
        <w:spacing w:line="360" w:lineRule="auto"/>
        <w:ind w:firstLineChars="0"/>
        <w:rPr>
          <w:rFonts w:hint="eastAsia" w:ascii="宋体" w:hAnsi="宋体"/>
          <w:color w:val="000000"/>
          <w:szCs w:val="21"/>
        </w:rPr>
      </w:pPr>
      <w:r>
        <w:rPr>
          <w:rFonts w:ascii="宋体" w:hAnsi="宋体"/>
          <w:color w:val="000000"/>
          <w:szCs w:val="21"/>
        </w:rPr>
        <w:t>人员一致：乙方在项目施工，项目建成后的维护过程中，相关现场服务人员应与响应文件中的人员一致。如更换人员，须向甲方提供书面申请，且更换后人员的资质和服务水平不得低于响应文件中的相关人员。</w:t>
      </w:r>
    </w:p>
    <w:p w14:paraId="324F4DD6">
      <w:pPr>
        <w:pStyle w:val="96"/>
        <w:numPr>
          <w:ilvl w:val="0"/>
          <w:numId w:val="15"/>
        </w:numPr>
        <w:spacing w:line="360" w:lineRule="auto"/>
        <w:ind w:firstLineChars="0"/>
        <w:rPr>
          <w:rFonts w:hint="eastAsia" w:ascii="宋体" w:hAnsi="宋体"/>
          <w:color w:val="000000"/>
          <w:szCs w:val="21"/>
        </w:rPr>
      </w:pPr>
      <w:r>
        <w:rPr>
          <w:rFonts w:hint="eastAsia" w:ascii="宋体" w:hAnsi="宋体"/>
          <w:color w:val="000000"/>
          <w:szCs w:val="21"/>
        </w:rPr>
        <w:t>竞争性谈判</w:t>
      </w:r>
      <w:r>
        <w:rPr>
          <w:rFonts w:ascii="宋体" w:hAnsi="宋体"/>
          <w:color w:val="000000"/>
          <w:szCs w:val="21"/>
        </w:rPr>
        <w:t>文件中要求的其他内容</w:t>
      </w:r>
    </w:p>
    <w:p w14:paraId="38114286">
      <w:pPr>
        <w:pStyle w:val="4"/>
        <w:numPr>
          <w:ilvl w:val="0"/>
          <w:numId w:val="0"/>
        </w:numPr>
        <w:spacing w:before="0" w:after="0" w:line="360" w:lineRule="auto"/>
        <w:rPr>
          <w:sz w:val="20"/>
          <w:szCs w:val="20"/>
        </w:rPr>
      </w:pPr>
      <w:bookmarkStart w:id="55" w:name="_Toc31746"/>
      <w:bookmarkStart w:id="56" w:name="_Toc171695441"/>
      <w:r>
        <w:rPr>
          <w:sz w:val="20"/>
          <w:szCs w:val="20"/>
        </w:rPr>
        <w:t>十、技术支持</w:t>
      </w:r>
      <w:bookmarkEnd w:id="55"/>
      <w:bookmarkEnd w:id="56"/>
    </w:p>
    <w:p w14:paraId="230807D4">
      <w:pPr>
        <w:pStyle w:val="96"/>
        <w:numPr>
          <w:ilvl w:val="0"/>
          <w:numId w:val="16"/>
        </w:numPr>
        <w:spacing w:line="360" w:lineRule="auto"/>
        <w:ind w:firstLineChars="0"/>
        <w:rPr>
          <w:rFonts w:hint="eastAsia" w:ascii="宋体" w:hAnsi="宋体"/>
          <w:color w:val="000000"/>
          <w:szCs w:val="21"/>
        </w:rPr>
      </w:pPr>
      <w:r>
        <w:rPr>
          <w:rFonts w:ascii="宋体" w:hAnsi="宋体"/>
          <w:color w:val="000000"/>
          <w:szCs w:val="21"/>
        </w:rPr>
        <w:t>乙方需提供设备的全套技术文件。文档内容须覆盖承建人所提供软件功能使用及管理应用。如乙方提供的项目/软件文档错误或不达要求，须无条件根据甲方提出细化要求予以补充或修订。文档资料包含但不限于以下内容：</w:t>
      </w:r>
    </w:p>
    <w:p w14:paraId="1ED758FD">
      <w:pPr>
        <w:tabs>
          <w:tab w:val="left" w:pos="0"/>
        </w:tabs>
        <w:spacing w:line="360" w:lineRule="auto"/>
        <w:ind w:firstLine="420"/>
        <w:rPr>
          <w:rFonts w:hint="eastAsia" w:ascii="宋体" w:hAnsi="宋体"/>
          <w:color w:val="000000"/>
          <w:szCs w:val="21"/>
        </w:rPr>
      </w:pPr>
      <w:r>
        <w:rPr>
          <w:rFonts w:ascii="宋体" w:hAnsi="宋体"/>
          <w:color w:val="000000"/>
          <w:szCs w:val="21"/>
        </w:rPr>
        <w:t>（1）系统需求分析文档。</w:t>
      </w:r>
    </w:p>
    <w:p w14:paraId="3516F07F">
      <w:pPr>
        <w:tabs>
          <w:tab w:val="left" w:pos="0"/>
        </w:tabs>
        <w:spacing w:line="360" w:lineRule="auto"/>
        <w:ind w:firstLine="420"/>
        <w:rPr>
          <w:rFonts w:hint="eastAsia" w:ascii="宋体" w:hAnsi="宋体"/>
          <w:color w:val="000000"/>
          <w:szCs w:val="21"/>
        </w:rPr>
      </w:pPr>
      <w:r>
        <w:rPr>
          <w:rFonts w:ascii="宋体" w:hAnsi="宋体"/>
          <w:color w:val="000000"/>
          <w:szCs w:val="21"/>
        </w:rPr>
        <w:t>（2）系统设计说明书，包含软件结构图、部署视图、系统接口调用视图、各类设计的详细说明等。</w:t>
      </w:r>
    </w:p>
    <w:p w14:paraId="11ABE403">
      <w:pPr>
        <w:tabs>
          <w:tab w:val="left" w:pos="0"/>
        </w:tabs>
        <w:spacing w:line="360" w:lineRule="auto"/>
        <w:ind w:firstLine="420"/>
        <w:rPr>
          <w:rFonts w:hint="eastAsia" w:ascii="宋体" w:hAnsi="宋体"/>
          <w:color w:val="000000"/>
          <w:szCs w:val="21"/>
        </w:rPr>
      </w:pPr>
      <w:r>
        <w:rPr>
          <w:rFonts w:ascii="宋体" w:hAnsi="宋体"/>
          <w:color w:val="000000"/>
          <w:szCs w:val="21"/>
        </w:rPr>
        <w:t>（3）数据结构和数据字典说明。</w:t>
      </w:r>
    </w:p>
    <w:p w14:paraId="482882AB">
      <w:pPr>
        <w:tabs>
          <w:tab w:val="left" w:pos="0"/>
        </w:tabs>
        <w:spacing w:line="360" w:lineRule="auto"/>
        <w:ind w:firstLine="420"/>
        <w:rPr>
          <w:rFonts w:hint="eastAsia" w:ascii="宋体" w:hAnsi="宋体"/>
          <w:color w:val="000000"/>
          <w:szCs w:val="21"/>
        </w:rPr>
      </w:pPr>
      <w:r>
        <w:rPr>
          <w:rFonts w:ascii="宋体" w:hAnsi="宋体"/>
          <w:color w:val="000000"/>
          <w:szCs w:val="21"/>
        </w:rPr>
        <w:t>（4）用户操作手册，包含系统所有功能、页面、关键页面信息项的操作指引及信息说明等。</w:t>
      </w:r>
    </w:p>
    <w:p w14:paraId="09DE0BBD">
      <w:pPr>
        <w:tabs>
          <w:tab w:val="left" w:pos="0"/>
        </w:tabs>
        <w:spacing w:line="360" w:lineRule="auto"/>
        <w:ind w:firstLine="420"/>
        <w:rPr>
          <w:rFonts w:hint="eastAsia" w:ascii="宋体" w:hAnsi="宋体"/>
          <w:color w:val="000000"/>
          <w:szCs w:val="21"/>
        </w:rPr>
      </w:pPr>
      <w:r>
        <w:rPr>
          <w:rFonts w:ascii="宋体" w:hAnsi="宋体"/>
          <w:color w:val="000000"/>
          <w:szCs w:val="21"/>
        </w:rPr>
        <w:t>（5）系统运行维护手册，包含系统的安装、升级、迁移、维护等方面内容的说明。</w:t>
      </w:r>
    </w:p>
    <w:p w14:paraId="19EDCFC8">
      <w:pPr>
        <w:tabs>
          <w:tab w:val="left" w:pos="0"/>
        </w:tabs>
        <w:spacing w:line="360" w:lineRule="auto"/>
        <w:ind w:firstLine="420"/>
        <w:rPr>
          <w:rFonts w:hint="eastAsia" w:ascii="宋体" w:hAnsi="宋体"/>
          <w:color w:val="000000"/>
          <w:szCs w:val="21"/>
        </w:rPr>
      </w:pPr>
      <w:r>
        <w:rPr>
          <w:rFonts w:ascii="宋体" w:hAnsi="宋体"/>
          <w:color w:val="000000"/>
          <w:szCs w:val="21"/>
        </w:rPr>
        <w:t>（6）系统接口手册，包含系统提供或定制开发的接口类库、说明、示例代码等。</w:t>
      </w:r>
    </w:p>
    <w:p w14:paraId="62448F33">
      <w:pPr>
        <w:tabs>
          <w:tab w:val="left" w:pos="0"/>
        </w:tabs>
        <w:spacing w:line="360" w:lineRule="auto"/>
        <w:ind w:firstLine="420"/>
        <w:rPr>
          <w:rFonts w:hint="eastAsia" w:ascii="宋体" w:hAnsi="宋体"/>
          <w:color w:val="000000"/>
          <w:szCs w:val="21"/>
        </w:rPr>
      </w:pPr>
      <w:r>
        <w:rPr>
          <w:rFonts w:ascii="宋体" w:hAnsi="宋体"/>
          <w:color w:val="000000"/>
          <w:szCs w:val="21"/>
        </w:rPr>
        <w:t>（7）竞争性谈判文件中要求的其他内容。</w:t>
      </w:r>
    </w:p>
    <w:p w14:paraId="42BC2619">
      <w:pPr>
        <w:pStyle w:val="96"/>
        <w:numPr>
          <w:ilvl w:val="0"/>
          <w:numId w:val="16"/>
        </w:numPr>
        <w:spacing w:line="360" w:lineRule="auto"/>
        <w:ind w:firstLineChars="0"/>
        <w:rPr>
          <w:rFonts w:hint="eastAsia" w:ascii="宋体" w:hAnsi="宋体"/>
          <w:color w:val="000000"/>
          <w:szCs w:val="21"/>
        </w:rPr>
      </w:pPr>
      <w:r>
        <w:rPr>
          <w:rFonts w:ascii="宋体" w:hAnsi="宋体"/>
          <w:color w:val="000000"/>
          <w:szCs w:val="21"/>
        </w:rPr>
        <w:t>乙方须按甲方要求派驻相应的技术人员至项目现场完成甲方指定的相关工作。</w:t>
      </w:r>
    </w:p>
    <w:p w14:paraId="3E78C732">
      <w:pPr>
        <w:pStyle w:val="4"/>
        <w:numPr>
          <w:ilvl w:val="0"/>
          <w:numId w:val="0"/>
        </w:numPr>
        <w:spacing w:before="0" w:after="0" w:line="360" w:lineRule="auto"/>
        <w:rPr>
          <w:sz w:val="20"/>
          <w:szCs w:val="20"/>
        </w:rPr>
      </w:pPr>
      <w:r>
        <w:rPr>
          <w:rFonts w:hint="eastAsia"/>
          <w:sz w:val="20"/>
          <w:szCs w:val="20"/>
        </w:rPr>
        <w:t>十一、双方责任</w:t>
      </w:r>
    </w:p>
    <w:p w14:paraId="53679871">
      <w:pPr>
        <w:numPr>
          <w:ilvl w:val="0"/>
          <w:numId w:val="17"/>
        </w:numPr>
        <w:tabs>
          <w:tab w:val="left" w:pos="0"/>
        </w:tabs>
        <w:spacing w:line="360" w:lineRule="auto"/>
        <w:rPr>
          <w:rFonts w:hint="eastAsia" w:ascii="宋体" w:hAnsi="宋体"/>
          <w:color w:val="000000"/>
          <w:szCs w:val="21"/>
        </w:rPr>
      </w:pPr>
      <w:r>
        <w:rPr>
          <w:rFonts w:hint="eastAsia" w:ascii="宋体" w:hAnsi="宋体"/>
          <w:color w:val="000000"/>
          <w:szCs w:val="21"/>
        </w:rPr>
        <w:t>甲方责任</w:t>
      </w:r>
    </w:p>
    <w:p w14:paraId="596F8903">
      <w:pPr>
        <w:tabs>
          <w:tab w:val="left" w:pos="0"/>
        </w:tabs>
        <w:spacing w:line="360" w:lineRule="auto"/>
        <w:ind w:firstLine="420"/>
        <w:rPr>
          <w:rFonts w:hint="eastAsia" w:ascii="宋体" w:hAnsi="宋体"/>
          <w:color w:val="000000"/>
          <w:szCs w:val="21"/>
        </w:rPr>
      </w:pPr>
      <w:r>
        <w:rPr>
          <w:rFonts w:hint="eastAsia" w:ascii="宋体" w:hAnsi="宋体"/>
          <w:color w:val="000000"/>
          <w:szCs w:val="21"/>
        </w:rPr>
        <w:t>（1）甲方需为乙方提供项目实施便利，积极配合乙方进行项目实施更换及调试。</w:t>
      </w:r>
    </w:p>
    <w:p w14:paraId="22ADD074">
      <w:pPr>
        <w:tabs>
          <w:tab w:val="left" w:pos="0"/>
        </w:tabs>
        <w:spacing w:line="360" w:lineRule="auto"/>
        <w:ind w:firstLine="420"/>
        <w:rPr>
          <w:rFonts w:hint="eastAsia" w:ascii="宋体" w:hAnsi="宋体"/>
          <w:color w:val="000000"/>
          <w:szCs w:val="21"/>
        </w:rPr>
      </w:pPr>
      <w:r>
        <w:rPr>
          <w:rFonts w:hint="eastAsia" w:ascii="宋体" w:hAnsi="宋体"/>
          <w:color w:val="000000"/>
          <w:szCs w:val="21"/>
        </w:rPr>
        <w:t>（2）因乙方未按合同质量或要求交付产品，甲方有权拒收，甲方的该项权利不因产品在启运前通过甲方的验收而受到任何限制或影响。</w:t>
      </w:r>
    </w:p>
    <w:p w14:paraId="106C5E7A">
      <w:pPr>
        <w:numPr>
          <w:ilvl w:val="0"/>
          <w:numId w:val="17"/>
        </w:numPr>
        <w:tabs>
          <w:tab w:val="left" w:pos="0"/>
        </w:tabs>
        <w:spacing w:line="360" w:lineRule="auto"/>
        <w:ind w:left="0" w:firstLine="426"/>
        <w:rPr>
          <w:rFonts w:hint="eastAsia" w:ascii="宋体" w:hAnsi="宋体"/>
          <w:color w:val="000000"/>
          <w:szCs w:val="21"/>
        </w:rPr>
      </w:pPr>
      <w:r>
        <w:rPr>
          <w:rFonts w:hint="eastAsia" w:ascii="宋体" w:hAnsi="宋体"/>
          <w:color w:val="000000"/>
          <w:szCs w:val="21"/>
        </w:rPr>
        <w:t>乙方责任</w:t>
      </w:r>
    </w:p>
    <w:p w14:paraId="4AFCF447">
      <w:pPr>
        <w:tabs>
          <w:tab w:val="left" w:pos="0"/>
        </w:tabs>
        <w:spacing w:line="360" w:lineRule="auto"/>
        <w:ind w:left="420"/>
        <w:rPr>
          <w:rFonts w:hint="eastAsia" w:ascii="宋体" w:hAnsi="宋体"/>
          <w:color w:val="000000"/>
          <w:szCs w:val="21"/>
        </w:rPr>
      </w:pPr>
      <w:r>
        <w:rPr>
          <w:rFonts w:hint="eastAsia" w:ascii="宋体" w:hAnsi="宋体"/>
          <w:color w:val="000000"/>
          <w:szCs w:val="21"/>
        </w:rPr>
        <w:t>（1）乙方承诺：除响应文件及后续书面承诺标明的偏离外，乙方提供的产品和服务均满足竞争性谈判文件要求；</w:t>
      </w:r>
    </w:p>
    <w:p w14:paraId="1E858367">
      <w:pPr>
        <w:tabs>
          <w:tab w:val="left" w:pos="0"/>
        </w:tabs>
        <w:spacing w:line="360" w:lineRule="auto"/>
        <w:ind w:left="420"/>
        <w:rPr>
          <w:rFonts w:hint="eastAsia" w:ascii="宋体" w:hAnsi="宋体"/>
          <w:color w:val="000000"/>
          <w:szCs w:val="21"/>
        </w:rPr>
      </w:pPr>
      <w:r>
        <w:rPr>
          <w:rFonts w:hint="eastAsia" w:ascii="宋体" w:hAnsi="宋体"/>
          <w:color w:val="000000"/>
          <w:szCs w:val="21"/>
        </w:rPr>
        <w:t>（2）乙方应按照竞争性谈判文件、响应文件、乙方后续书面承诺的技术要求以及甲、乙双方协定补充文件，提供合格的产品，并保证通过甲方的验收；</w:t>
      </w:r>
    </w:p>
    <w:p w14:paraId="7CC4A584">
      <w:pPr>
        <w:tabs>
          <w:tab w:val="left" w:pos="0"/>
        </w:tabs>
        <w:spacing w:line="360" w:lineRule="auto"/>
        <w:ind w:left="420"/>
        <w:rPr>
          <w:rFonts w:hint="eastAsia" w:ascii="宋体" w:hAnsi="宋体"/>
          <w:color w:val="000000"/>
          <w:szCs w:val="21"/>
        </w:rPr>
      </w:pPr>
      <w:r>
        <w:rPr>
          <w:rFonts w:ascii="宋体" w:hAnsi="宋体"/>
          <w:color w:val="000000"/>
          <w:szCs w:val="21"/>
        </w:rPr>
        <w:t>（3）在系统安装、调试、开发过程中，乙方须保证不影响甲方现有系统的正常运行和现有业务的正常发展。</w:t>
      </w:r>
    </w:p>
    <w:p w14:paraId="0E0F9925">
      <w:pPr>
        <w:tabs>
          <w:tab w:val="left" w:pos="0"/>
        </w:tabs>
        <w:spacing w:line="360" w:lineRule="auto"/>
        <w:ind w:left="420"/>
        <w:rPr>
          <w:rFonts w:hint="eastAsia" w:ascii="宋体" w:hAnsi="宋体"/>
          <w:color w:val="000000"/>
          <w:szCs w:val="21"/>
        </w:rPr>
      </w:pPr>
      <w:r>
        <w:rPr>
          <w:rFonts w:ascii="宋体" w:hAnsi="宋体"/>
          <w:color w:val="000000"/>
          <w:szCs w:val="21"/>
        </w:rPr>
        <w:t>（4）乙方保证在系统安装、调试、开发过程中不非法使用第三方软件。</w:t>
      </w:r>
    </w:p>
    <w:p w14:paraId="3B7AA91B">
      <w:pPr>
        <w:tabs>
          <w:tab w:val="left" w:pos="0"/>
        </w:tabs>
        <w:spacing w:line="360" w:lineRule="auto"/>
        <w:ind w:left="420"/>
        <w:rPr>
          <w:rFonts w:hint="eastAsia" w:ascii="宋体" w:hAnsi="宋体"/>
          <w:color w:val="000000"/>
          <w:szCs w:val="21"/>
        </w:rPr>
      </w:pPr>
      <w:r>
        <w:rPr>
          <w:rFonts w:ascii="宋体" w:hAnsi="宋体"/>
          <w:color w:val="000000"/>
          <w:szCs w:val="21"/>
        </w:rPr>
        <w:t>（5）乙方在产品安装、调试、开发过程中须派驻足够的有经验的工程技术人员到施工现场进行安装指导，在甲方的组织安排下负责完成系统调试、现场性能试验和验收，服从甲方的现场安排。</w:t>
      </w:r>
    </w:p>
    <w:p w14:paraId="3C457114">
      <w:pPr>
        <w:tabs>
          <w:tab w:val="left" w:pos="0"/>
        </w:tabs>
        <w:spacing w:line="360" w:lineRule="auto"/>
        <w:ind w:left="420"/>
        <w:rPr>
          <w:rFonts w:hint="eastAsia" w:ascii="宋体" w:hAnsi="宋体"/>
          <w:color w:val="000000"/>
          <w:szCs w:val="21"/>
        </w:rPr>
      </w:pPr>
      <w:r>
        <w:rPr>
          <w:rFonts w:ascii="宋体" w:hAnsi="宋体"/>
          <w:color w:val="000000"/>
          <w:szCs w:val="21"/>
        </w:rPr>
        <w:t>（6）乙方按照要求提供产品合格证书、产品检测记录、调试记录等技术资料。</w:t>
      </w:r>
    </w:p>
    <w:p w14:paraId="043FDF01">
      <w:pPr>
        <w:tabs>
          <w:tab w:val="left" w:pos="0"/>
        </w:tabs>
        <w:spacing w:line="360" w:lineRule="auto"/>
        <w:ind w:left="420"/>
        <w:rPr>
          <w:rFonts w:hint="eastAsia" w:ascii="宋体" w:hAnsi="宋体"/>
          <w:color w:val="000000"/>
          <w:szCs w:val="21"/>
        </w:rPr>
      </w:pPr>
      <w:r>
        <w:rPr>
          <w:rFonts w:ascii="宋体" w:hAnsi="宋体"/>
          <w:color w:val="000000"/>
          <w:szCs w:val="21"/>
        </w:rPr>
        <w:t>（7）乙方负责与硬件设备厂家、其它设备的制造商、第三方软件厂家和售后服务部门等联系沟通，完成安装、调试，配置相关的产品，并且不得向甲方或供应商等与甲方有关联采购的第三方收取调试费、集成费等任何费用。</w:t>
      </w:r>
    </w:p>
    <w:p w14:paraId="39DCDF0D">
      <w:pPr>
        <w:tabs>
          <w:tab w:val="left" w:pos="0"/>
        </w:tabs>
        <w:spacing w:line="360" w:lineRule="auto"/>
        <w:ind w:left="420"/>
        <w:rPr>
          <w:rFonts w:hint="eastAsia" w:ascii="宋体" w:hAnsi="宋体"/>
          <w:color w:val="000000"/>
          <w:szCs w:val="21"/>
        </w:rPr>
      </w:pPr>
      <w:r>
        <w:rPr>
          <w:rFonts w:ascii="宋体" w:hAnsi="宋体"/>
          <w:color w:val="000000"/>
          <w:szCs w:val="21"/>
        </w:rPr>
        <w:t>（8）乙方负责配合相关厂家，定期检查产品、及时排查硬件故障。</w:t>
      </w:r>
    </w:p>
    <w:p w14:paraId="02A35910">
      <w:pPr>
        <w:tabs>
          <w:tab w:val="left" w:pos="0"/>
        </w:tabs>
        <w:spacing w:line="360" w:lineRule="auto"/>
        <w:ind w:left="420"/>
        <w:rPr>
          <w:rFonts w:hint="eastAsia" w:ascii="宋体" w:hAnsi="宋体"/>
          <w:color w:val="000000"/>
          <w:szCs w:val="21"/>
        </w:rPr>
      </w:pPr>
      <w:r>
        <w:rPr>
          <w:rFonts w:ascii="宋体" w:hAnsi="宋体"/>
          <w:color w:val="000000"/>
          <w:szCs w:val="21"/>
        </w:rPr>
        <w:t>（9）乙方未按合同规定的质量要求交付产品，甲方拒收时，乙方应承担合同的违约责任。</w:t>
      </w:r>
    </w:p>
    <w:p w14:paraId="5E229756">
      <w:pPr>
        <w:tabs>
          <w:tab w:val="left" w:pos="0"/>
        </w:tabs>
        <w:spacing w:line="360" w:lineRule="auto"/>
        <w:ind w:left="420"/>
        <w:rPr>
          <w:rFonts w:hint="eastAsia" w:ascii="宋体" w:hAnsi="宋体"/>
          <w:color w:val="000000"/>
          <w:szCs w:val="21"/>
        </w:rPr>
      </w:pPr>
      <w:r>
        <w:rPr>
          <w:rFonts w:ascii="宋体" w:hAnsi="宋体"/>
          <w:color w:val="000000"/>
          <w:szCs w:val="21"/>
        </w:rPr>
        <w:t>（10）迟延履行，甲方书面确定一个合理的期限，如乙方仍不能履行，按乙方不履行合同处理。</w:t>
      </w:r>
    </w:p>
    <w:p w14:paraId="37DBB5BA">
      <w:pPr>
        <w:tabs>
          <w:tab w:val="left" w:pos="0"/>
        </w:tabs>
        <w:spacing w:line="360" w:lineRule="auto"/>
        <w:ind w:left="420"/>
        <w:rPr>
          <w:rFonts w:hint="eastAsia" w:ascii="宋体" w:hAnsi="宋体"/>
          <w:color w:val="000000"/>
          <w:szCs w:val="21"/>
        </w:rPr>
      </w:pPr>
      <w:r>
        <w:rPr>
          <w:rFonts w:ascii="宋体" w:hAnsi="宋体"/>
          <w:color w:val="000000"/>
          <w:szCs w:val="21"/>
        </w:rPr>
        <w:t>（11）本合同所有产品的制造，都必须由</w:t>
      </w:r>
      <w:r>
        <w:rPr>
          <w:rFonts w:hint="eastAsia" w:ascii="宋体" w:hAnsi="宋体"/>
          <w:color w:val="000000"/>
          <w:szCs w:val="21"/>
        </w:rPr>
        <w:t>响应文件</w:t>
      </w:r>
      <w:r>
        <w:rPr>
          <w:rFonts w:ascii="宋体" w:hAnsi="宋体"/>
          <w:color w:val="000000"/>
          <w:szCs w:val="21"/>
        </w:rPr>
        <w:t>和</w:t>
      </w:r>
      <w:r>
        <w:rPr>
          <w:rFonts w:hint="eastAsia" w:ascii="宋体" w:hAnsi="宋体"/>
          <w:color w:val="000000"/>
          <w:szCs w:val="21"/>
        </w:rPr>
        <w:t>谈判</w:t>
      </w:r>
      <w:r>
        <w:rPr>
          <w:rFonts w:ascii="宋体" w:hAnsi="宋体"/>
          <w:color w:val="000000"/>
          <w:szCs w:val="21"/>
        </w:rPr>
        <w:t>时做出的书面承诺中明确的</w:t>
      </w:r>
      <w:r>
        <w:rPr>
          <w:rFonts w:hint="eastAsia" w:ascii="宋体" w:hAnsi="宋体"/>
          <w:color w:val="000000"/>
          <w:szCs w:val="21"/>
        </w:rPr>
        <w:t>供应</w:t>
      </w:r>
      <w:r>
        <w:rPr>
          <w:rFonts w:ascii="宋体" w:hAnsi="宋体"/>
          <w:color w:val="000000"/>
          <w:szCs w:val="21"/>
        </w:rPr>
        <w:t>商承担，否则将按乙方不履行合同处理。</w:t>
      </w:r>
    </w:p>
    <w:p w14:paraId="1155C071">
      <w:pPr>
        <w:tabs>
          <w:tab w:val="left" w:pos="0"/>
        </w:tabs>
        <w:spacing w:line="360" w:lineRule="auto"/>
        <w:ind w:left="420"/>
        <w:rPr>
          <w:rFonts w:hint="eastAsia" w:ascii="宋体" w:hAnsi="宋体"/>
          <w:color w:val="000000"/>
          <w:szCs w:val="21"/>
        </w:rPr>
      </w:pPr>
      <w:r>
        <w:rPr>
          <w:rFonts w:ascii="宋体" w:hAnsi="宋体"/>
          <w:color w:val="000000"/>
          <w:szCs w:val="21"/>
        </w:rPr>
        <w:t>（12）乙方保证不在软件中对功能、性能、容量进行人为限制，不得含有陷阱、逻辑炸弹、后门等非法程序代码。</w:t>
      </w:r>
    </w:p>
    <w:p w14:paraId="7A3EB07C">
      <w:pPr>
        <w:tabs>
          <w:tab w:val="left" w:pos="0"/>
        </w:tabs>
        <w:spacing w:line="360" w:lineRule="auto"/>
        <w:ind w:left="420"/>
      </w:pPr>
      <w:r>
        <w:rPr>
          <w:rFonts w:ascii="宋体" w:hAnsi="宋体"/>
          <w:color w:val="000000"/>
          <w:szCs w:val="21"/>
        </w:rPr>
        <w:t>（13）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6968EB2B">
      <w:pPr>
        <w:tabs>
          <w:tab w:val="left" w:pos="0"/>
        </w:tabs>
        <w:spacing w:line="360" w:lineRule="auto"/>
        <w:ind w:firstLine="420"/>
        <w:rPr>
          <w:rFonts w:hint="eastAsia" w:ascii="宋体" w:hAnsi="宋体"/>
          <w:color w:val="000000"/>
          <w:szCs w:val="21"/>
        </w:rPr>
      </w:pPr>
      <w:r>
        <w:rPr>
          <w:rFonts w:hint="eastAsia" w:ascii="宋体" w:hAnsi="宋体"/>
          <w:color w:val="000000"/>
          <w:szCs w:val="21"/>
        </w:rPr>
        <w:t>（14）乙方应为其人员（含派驻甲方的技术工程师）提供相应劳动保护，非因甲方原因，乙方人员遭受人身、财产损害，或乙方人员造成甲方、第三人人身财产损害的，由乙方承担全部责任；</w:t>
      </w:r>
    </w:p>
    <w:p w14:paraId="1AEF550A">
      <w:pPr>
        <w:tabs>
          <w:tab w:val="left" w:pos="0"/>
        </w:tabs>
        <w:spacing w:line="360" w:lineRule="auto"/>
        <w:ind w:firstLine="420"/>
        <w:rPr>
          <w:rFonts w:hint="eastAsia" w:ascii="宋体" w:hAnsi="宋体"/>
          <w:color w:val="000000"/>
          <w:szCs w:val="21"/>
        </w:rPr>
      </w:pPr>
      <w:r>
        <w:rPr>
          <w:rFonts w:hint="eastAsia" w:ascii="宋体" w:hAnsi="宋体"/>
          <w:color w:val="000000"/>
          <w:szCs w:val="21"/>
        </w:rPr>
        <w:t>（15）乙方负责甲方的软件的安装部署、调试、系统集成工作；</w:t>
      </w:r>
    </w:p>
    <w:p w14:paraId="506F6293">
      <w:pPr>
        <w:tabs>
          <w:tab w:val="left" w:pos="0"/>
        </w:tabs>
        <w:spacing w:line="360" w:lineRule="auto"/>
        <w:ind w:firstLine="420"/>
        <w:rPr>
          <w:rFonts w:hint="eastAsia" w:ascii="宋体" w:hAnsi="宋体"/>
          <w:color w:val="000000"/>
          <w:szCs w:val="21"/>
        </w:rPr>
      </w:pPr>
      <w:r>
        <w:rPr>
          <w:rFonts w:hint="eastAsia" w:ascii="宋体" w:hAnsi="宋体"/>
          <w:color w:val="000000"/>
          <w:szCs w:val="21"/>
        </w:rPr>
        <w:t>（16）乙方与甲方双方共享本项目二次开发部分的知识产权（包括二次开发所依赖的基础软件和运行环境），乙方向甲方完全开放所有二次开发源代码及相关文档；</w:t>
      </w:r>
    </w:p>
    <w:p w14:paraId="372A8AF7">
      <w:pPr>
        <w:tabs>
          <w:tab w:val="left" w:pos="0"/>
        </w:tabs>
        <w:spacing w:line="360" w:lineRule="auto"/>
        <w:ind w:firstLine="420"/>
        <w:rPr>
          <w:rFonts w:hint="eastAsia" w:ascii="宋体" w:hAnsi="宋体"/>
          <w:color w:val="000000"/>
          <w:szCs w:val="21"/>
        </w:rPr>
      </w:pPr>
      <w:r>
        <w:rPr>
          <w:rFonts w:hint="eastAsia" w:ascii="宋体" w:hAnsi="宋体"/>
          <w:color w:val="000000"/>
          <w:szCs w:val="21"/>
        </w:rPr>
        <w:t>（16）乙方须保证提供的软件能够完整、平稳的运行在国内外各操作系统；</w:t>
      </w:r>
    </w:p>
    <w:p w14:paraId="039BD37F">
      <w:pPr>
        <w:tabs>
          <w:tab w:val="left" w:pos="0"/>
        </w:tabs>
        <w:spacing w:line="360" w:lineRule="auto"/>
        <w:ind w:firstLine="420"/>
        <w:rPr>
          <w:rFonts w:hint="eastAsia" w:ascii="宋体" w:hAnsi="宋体"/>
          <w:color w:val="000000"/>
          <w:szCs w:val="21"/>
        </w:rPr>
      </w:pPr>
      <w:r>
        <w:rPr>
          <w:rFonts w:hint="eastAsia" w:ascii="宋体" w:hAnsi="宋体"/>
          <w:color w:val="000000"/>
          <w:szCs w:val="21"/>
        </w:rPr>
        <w:t>（17）乙方应当按照合同约定履行义务，完成本项目。乙方不得向他人转让本项目，也不得将本项目分解后分别向他人转让。乙方按照合同约定或经甲方同意，可以将本项目的部分非主体、非关键性工作分包给他人完成。接受分包的人应当具备相应的资格条件，并不得再次分包。乙方应当就分包项目向甲方负责，接受分包的人就分包项目承担连带责任。</w:t>
      </w:r>
    </w:p>
    <w:p w14:paraId="0E805797">
      <w:pPr>
        <w:tabs>
          <w:tab w:val="left" w:pos="0"/>
        </w:tabs>
        <w:spacing w:line="360" w:lineRule="auto"/>
        <w:ind w:firstLine="420"/>
        <w:rPr>
          <w:rFonts w:hint="eastAsia" w:ascii="宋体" w:hAnsi="宋体"/>
          <w:color w:val="000000"/>
          <w:szCs w:val="21"/>
        </w:rPr>
      </w:pPr>
      <w:r>
        <w:rPr>
          <w:rFonts w:hint="eastAsia" w:ascii="宋体" w:hAnsi="宋体"/>
          <w:color w:val="000000"/>
          <w:szCs w:val="21"/>
        </w:rPr>
        <w:t>（18）乙方其他义务见合同附件。</w:t>
      </w:r>
    </w:p>
    <w:p w14:paraId="62B69E3D">
      <w:pPr>
        <w:pStyle w:val="4"/>
        <w:numPr>
          <w:ilvl w:val="0"/>
          <w:numId w:val="0"/>
        </w:numPr>
        <w:spacing w:before="0" w:after="0" w:line="360" w:lineRule="auto"/>
        <w:rPr>
          <w:sz w:val="20"/>
          <w:szCs w:val="20"/>
        </w:rPr>
      </w:pPr>
      <w:r>
        <w:rPr>
          <w:rFonts w:hint="eastAsia"/>
          <w:sz w:val="20"/>
          <w:szCs w:val="20"/>
        </w:rPr>
        <w:t>十二、</w:t>
      </w:r>
      <w:bookmarkStart w:id="57" w:name="_Hlk108774950"/>
      <w:r>
        <w:rPr>
          <w:rFonts w:hint="eastAsia"/>
          <w:sz w:val="20"/>
          <w:szCs w:val="20"/>
        </w:rPr>
        <w:t>违约责任</w:t>
      </w:r>
      <w:bookmarkEnd w:id="57"/>
    </w:p>
    <w:p w14:paraId="022235B1">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乙方承担本合同约定事项的违约责任，且不因软件是由第三方制造或开发设计等因素而受到影响。</w:t>
      </w:r>
    </w:p>
    <w:p w14:paraId="2165FF27">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由于乙方提供的开发服务不符合招标文件及本合同第四条所规定的要求时，甲方有权要求乙方更换，如果乙方产品在更换后仍不符合要求，甲方有权终止合同，乙方应支付合同总额20%的违约金给甲方。</w:t>
      </w:r>
    </w:p>
    <w:p w14:paraId="1C9661AC">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若甲方已有系统是由乙方提供开发服务的，则乙方应按甲方要求进行技术服务，保证业务的正常运营和系统的正常运行，否则甲方有权终止本合同。</w:t>
      </w:r>
    </w:p>
    <w:p w14:paraId="635B0716">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在合同规定的包修期内，如果乙方维修售后服务不及时，产品质量不稳定，则甲方有权酌情扣除质量保证金，并追究乙方赔偿损失的责任。</w:t>
      </w:r>
    </w:p>
    <w:p w14:paraId="0398712E">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在合同规定的包修期内，如因乙方原因造成甲方其他经济损失的，乙方须承担赔偿损失的责任。</w:t>
      </w:r>
    </w:p>
    <w:p w14:paraId="00E4E0A1">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甲方有权根据当地质检部门出具的检验报告，就乙方提供的开发服务及系统质量问题向乙方提出索赔，检测费用由乙方承担。</w:t>
      </w:r>
    </w:p>
    <w:p w14:paraId="4655306A">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如果在甲方发出索赔通知后20日内，乙方未作书面答复，视为乙方接受索赔要求，乙方应当立即支付赔偿金。</w:t>
      </w:r>
    </w:p>
    <w:p w14:paraId="47C1BDAD">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乙方未按本合同第九条、十条约定提供合格的服务，甲方在行使上述权利的同时，有权向第三方寻求该服务，由此产生的费用由乙方承担。</w:t>
      </w:r>
    </w:p>
    <w:p w14:paraId="27837C19">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因乙方违约导致甲方终止合同的，在乙方应将甲方已付的所有合同价款及利息退还甲方，此后，甲方将相关系统成果及资料退还乙方，要求乙方承担本合同约定的违约责任，并追究乙方赔偿损失的责任。</w:t>
      </w:r>
    </w:p>
    <w:p w14:paraId="3BB24444">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31E700F9">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488F6385">
      <w:pPr>
        <w:pStyle w:val="96"/>
        <w:numPr>
          <w:ilvl w:val="0"/>
          <w:numId w:val="18"/>
        </w:numPr>
        <w:spacing w:line="360" w:lineRule="auto"/>
        <w:ind w:firstLineChars="0"/>
        <w:rPr>
          <w:rFonts w:hint="eastAsia" w:ascii="宋体" w:hAnsi="宋体"/>
          <w:color w:val="000000"/>
          <w:szCs w:val="21"/>
        </w:rPr>
      </w:pPr>
      <w:r>
        <w:rPr>
          <w:rFonts w:ascii="宋体" w:hAnsi="宋体"/>
          <w:color w:val="000000"/>
          <w:szCs w:val="21"/>
        </w:rPr>
        <w:t>乙方须保证本项目系统正常稳定运行时间必须高于江苏有线制定的系统可用度考核指标。如由于乙方的原因导致出现系统正常运行时间低于系统可用度考核指标的或超过规定故障次数，则甲方有权开据处罚单给乙方，并直接从合同款应付款中扣除合同总额2%作为违约金；如连续多个考核周期出现不达标的情况，则翻倍扣除，由甲方开据处罚单给乙方后，直接从合同应付款中扣除。</w:t>
      </w:r>
    </w:p>
    <w:p w14:paraId="24A7A237">
      <w:pPr>
        <w:pStyle w:val="96"/>
        <w:numPr>
          <w:ilvl w:val="0"/>
          <w:numId w:val="18"/>
        </w:numPr>
        <w:spacing w:line="360" w:lineRule="auto"/>
        <w:ind w:firstLineChars="0"/>
      </w:pPr>
      <w:r>
        <w:rPr>
          <w:rFonts w:ascii="宋体" w:hAnsi="宋体"/>
          <w:color w:val="000000"/>
          <w:szCs w:val="21"/>
        </w:rPr>
        <w:t>乙方不得向甲方或供应商等与甲方有关联采购的第三方收取调试费、集成费等任何费用，由此给甲方增加的成本由乙方负责。</w:t>
      </w:r>
    </w:p>
    <w:p w14:paraId="56BCF5E8">
      <w:pPr>
        <w:pStyle w:val="4"/>
        <w:numPr>
          <w:ilvl w:val="0"/>
          <w:numId w:val="0"/>
        </w:numPr>
        <w:spacing w:before="0" w:after="0" w:line="360" w:lineRule="auto"/>
        <w:rPr>
          <w:sz w:val="20"/>
          <w:szCs w:val="20"/>
        </w:rPr>
      </w:pPr>
      <w:r>
        <w:rPr>
          <w:rFonts w:hint="eastAsia"/>
          <w:sz w:val="20"/>
          <w:szCs w:val="20"/>
        </w:rPr>
        <w:t>十三、廉洁条款</w:t>
      </w:r>
    </w:p>
    <w:p w14:paraId="363A05D3">
      <w:pPr>
        <w:pStyle w:val="96"/>
        <w:numPr>
          <w:ilvl w:val="0"/>
          <w:numId w:val="19"/>
        </w:numPr>
        <w:spacing w:line="360" w:lineRule="auto"/>
        <w:ind w:firstLineChars="0"/>
        <w:rPr>
          <w:rFonts w:hint="eastAsia" w:ascii="宋体" w:hAnsi="宋体"/>
          <w:color w:val="000000"/>
          <w:szCs w:val="21"/>
        </w:rPr>
      </w:pPr>
      <w:r>
        <w:rPr>
          <w:rFonts w:hint="eastAsia" w:ascii="宋体" w:hAnsi="宋体"/>
          <w:color w:val="000000"/>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3D1A848F">
      <w:pPr>
        <w:pStyle w:val="96"/>
        <w:numPr>
          <w:ilvl w:val="0"/>
          <w:numId w:val="19"/>
        </w:numPr>
        <w:spacing w:line="360" w:lineRule="auto"/>
        <w:ind w:firstLineChars="0"/>
        <w:rPr>
          <w:rFonts w:hint="eastAsia" w:ascii="宋体" w:hAnsi="宋体"/>
          <w:color w:val="000000"/>
          <w:szCs w:val="21"/>
        </w:rPr>
      </w:pPr>
      <w:r>
        <w:rPr>
          <w:rFonts w:hint="eastAsia" w:ascii="宋体" w:hAnsi="宋体"/>
          <w:color w:val="000000"/>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采购活动。</w:t>
      </w:r>
    </w:p>
    <w:p w14:paraId="7A719648">
      <w:pPr>
        <w:pStyle w:val="4"/>
        <w:numPr>
          <w:ilvl w:val="0"/>
          <w:numId w:val="0"/>
        </w:numPr>
        <w:spacing w:before="0" w:after="0" w:line="360" w:lineRule="auto"/>
        <w:rPr>
          <w:sz w:val="20"/>
          <w:szCs w:val="20"/>
        </w:rPr>
      </w:pPr>
      <w:r>
        <w:rPr>
          <w:rFonts w:hint="eastAsia"/>
          <w:sz w:val="20"/>
          <w:szCs w:val="20"/>
        </w:rPr>
        <w:t>十四、不可抗力</w:t>
      </w:r>
    </w:p>
    <w:p w14:paraId="18E1E337">
      <w:pPr>
        <w:pStyle w:val="96"/>
        <w:numPr>
          <w:ilvl w:val="0"/>
          <w:numId w:val="20"/>
        </w:numPr>
        <w:spacing w:line="360" w:lineRule="auto"/>
        <w:ind w:firstLineChars="0"/>
        <w:rPr>
          <w:rFonts w:hint="eastAsia" w:ascii="宋体" w:hAnsi="宋体"/>
          <w:color w:val="000000"/>
          <w:szCs w:val="21"/>
        </w:rPr>
      </w:pPr>
      <w:r>
        <w:rPr>
          <w:rFonts w:hint="eastAsia" w:ascii="宋体" w:hAnsi="宋体"/>
          <w:color w:val="000000"/>
          <w:szCs w:val="21"/>
        </w:rPr>
        <w:t>当发生不可抗拒事故时，受影响一方应于10日内以书面形式通知对方，以减轻可能给对方造成的损失，并应当在合理期限内提供证明。</w:t>
      </w:r>
    </w:p>
    <w:p w14:paraId="26B62B02">
      <w:pPr>
        <w:pStyle w:val="96"/>
        <w:numPr>
          <w:ilvl w:val="0"/>
          <w:numId w:val="20"/>
        </w:numPr>
        <w:spacing w:line="360" w:lineRule="auto"/>
        <w:ind w:firstLineChars="0"/>
        <w:rPr>
          <w:rFonts w:hint="eastAsia" w:ascii="宋体" w:hAnsi="宋体"/>
          <w:color w:val="000000"/>
          <w:szCs w:val="21"/>
        </w:rPr>
      </w:pPr>
      <w:r>
        <w:rPr>
          <w:rFonts w:hint="eastAsia" w:ascii="宋体" w:hAnsi="宋体"/>
          <w:color w:val="000000"/>
          <w:szCs w:val="21"/>
        </w:rPr>
        <w:t>当不可抗力事故终止后，受影响一方应以书面的形式通知对方，双方商定合同是否继续履行。</w:t>
      </w:r>
    </w:p>
    <w:p w14:paraId="2DF1282C">
      <w:pPr>
        <w:pStyle w:val="96"/>
        <w:numPr>
          <w:ilvl w:val="0"/>
          <w:numId w:val="20"/>
        </w:numPr>
        <w:spacing w:line="360" w:lineRule="auto"/>
        <w:ind w:firstLineChars="0"/>
        <w:rPr>
          <w:rFonts w:hint="eastAsia" w:ascii="宋体" w:hAnsi="宋体"/>
          <w:color w:val="000000"/>
          <w:szCs w:val="21"/>
        </w:rPr>
      </w:pPr>
      <w:r>
        <w:rPr>
          <w:rFonts w:hint="eastAsia" w:ascii="宋体" w:hAnsi="宋体"/>
          <w:color w:val="000000"/>
          <w:szCs w:val="21"/>
        </w:rPr>
        <w:t>不可抗力，互不追究或承担违约责任。但有违约因素的除外。</w:t>
      </w:r>
    </w:p>
    <w:p w14:paraId="1EC5B8D2">
      <w:pPr>
        <w:pStyle w:val="4"/>
        <w:numPr>
          <w:ilvl w:val="0"/>
          <w:numId w:val="0"/>
        </w:numPr>
        <w:spacing w:before="0" w:after="0" w:line="360" w:lineRule="auto"/>
        <w:rPr>
          <w:sz w:val="20"/>
          <w:szCs w:val="20"/>
        </w:rPr>
      </w:pPr>
      <w:r>
        <w:rPr>
          <w:rFonts w:hint="eastAsia"/>
          <w:sz w:val="20"/>
          <w:szCs w:val="20"/>
        </w:rPr>
        <w:t>十五、解决纠纷的方式</w:t>
      </w:r>
    </w:p>
    <w:p w14:paraId="76A4E48E">
      <w:pPr>
        <w:pStyle w:val="96"/>
        <w:numPr>
          <w:ilvl w:val="0"/>
          <w:numId w:val="21"/>
        </w:numPr>
        <w:spacing w:line="360" w:lineRule="auto"/>
        <w:ind w:firstLineChars="0"/>
        <w:rPr>
          <w:rFonts w:hint="eastAsia" w:ascii="宋体" w:hAnsi="宋体"/>
          <w:color w:val="000000"/>
          <w:szCs w:val="21"/>
        </w:rPr>
      </w:pPr>
      <w:r>
        <w:rPr>
          <w:rFonts w:hint="eastAsia" w:ascii="宋体" w:hAnsi="宋体"/>
          <w:color w:val="000000"/>
          <w:szCs w:val="21"/>
        </w:rPr>
        <w:t>凡由执行本合同引起或与合同有关的争议，均应通过友好协商解决；协商不成的，由甲方所在地人民法院裁决。</w:t>
      </w:r>
    </w:p>
    <w:p w14:paraId="54A961A5">
      <w:pPr>
        <w:pStyle w:val="96"/>
        <w:numPr>
          <w:ilvl w:val="0"/>
          <w:numId w:val="21"/>
        </w:numPr>
        <w:spacing w:line="360" w:lineRule="auto"/>
        <w:ind w:firstLineChars="0"/>
        <w:rPr>
          <w:rFonts w:hint="eastAsia" w:ascii="宋体" w:hAnsi="宋体"/>
          <w:color w:val="000000"/>
          <w:szCs w:val="21"/>
        </w:rPr>
      </w:pPr>
      <w:r>
        <w:rPr>
          <w:rFonts w:hint="eastAsia" w:ascii="宋体" w:hAnsi="宋体"/>
          <w:color w:val="000000"/>
          <w:szCs w:val="21"/>
        </w:rPr>
        <w:t>除争议事项待处理外，双方应继续执行合同无争议部分，除非无争议部分不可单独履行。</w:t>
      </w:r>
    </w:p>
    <w:p w14:paraId="0DD5DB17">
      <w:pPr>
        <w:pStyle w:val="96"/>
        <w:numPr>
          <w:ilvl w:val="0"/>
          <w:numId w:val="21"/>
        </w:numPr>
        <w:spacing w:line="360" w:lineRule="auto"/>
        <w:ind w:firstLineChars="0"/>
        <w:rPr>
          <w:rFonts w:hint="eastAsia" w:ascii="宋体" w:hAnsi="宋体"/>
          <w:color w:val="000000"/>
          <w:szCs w:val="21"/>
        </w:rPr>
      </w:pPr>
      <w:r>
        <w:rPr>
          <w:rFonts w:hint="eastAsia" w:ascii="宋体" w:hAnsi="宋体"/>
          <w:color w:val="000000"/>
          <w:szCs w:val="21"/>
        </w:rPr>
        <w:t>本合同适用于中华人民共和国大陆现行有效法律。</w:t>
      </w:r>
    </w:p>
    <w:p w14:paraId="2683BC53">
      <w:pPr>
        <w:pStyle w:val="4"/>
        <w:numPr>
          <w:ilvl w:val="0"/>
          <w:numId w:val="0"/>
        </w:numPr>
        <w:spacing w:before="0" w:after="0" w:line="360" w:lineRule="auto"/>
        <w:rPr>
          <w:sz w:val="20"/>
          <w:szCs w:val="20"/>
        </w:rPr>
      </w:pPr>
      <w:r>
        <w:rPr>
          <w:rFonts w:hint="eastAsia"/>
          <w:sz w:val="20"/>
          <w:szCs w:val="20"/>
        </w:rPr>
        <w:t>十六、合同生效及其他</w:t>
      </w:r>
    </w:p>
    <w:p w14:paraId="0708DBB6">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合同的生效期：本合同壹式肆份（甲乙双方各贰份），每份均具有同等法律效力，自甲乙双方盖章之日生效。</w:t>
      </w:r>
    </w:p>
    <w:p w14:paraId="3FFFE6B0">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本合同所有附件为本合同不可分割的组成部分，与合同正文有同等的法律效力：</w:t>
      </w:r>
    </w:p>
    <w:p w14:paraId="197E737E">
      <w:pPr>
        <w:tabs>
          <w:tab w:val="left" w:pos="0"/>
        </w:tabs>
        <w:spacing w:line="360" w:lineRule="auto"/>
        <w:ind w:firstLine="420"/>
        <w:rPr>
          <w:rFonts w:hint="eastAsia" w:ascii="宋体" w:hAnsi="宋体"/>
          <w:color w:val="000000"/>
          <w:szCs w:val="21"/>
        </w:rPr>
      </w:pPr>
      <w:r>
        <w:rPr>
          <w:rFonts w:hint="eastAsia" w:ascii="宋体" w:hAnsi="宋体"/>
          <w:color w:val="000000"/>
          <w:szCs w:val="21"/>
        </w:rPr>
        <w:t>（1）乙方提交的承诺函；</w:t>
      </w:r>
    </w:p>
    <w:p w14:paraId="6E23C87D">
      <w:pPr>
        <w:tabs>
          <w:tab w:val="left" w:pos="0"/>
        </w:tabs>
        <w:spacing w:line="360" w:lineRule="auto"/>
        <w:ind w:firstLine="420"/>
        <w:rPr>
          <w:rFonts w:hint="eastAsia" w:ascii="宋体" w:hAnsi="宋体"/>
          <w:color w:val="000000"/>
          <w:szCs w:val="21"/>
        </w:rPr>
      </w:pPr>
      <w:r>
        <w:rPr>
          <w:rFonts w:hint="eastAsia" w:ascii="宋体" w:hAnsi="宋体"/>
          <w:color w:val="000000"/>
          <w:szCs w:val="21"/>
        </w:rPr>
        <w:t>（2）甲方的谈判文件、乙方的谈判响应文件、乙方的报价表、谈判时乙方做出的书面承诺及其它补充修改的部分；</w:t>
      </w:r>
    </w:p>
    <w:p w14:paraId="6D631E16">
      <w:pPr>
        <w:tabs>
          <w:tab w:val="left" w:pos="0"/>
        </w:tabs>
        <w:spacing w:line="360" w:lineRule="auto"/>
        <w:ind w:firstLine="420"/>
        <w:rPr>
          <w:rFonts w:hint="eastAsia"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）在执行本合同期间，甲乙双方的所有通知均应采用书面的方式。</w:t>
      </w:r>
    </w:p>
    <w:p w14:paraId="4DB41181">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本合同与上述文件如对相同内容有不同约定，且约定内容有冲突的，除另有特别约定外，依下列原则处理：</w:t>
      </w:r>
    </w:p>
    <w:p w14:paraId="756F63E2">
      <w:pPr>
        <w:tabs>
          <w:tab w:val="left" w:pos="426"/>
        </w:tabs>
        <w:spacing w:line="360" w:lineRule="auto"/>
        <w:ind w:firstLine="424" w:firstLineChars="202"/>
        <w:rPr>
          <w:rFonts w:hint="eastAsia" w:ascii="宋体" w:hAnsi="宋体"/>
          <w:color w:val="000000"/>
          <w:szCs w:val="21"/>
        </w:rPr>
      </w:pPr>
      <w:r>
        <w:rPr>
          <w:rFonts w:hint="eastAsia" w:ascii="宋体" w:hAnsi="宋体"/>
          <w:color w:val="000000"/>
          <w:szCs w:val="21"/>
        </w:rPr>
        <w:t>（1）合同条款优先于谈判文件、谈判响应文件条款；</w:t>
      </w:r>
    </w:p>
    <w:p w14:paraId="73C2A8AF">
      <w:pPr>
        <w:tabs>
          <w:tab w:val="left" w:pos="426"/>
        </w:tabs>
        <w:spacing w:line="360" w:lineRule="auto"/>
        <w:ind w:firstLine="424" w:firstLineChars="202"/>
        <w:rPr>
          <w:rFonts w:hint="eastAsia"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）在后文件的效力优先于在先文件的效力。</w:t>
      </w:r>
    </w:p>
    <w:p w14:paraId="08C44A3C">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甲乙双方对合同条款的理解有争议时，应当按照合同的有关条款、合同的目的、交易习惯以及诚实信用原则，确定该条款的真实含义。</w:t>
      </w:r>
    </w:p>
    <w:p w14:paraId="2FCF4DE6">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对本合同的任何修改和增补，以双方盖章的书面文件为准。</w:t>
      </w:r>
    </w:p>
    <w:p w14:paraId="19B51D21">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甲乙双方对本合同中产品的具体价格和交易方式有保密的责任，未经对方的书面许可，任何一方不得向第三方透露。</w:t>
      </w:r>
    </w:p>
    <w:p w14:paraId="23926720">
      <w:pPr>
        <w:pStyle w:val="96"/>
        <w:numPr>
          <w:ilvl w:val="0"/>
          <w:numId w:val="22"/>
        </w:numPr>
        <w:spacing w:line="360" w:lineRule="auto"/>
        <w:ind w:firstLineChars="0"/>
        <w:rPr>
          <w:rFonts w:hint="eastAsia" w:ascii="宋体" w:hAnsi="宋体"/>
          <w:color w:val="000000"/>
          <w:szCs w:val="21"/>
        </w:rPr>
      </w:pPr>
      <w:r>
        <w:rPr>
          <w:rFonts w:hint="eastAsia" w:ascii="宋体" w:hAnsi="宋体"/>
          <w:color w:val="000000"/>
          <w:szCs w:val="21"/>
        </w:rPr>
        <w:t>本合同中的未尽事宜，甲乙双方协商解决，并按《中华人民共和国民法典》调整。</w:t>
      </w:r>
    </w:p>
    <w:p w14:paraId="51272231">
      <w:pPr>
        <w:pStyle w:val="4"/>
        <w:numPr>
          <w:ilvl w:val="0"/>
          <w:numId w:val="0"/>
        </w:numPr>
        <w:spacing w:before="0" w:after="0" w:line="360" w:lineRule="auto"/>
        <w:rPr>
          <w:sz w:val="20"/>
          <w:szCs w:val="20"/>
        </w:rPr>
      </w:pPr>
      <w:r>
        <w:rPr>
          <w:rFonts w:hint="eastAsia"/>
          <w:sz w:val="20"/>
          <w:szCs w:val="20"/>
        </w:rPr>
        <w:t>十七</w:t>
      </w:r>
      <w:r>
        <w:rPr>
          <w:sz w:val="20"/>
          <w:szCs w:val="20"/>
        </w:rPr>
        <w:t>、附件列表</w:t>
      </w:r>
    </w:p>
    <w:p w14:paraId="308E1D1A">
      <w:pPr>
        <w:rPr>
          <w:rFonts w:hint="eastAsia" w:ascii="宋体" w:hAnsi="宋体"/>
          <w:bCs/>
          <w:color w:val="000000"/>
          <w:szCs w:val="21"/>
        </w:rPr>
      </w:pPr>
      <w:r>
        <w:rPr>
          <w:rFonts w:ascii="宋体" w:hAnsi="宋体"/>
          <w:bCs/>
          <w:color w:val="000000"/>
          <w:szCs w:val="21"/>
        </w:rPr>
        <w:t>相关文件的优先支配地位的次序如下：</w:t>
      </w:r>
    </w:p>
    <w:p w14:paraId="697DC828">
      <w:pPr>
        <w:spacing w:line="360" w:lineRule="auto"/>
        <w:jc w:val="left"/>
        <w:rPr>
          <w:rFonts w:hint="eastAsia" w:ascii="宋体" w:hAnsi="宋体"/>
          <w:color w:val="000000"/>
          <w:szCs w:val="21"/>
        </w:rPr>
      </w:pPr>
      <w:r>
        <w:rPr>
          <w:rFonts w:ascii="宋体" w:hAnsi="宋体"/>
          <w:color w:val="000000"/>
          <w:szCs w:val="21"/>
        </w:rPr>
        <w:t>附件一 供货清单。包含产品名称、规格型号和配置、数量、单价、折扣和总价</w:t>
      </w:r>
    </w:p>
    <w:p w14:paraId="72C79C3C">
      <w:pPr>
        <w:spacing w:line="360" w:lineRule="auto"/>
        <w:jc w:val="left"/>
        <w:rPr>
          <w:rFonts w:hint="eastAsia" w:ascii="宋体" w:hAnsi="宋体"/>
          <w:color w:val="000000"/>
          <w:szCs w:val="21"/>
        </w:rPr>
      </w:pPr>
      <w:r>
        <w:rPr>
          <w:rFonts w:ascii="宋体" w:hAnsi="宋体"/>
          <w:color w:val="000000"/>
          <w:szCs w:val="21"/>
        </w:rPr>
        <w:t>附件</w:t>
      </w:r>
      <w:r>
        <w:rPr>
          <w:rFonts w:hint="eastAsia" w:ascii="宋体" w:hAnsi="宋体"/>
          <w:color w:val="000000"/>
          <w:szCs w:val="21"/>
        </w:rPr>
        <w:t>二</w:t>
      </w:r>
      <w:r>
        <w:rPr>
          <w:rFonts w:ascii="宋体" w:hAnsi="宋体"/>
          <w:color w:val="000000"/>
          <w:szCs w:val="21"/>
        </w:rPr>
        <w:t xml:space="preserve"> 竞争性谈判文件（含竞争性谈判文件补充通知）</w:t>
      </w:r>
    </w:p>
    <w:p w14:paraId="177C7E3F">
      <w:pPr>
        <w:spacing w:line="360" w:lineRule="auto"/>
        <w:jc w:val="left"/>
        <w:rPr>
          <w:rFonts w:hint="eastAsia" w:ascii="宋体" w:hAnsi="宋体"/>
          <w:color w:val="000000"/>
          <w:szCs w:val="21"/>
        </w:rPr>
      </w:pPr>
      <w:r>
        <w:rPr>
          <w:rFonts w:ascii="宋体" w:hAnsi="宋体"/>
          <w:color w:val="000000"/>
          <w:szCs w:val="21"/>
        </w:rPr>
        <w:t>附件</w:t>
      </w:r>
      <w:r>
        <w:rPr>
          <w:rFonts w:hint="eastAsia" w:ascii="宋体" w:hAnsi="宋体"/>
          <w:color w:val="000000"/>
          <w:szCs w:val="21"/>
        </w:rPr>
        <w:t xml:space="preserve">三 </w:t>
      </w:r>
      <w:r>
        <w:rPr>
          <w:rFonts w:ascii="宋体" w:hAnsi="宋体"/>
          <w:color w:val="000000"/>
          <w:szCs w:val="21"/>
        </w:rPr>
        <w:t>承诺</w:t>
      </w:r>
      <w:r>
        <w:rPr>
          <w:rFonts w:hint="eastAsia" w:ascii="宋体" w:hAnsi="宋体"/>
          <w:color w:val="000000"/>
          <w:szCs w:val="21"/>
        </w:rPr>
        <w:t>书</w:t>
      </w:r>
    </w:p>
    <w:p w14:paraId="012043C8">
      <w:pPr>
        <w:spacing w:line="360" w:lineRule="auto"/>
        <w:rPr>
          <w:rFonts w:hint="eastAsia" w:ascii="宋体" w:hAnsi="宋体"/>
          <w:color w:val="000000"/>
          <w:sz w:val="24"/>
        </w:rPr>
      </w:pPr>
    </w:p>
    <w:p w14:paraId="7355C1F2">
      <w:pPr>
        <w:spacing w:line="360" w:lineRule="auto"/>
        <w:ind w:firstLine="207" w:firstLineChars="98"/>
        <w:rPr>
          <w:rFonts w:hint="eastAsia" w:ascii="宋体" w:hAnsi="宋体"/>
          <w:b/>
          <w:color w:val="000000"/>
          <w:szCs w:val="21"/>
        </w:rPr>
      </w:pPr>
      <w:r>
        <w:rPr>
          <w:rFonts w:ascii="宋体" w:hAnsi="宋体"/>
          <w:b/>
          <w:color w:val="000000"/>
          <w:szCs w:val="21"/>
        </w:rPr>
        <w:t>（以下为签字页，此页无正文）</w:t>
      </w:r>
    </w:p>
    <w:p w14:paraId="6FCBD17A">
      <w:pPr>
        <w:spacing w:line="360" w:lineRule="auto"/>
        <w:rPr>
          <w:rFonts w:hint="eastAsia" w:ascii="宋体" w:hAnsi="宋体"/>
          <w:color w:val="000000"/>
          <w:szCs w:val="21"/>
        </w:rPr>
      </w:pPr>
    </w:p>
    <w:p w14:paraId="39C3FF2E">
      <w:pPr>
        <w:spacing w:line="360" w:lineRule="auto"/>
        <w:rPr>
          <w:rFonts w:hint="eastAsia" w:ascii="宋体" w:hAnsi="宋体"/>
          <w:color w:val="000000"/>
          <w:szCs w:val="21"/>
        </w:rPr>
      </w:pPr>
    </w:p>
    <w:p w14:paraId="719CF1E1">
      <w:pPr>
        <w:spacing w:line="360" w:lineRule="auto"/>
        <w:ind w:left="4743" w:hanging="4743" w:hangingChars="2250"/>
        <w:jc w:val="left"/>
        <w:rPr>
          <w:rFonts w:hint="eastAsia" w:ascii="宋体" w:hAnsi="宋体"/>
          <w:b/>
          <w:color w:val="000000"/>
          <w:szCs w:val="21"/>
          <w:u w:val="single"/>
        </w:rPr>
      </w:pPr>
      <w:r>
        <w:rPr>
          <w:rFonts w:ascii="宋体" w:hAnsi="宋体"/>
          <w:b/>
          <w:color w:val="000000"/>
          <w:szCs w:val="21"/>
        </w:rPr>
        <w:t>甲方：</w:t>
      </w:r>
      <w:r>
        <w:rPr>
          <w:rFonts w:ascii="宋体" w:hAnsi="宋体"/>
          <w:b/>
          <w:color w:val="000000"/>
          <w:szCs w:val="21"/>
          <w:u w:val="single"/>
        </w:rPr>
        <w:t>江苏省广电有线信息网络股份有限公司</w:t>
      </w:r>
      <w:r>
        <w:rPr>
          <w:rFonts w:ascii="宋体" w:hAnsi="宋体"/>
          <w:b/>
          <w:color w:val="000000"/>
          <w:szCs w:val="21"/>
        </w:rPr>
        <w:t xml:space="preserve">  乙方：</w:t>
      </w:r>
      <w:r>
        <w:rPr>
          <w:rFonts w:ascii="宋体" w:hAnsi="宋体"/>
          <w:color w:val="000000"/>
          <w:szCs w:val="21"/>
        </w:rPr>
        <w:t>_________________________</w:t>
      </w:r>
      <w:r>
        <w:rPr>
          <w:rFonts w:ascii="宋体" w:hAnsi="宋体"/>
          <w:color w:val="000000"/>
          <w:szCs w:val="21"/>
          <w:u w:val="single"/>
        </w:rPr>
        <w:t xml:space="preserve"> </w:t>
      </w:r>
    </w:p>
    <w:p w14:paraId="7E84FB67">
      <w:pPr>
        <w:spacing w:line="360" w:lineRule="auto"/>
        <w:rPr>
          <w:rFonts w:hint="eastAsia" w:ascii="宋体" w:hAnsi="宋体"/>
          <w:color w:val="000000"/>
          <w:szCs w:val="21"/>
        </w:rPr>
      </w:pPr>
      <w:r>
        <w:rPr>
          <w:rFonts w:ascii="宋体" w:hAnsi="宋体"/>
          <w:color w:val="000000"/>
          <w:szCs w:val="21"/>
        </w:rPr>
        <w:t>（盖章）_________________________      （盖章）_______________________</w:t>
      </w:r>
    </w:p>
    <w:p w14:paraId="35DA4560">
      <w:pPr>
        <w:spacing w:line="360" w:lineRule="auto"/>
        <w:ind w:left="5286" w:leftChars="17" w:hanging="5250" w:hangingChars="2500"/>
        <w:rPr>
          <w:rFonts w:hint="eastAsia" w:ascii="宋体" w:hAnsi="宋体"/>
          <w:color w:val="000000"/>
          <w:szCs w:val="21"/>
          <w:u w:val="single"/>
        </w:rPr>
      </w:pPr>
      <w:r>
        <w:rPr>
          <w:rFonts w:ascii="宋体" w:hAnsi="宋体"/>
          <w:color w:val="000000"/>
          <w:szCs w:val="21"/>
        </w:rPr>
        <w:t>地址：_____________________</w:t>
      </w:r>
      <w:r>
        <w:rPr>
          <w:rFonts w:ascii="宋体" w:hAnsi="宋体"/>
          <w:color w:val="000000"/>
          <w:szCs w:val="21"/>
          <w:u w:val="single"/>
        </w:rPr>
        <w:t xml:space="preserve"> </w:t>
      </w:r>
      <w:r>
        <w:rPr>
          <w:rFonts w:ascii="宋体" w:hAnsi="宋体"/>
          <w:color w:val="000000"/>
          <w:szCs w:val="21"/>
        </w:rPr>
        <w:t xml:space="preserve">           地址：_______________________</w:t>
      </w:r>
    </w:p>
    <w:p w14:paraId="45F34C05">
      <w:pPr>
        <w:spacing w:line="360" w:lineRule="auto"/>
        <w:rPr>
          <w:rFonts w:hint="eastAsia" w:ascii="宋体" w:hAnsi="宋体"/>
          <w:color w:val="000000"/>
          <w:szCs w:val="21"/>
          <w:u w:val="single"/>
        </w:rPr>
      </w:pPr>
      <w:r>
        <w:rPr>
          <w:rFonts w:ascii="宋体" w:hAnsi="宋体"/>
          <w:color w:val="000000"/>
          <w:szCs w:val="21"/>
        </w:rPr>
        <w:t>电话：_____________________            电话：_______________________</w:t>
      </w:r>
    </w:p>
    <w:p w14:paraId="78EAE49A">
      <w:pPr>
        <w:spacing w:line="360" w:lineRule="auto"/>
        <w:ind w:left="5355" w:hanging="5355" w:hangingChars="2550"/>
        <w:rPr>
          <w:rFonts w:hint="eastAsia" w:ascii="宋体" w:hAnsi="宋体"/>
          <w:color w:val="000000"/>
          <w:szCs w:val="21"/>
          <w:u w:val="single"/>
        </w:rPr>
      </w:pPr>
      <w:r>
        <w:rPr>
          <w:rFonts w:ascii="宋体" w:hAnsi="宋体"/>
          <w:color w:val="000000"/>
          <w:szCs w:val="21"/>
        </w:rPr>
        <w:t>开户银行：_____________________        开户银行：_______________________</w:t>
      </w:r>
    </w:p>
    <w:p w14:paraId="4D323E7C">
      <w:pPr>
        <w:spacing w:line="360" w:lineRule="auto"/>
        <w:rPr>
          <w:rFonts w:hint="eastAsia" w:ascii="宋体" w:hAnsi="宋体"/>
          <w:color w:val="000000"/>
          <w:szCs w:val="21"/>
          <w:u w:val="single"/>
        </w:rPr>
      </w:pPr>
      <w:r>
        <w:rPr>
          <w:rFonts w:ascii="宋体" w:hAnsi="宋体"/>
          <w:color w:val="000000"/>
          <w:szCs w:val="21"/>
        </w:rPr>
        <w:t>银行账号：_____________________        银行账号：_______________________</w:t>
      </w:r>
    </w:p>
    <w:p w14:paraId="0D971751">
      <w:r>
        <w:rPr>
          <w:rFonts w:ascii="宋体" w:hAnsi="宋体"/>
          <w:color w:val="000000"/>
          <w:szCs w:val="21"/>
        </w:rPr>
        <w:t>签订日期：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             签订日期：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14:paraId="418A0D76">
      <w:pPr>
        <w:snapToGrid w:val="0"/>
        <w:spacing w:line="360" w:lineRule="auto"/>
        <w:jc w:val="center"/>
        <w:rPr>
          <w:rFonts w:hint="eastAsia" w:ascii="方正仿宋_GBK" w:hAnsi="方正仿宋_GBK" w:eastAsia="方正仿宋_GBK" w:cs="方正仿宋_GBK"/>
          <w:b/>
          <w:sz w:val="24"/>
          <w:szCs w:val="20"/>
        </w:rPr>
      </w:pPr>
      <w:bookmarkStart w:id="58" w:name="_Toc246495346"/>
      <w:bookmarkStart w:id="59" w:name="_Hlk83288124"/>
    </w:p>
    <w:bookmarkEnd w:id="58"/>
    <w:bookmarkEnd w:id="59"/>
    <w:p w14:paraId="179FE16E">
      <w:pPr>
        <w:spacing w:line="360" w:lineRule="auto"/>
        <w:ind w:firstLine="420"/>
        <w:rPr>
          <w:rFonts w:hint="eastAsia" w:ascii="宋体" w:hAnsi="宋体"/>
          <w:color w:val="000000"/>
          <w:szCs w:val="21"/>
        </w:rPr>
      </w:pPr>
      <w:r>
        <w:rPr>
          <w:rFonts w:ascii="宋体" w:hAnsi="宋体"/>
          <w:color w:val="000000"/>
          <w:szCs w:val="21"/>
        </w:rPr>
        <w:t>说明：该部分内容作为</w:t>
      </w:r>
      <w:r>
        <w:rPr>
          <w:rFonts w:hint="eastAsia" w:ascii="宋体" w:hAnsi="宋体"/>
          <w:color w:val="000000"/>
          <w:szCs w:val="21"/>
        </w:rPr>
        <w:t>采购人</w:t>
      </w:r>
      <w:r>
        <w:rPr>
          <w:rFonts w:ascii="宋体" w:hAnsi="宋体"/>
          <w:color w:val="000000"/>
          <w:szCs w:val="21"/>
        </w:rPr>
        <w:t>和中标人签订正式合同时的基本条款及原则。</w:t>
      </w:r>
    </w:p>
    <w:p w14:paraId="64EFAA57">
      <w:pPr>
        <w:rPr>
          <w:rFonts w:ascii="Calibri" w:hAnsi="Calibri"/>
        </w:rPr>
      </w:pPr>
      <w:r>
        <w:rPr>
          <w:rFonts w:ascii="宋体" w:hAnsi="宋体"/>
          <w:szCs w:val="21"/>
        </w:rPr>
        <w:br w:type="page"/>
      </w:r>
      <w:r>
        <w:rPr>
          <w:rFonts w:ascii="宋体" w:hAnsi="宋体"/>
          <w:b/>
          <w:bCs/>
        </w:rPr>
        <w:t xml:space="preserve"> </w:t>
      </w:r>
    </w:p>
    <w:p w14:paraId="7CAC4709">
      <w:pPr>
        <w:pStyle w:val="3"/>
        <w:numPr>
          <w:ilvl w:val="0"/>
          <w:numId w:val="0"/>
        </w:numPr>
        <w:spacing w:before="0" w:after="0" w:line="360" w:lineRule="auto"/>
        <w:rPr>
          <w:b/>
          <w:color w:val="000000"/>
          <w:sz w:val="36"/>
          <w:szCs w:val="36"/>
        </w:rPr>
      </w:pPr>
      <w:bookmarkStart w:id="60" w:name="_Toc69378637"/>
      <w:r>
        <w:rPr>
          <w:rFonts w:hint="eastAsia"/>
          <w:b/>
          <w:color w:val="000000"/>
          <w:sz w:val="36"/>
          <w:szCs w:val="36"/>
        </w:rPr>
        <w:t>第五章</w:t>
      </w:r>
      <w:bookmarkStart w:id="61" w:name="_Hlk113981010"/>
      <w:r>
        <w:rPr>
          <w:rFonts w:hint="eastAsia"/>
          <w:b/>
          <w:color w:val="000000"/>
          <w:sz w:val="36"/>
          <w:szCs w:val="36"/>
        </w:rPr>
        <w:t xml:space="preserve"> 技术需求书</w:t>
      </w:r>
      <w:bookmarkEnd w:id="60"/>
      <w:bookmarkEnd w:id="61"/>
    </w:p>
    <w:p w14:paraId="3497C32F">
      <w:pPr>
        <w:pStyle w:val="96"/>
        <w:numPr>
          <w:ilvl w:val="0"/>
          <w:numId w:val="23"/>
        </w:numPr>
        <w:spacing w:line="300" w:lineRule="auto"/>
        <w:ind w:left="0" w:firstLine="426" w:firstLineChars="0"/>
        <w:rPr>
          <w:rFonts w:hint="eastAsia" w:ascii="宋体" w:hAnsi="宋体"/>
          <w:color w:val="000000"/>
          <w:sz w:val="24"/>
        </w:rPr>
      </w:pPr>
      <w:r>
        <w:rPr>
          <w:rFonts w:ascii="宋体" w:hAnsi="宋体"/>
          <w:color w:val="000000"/>
          <w:sz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642310D0">
      <w:pPr>
        <w:pStyle w:val="96"/>
        <w:numPr>
          <w:ilvl w:val="0"/>
          <w:numId w:val="23"/>
        </w:numPr>
        <w:spacing w:line="300" w:lineRule="auto"/>
        <w:ind w:left="0" w:firstLine="426" w:firstLineChars="0"/>
        <w:rPr>
          <w:rFonts w:hint="eastAsia" w:ascii="宋体" w:hAnsi="宋体"/>
          <w:color w:val="000000"/>
          <w:sz w:val="24"/>
        </w:rPr>
      </w:pPr>
      <w:r>
        <w:rPr>
          <w:rFonts w:hint="eastAsia" w:ascii="宋体" w:hAnsi="宋体"/>
          <w:color w:val="000000"/>
          <w:sz w:val="24"/>
        </w:rPr>
        <w:t>竞争性谈判文件技术要求中所</w:t>
      </w:r>
      <w:r>
        <w:rPr>
          <w:rFonts w:ascii="宋体" w:hAnsi="宋体"/>
          <w:color w:val="000000"/>
          <w:sz w:val="24"/>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2A0B850E">
      <w:pPr>
        <w:pStyle w:val="96"/>
        <w:numPr>
          <w:ilvl w:val="0"/>
          <w:numId w:val="23"/>
        </w:numPr>
        <w:spacing w:line="300" w:lineRule="auto"/>
        <w:ind w:left="0" w:firstLine="426" w:firstLineChars="0"/>
        <w:rPr>
          <w:rFonts w:hint="eastAsia" w:ascii="宋体" w:hAnsi="宋体"/>
          <w:color w:val="000000"/>
          <w:sz w:val="24"/>
        </w:rPr>
      </w:pPr>
      <w:r>
        <w:rPr>
          <w:rFonts w:hint="eastAsia" w:ascii="宋体" w:hAnsi="宋体" w:cs="宋体"/>
          <w:color w:val="000000"/>
          <w:sz w:val="24"/>
        </w:rPr>
        <w:t>技术需求书中</w:t>
      </w:r>
      <w:r>
        <w:rPr>
          <w:rFonts w:ascii="宋体" w:hAnsi="宋体"/>
          <w:color w:val="000000"/>
          <w:sz w:val="24"/>
        </w:rPr>
        <w:t>带“</w:t>
      </w:r>
      <w:r>
        <w:rPr>
          <w:rFonts w:ascii="宋体" w:hAnsi="宋体" w:cs="宋体"/>
          <w:color w:val="000000"/>
          <w:sz w:val="24"/>
        </w:rPr>
        <w:t>★</w:t>
      </w:r>
      <w:r>
        <w:rPr>
          <w:rFonts w:hint="eastAsia" w:ascii="宋体" w:hAnsi="宋体"/>
          <w:color w:val="000000"/>
          <w:sz w:val="24"/>
        </w:rPr>
        <w:t>”</w:t>
      </w:r>
      <w:r>
        <w:rPr>
          <w:rFonts w:ascii="宋体" w:hAnsi="宋体"/>
          <w:color w:val="000000"/>
          <w:sz w:val="24"/>
        </w:rPr>
        <w:t>部分为必须保证满足要求的条款。</w:t>
      </w:r>
    </w:p>
    <w:p w14:paraId="65F66E6C">
      <w:pPr>
        <w:pStyle w:val="96"/>
        <w:numPr>
          <w:ilvl w:val="0"/>
          <w:numId w:val="23"/>
        </w:numPr>
        <w:spacing w:line="360" w:lineRule="auto"/>
        <w:ind w:left="0" w:firstLine="426" w:firstLineChars="0"/>
        <w:rPr>
          <w:rFonts w:hint="eastAsia" w:ascii="宋体" w:hAnsi="宋体"/>
          <w:color w:val="000000"/>
          <w:sz w:val="24"/>
        </w:rPr>
      </w:pPr>
      <w:r>
        <w:rPr>
          <w:rFonts w:ascii="宋体" w:hAnsi="宋体"/>
          <w:color w:val="000000"/>
          <w:sz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230BB5FE">
      <w:pPr>
        <w:pStyle w:val="4"/>
        <w:numPr>
          <w:ilvl w:val="1"/>
          <w:numId w:val="0"/>
        </w:numPr>
        <w:spacing w:before="0" w:after="0" w:line="360" w:lineRule="auto"/>
        <w:rPr>
          <w:rFonts w:hint="eastAsia" w:ascii="宋体" w:hAnsi="宋体" w:eastAsia="宋体"/>
          <w:color w:val="000000"/>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62" w:name="_Toc76856250"/>
      <w:bookmarkStart w:id="63" w:name="_Toc76996580"/>
      <w:bookmarkStart w:id="64" w:name="_Toc51053569"/>
      <w:bookmarkStart w:id="65" w:name="_Toc30212"/>
      <w:bookmarkStart w:id="66" w:name="_Toc31826"/>
    </w:p>
    <w:bookmarkEnd w:id="22"/>
    <w:bookmarkEnd w:id="23"/>
    <w:bookmarkEnd w:id="24"/>
    <w:bookmarkEnd w:id="62"/>
    <w:bookmarkEnd w:id="63"/>
    <w:bookmarkEnd w:id="64"/>
    <w:bookmarkEnd w:id="65"/>
    <w:bookmarkEnd w:id="66"/>
    <w:p w14:paraId="1C36944A">
      <w:pPr>
        <w:jc w:val="center"/>
        <w:rPr>
          <w:b/>
          <w:bCs/>
          <w:sz w:val="28"/>
          <w:szCs w:val="28"/>
        </w:rPr>
      </w:pPr>
      <w:bookmarkStart w:id="67" w:name="_Toc4882"/>
      <w:bookmarkStart w:id="68" w:name="_Toc69378657"/>
      <w:bookmarkStart w:id="69" w:name="_Toc502914229"/>
      <w:r>
        <w:rPr>
          <w:rFonts w:hint="eastAsia"/>
          <w:b/>
          <w:bCs/>
          <w:sz w:val="28"/>
          <w:szCs w:val="28"/>
        </w:rPr>
        <w:t>江苏省广电有线信息网络股份有限公司加密定向传送经批准落地境外卫星频道平台建设（终端配套集成）技术需求</w:t>
      </w:r>
    </w:p>
    <w:p w14:paraId="4BB5F7EC">
      <w:pPr>
        <w:pStyle w:val="4"/>
        <w:numPr>
          <w:ilvl w:val="0"/>
          <w:numId w:val="24"/>
        </w:numPr>
        <w:spacing w:line="300" w:lineRule="auto"/>
        <w:ind w:left="357" w:hanging="357"/>
        <w:rPr>
          <w:rFonts w:hint="eastAsia" w:ascii="宋体" w:hAnsi="宋体"/>
          <w:b/>
          <w:bCs w:val="0"/>
          <w:color w:val="000000"/>
          <w:sz w:val="21"/>
          <w:szCs w:val="21"/>
        </w:rPr>
      </w:pPr>
      <w:r>
        <w:rPr>
          <w:rFonts w:hint="eastAsia" w:ascii="宋体" w:hAnsi="宋体"/>
          <w:b/>
          <w:bCs w:val="0"/>
          <w:color w:val="000000"/>
          <w:sz w:val="21"/>
          <w:szCs w:val="21"/>
        </w:rPr>
        <w:t xml:space="preserve"> </w:t>
      </w:r>
      <w:r>
        <w:rPr>
          <w:rFonts w:ascii="宋体" w:hAnsi="宋体"/>
          <w:b/>
          <w:bCs w:val="0"/>
          <w:color w:val="000000"/>
          <w:sz w:val="21"/>
          <w:szCs w:val="21"/>
        </w:rPr>
        <w:t>项目概述</w:t>
      </w:r>
    </w:p>
    <w:p w14:paraId="1E570F82">
      <w:pPr>
        <w:spacing w:line="360" w:lineRule="auto"/>
        <w:ind w:firstLine="420" w:firstLineChars="200"/>
      </w:pPr>
      <w:r>
        <w:rPr>
          <w:rFonts w:hint="eastAsia"/>
        </w:rPr>
        <w:t>为促进社会主义物质文明和精神文明建设，贯彻落实习近平总书记视察江苏重要讲话指示精神，并按照广电总局关于传送境外频道“统一信号、统一监管、可管可控、定向服务”的管理要求，江苏作为试点，根据省局计划，完成江苏有线全省加密定向传送经批准落地境外电视频道平台建设。为做好江苏有线全省加密定向传送经批准落地境外电视频道技术支撑工作， 4K智能机顶盒终端需进行相关优化和改造。</w:t>
      </w:r>
    </w:p>
    <w:p w14:paraId="38FDB957">
      <w:pPr>
        <w:pStyle w:val="4"/>
        <w:numPr>
          <w:ilvl w:val="0"/>
          <w:numId w:val="24"/>
        </w:numPr>
        <w:spacing w:line="300" w:lineRule="auto"/>
        <w:ind w:left="357" w:hanging="357"/>
        <w:rPr>
          <w:rFonts w:hint="eastAsia" w:ascii="宋体" w:hAnsi="宋体"/>
          <w:b/>
          <w:bCs w:val="0"/>
          <w:color w:val="000000"/>
          <w:sz w:val="21"/>
          <w:szCs w:val="21"/>
        </w:rPr>
      </w:pPr>
      <w:r>
        <w:rPr>
          <w:rFonts w:hint="eastAsia" w:ascii="宋体" w:hAnsi="宋体"/>
          <w:b/>
          <w:bCs w:val="0"/>
          <w:color w:val="000000"/>
          <w:sz w:val="21"/>
          <w:szCs w:val="21"/>
        </w:rPr>
        <w:t xml:space="preserve"> 技术需求指标</w:t>
      </w:r>
    </w:p>
    <w:p w14:paraId="5513B23D">
      <w:pPr>
        <w:spacing w:before="156" w:beforeLines="50" w:line="300" w:lineRule="auto"/>
        <w:outlineLvl w:val="2"/>
        <w:rPr>
          <w:rFonts w:hint="eastAsia" w:ascii="宋体" w:hAnsi="宋体"/>
          <w:b/>
          <w:bCs/>
          <w:color w:val="000000"/>
          <w:szCs w:val="21"/>
        </w:rPr>
      </w:pPr>
      <w:r>
        <w:rPr>
          <w:rFonts w:ascii="宋体" w:hAnsi="宋体"/>
          <w:b/>
          <w:bCs/>
          <w:color w:val="000000"/>
          <w:szCs w:val="21"/>
        </w:rPr>
        <w:t>2.1</w:t>
      </w:r>
      <w:r>
        <w:rPr>
          <w:rFonts w:hint="eastAsia" w:ascii="宋体" w:hAnsi="宋体"/>
          <w:b/>
          <w:bCs/>
          <w:color w:val="000000"/>
          <w:szCs w:val="21"/>
        </w:rPr>
        <w:t xml:space="preserve"> 项目内容</w:t>
      </w:r>
    </w:p>
    <w:p w14:paraId="2819AA08">
      <w:pPr>
        <w:spacing w:line="300" w:lineRule="auto"/>
        <w:ind w:firstLine="422" w:firstLineChars="200"/>
        <w:outlineLvl w:val="3"/>
        <w:rPr>
          <w:rFonts w:hint="eastAsia" w:ascii="宋体" w:hAnsi="宋体"/>
          <w:b/>
          <w:bCs/>
          <w:color w:val="000000"/>
          <w:szCs w:val="21"/>
        </w:rPr>
      </w:pPr>
      <w:r>
        <w:rPr>
          <w:rFonts w:hint="eastAsia" w:ascii="宋体" w:hAnsi="宋体"/>
          <w:b/>
          <w:bCs/>
          <w:color w:val="000000"/>
          <w:szCs w:val="21"/>
        </w:rPr>
        <w:t>2.1.1 项目任务</w:t>
      </w:r>
    </w:p>
    <w:p w14:paraId="0A6E31DF">
      <w:pPr>
        <w:spacing w:line="360" w:lineRule="auto"/>
        <w:ind w:firstLine="420" w:firstLineChars="200"/>
      </w:pPr>
      <w:r>
        <w:rPr>
          <w:rFonts w:hint="eastAsia" w:ascii="宋体" w:hAnsi="宋体"/>
          <w:color w:val="000000"/>
          <w:szCs w:val="21"/>
        </w:rPr>
        <w:t>本次谈判的项目为江苏省广电有线信息网络股份有限公司加密定向传送经批准落地境外卫星频道平台建设（终端配套集成）项目。本项目通过对</w:t>
      </w:r>
      <w:r>
        <w:rPr>
          <w:rFonts w:hint="eastAsia"/>
        </w:rPr>
        <w:t xml:space="preserve">4K智能机顶盒终端进行相关优化和改造，实现对境外电视频道落地的技术支撑。 </w:t>
      </w:r>
    </w:p>
    <w:p w14:paraId="64CA00A6">
      <w:pPr>
        <w:spacing w:line="360" w:lineRule="auto"/>
        <w:ind w:firstLine="420" w:firstLineChars="200"/>
      </w:pPr>
      <w:r>
        <w:rPr>
          <w:rFonts w:hint="eastAsia" w:ascii="宋体" w:hAnsi="宋体"/>
          <w:color w:val="000000"/>
          <w:szCs w:val="21"/>
        </w:rPr>
        <w:t>经改造后的终端软件其境外电视频道控制功能应以现有的平台为基础进行功能控制。省中心接收中央境外卫星电视节目平台的境外卫星电视频道。全省IP平台，在IPCDN系统完成切片、收录、并分发传输覆盖IP用户。全省DVB平台，通过省市波分系统专用链路传输境外卫星电视节目至各地市；各地市接收省中心专用链路境外卫星电视频道，经本地加密授权系统将信号加扰分发至本市及所辖</w:t>
      </w:r>
      <w:r>
        <w:rPr>
          <w:rFonts w:hint="eastAsia" w:ascii="宋体" w:hAnsi="宋体"/>
          <w:szCs w:val="21"/>
        </w:rPr>
        <w:t>区县的用户。</w:t>
      </w:r>
    </w:p>
    <w:p w14:paraId="44C0117A">
      <w:pPr>
        <w:spacing w:line="300" w:lineRule="auto"/>
        <w:ind w:firstLine="422" w:firstLineChars="200"/>
        <w:outlineLvl w:val="3"/>
        <w:rPr>
          <w:rFonts w:hint="eastAsia" w:ascii="宋体" w:hAnsi="宋体"/>
          <w:b/>
          <w:bCs/>
          <w:color w:val="000000"/>
          <w:szCs w:val="21"/>
        </w:rPr>
      </w:pPr>
      <w:r>
        <w:rPr>
          <w:rFonts w:hint="eastAsia" w:ascii="宋体" w:hAnsi="宋体"/>
          <w:b/>
          <w:bCs/>
          <w:color w:val="000000"/>
          <w:szCs w:val="21"/>
        </w:rPr>
        <w:t>★2.1.2平台对接</w:t>
      </w:r>
    </w:p>
    <w:p w14:paraId="4ECE5B08">
      <w:pPr>
        <w:spacing w:line="360" w:lineRule="auto"/>
        <w:ind w:firstLine="420" w:firstLineChars="200"/>
        <w:rPr>
          <w:rFonts w:hint="eastAsia" w:ascii="宋体" w:hAnsi="宋体"/>
          <w:color w:val="000000"/>
          <w:szCs w:val="21"/>
        </w:rPr>
      </w:pPr>
      <w:r>
        <w:rPr>
          <w:rFonts w:hint="eastAsia" w:ascii="宋体" w:hAnsi="宋体"/>
          <w:szCs w:val="21"/>
        </w:rPr>
        <w:t>在基本不改变现有周边系统对接的基础上，做好终端与AAA、融合EPG、CAS、政企业务平台等系统对接集成工作，实现系统功能平稳过渡。</w:t>
      </w:r>
    </w:p>
    <w:p w14:paraId="65E2F9DF">
      <w:pPr>
        <w:spacing w:line="300" w:lineRule="auto"/>
        <w:ind w:firstLine="422" w:firstLineChars="200"/>
        <w:outlineLvl w:val="3"/>
        <w:rPr>
          <w:rFonts w:hint="eastAsia" w:ascii="宋体" w:hAnsi="宋体"/>
          <w:b/>
          <w:bCs/>
          <w:color w:val="000000"/>
          <w:szCs w:val="21"/>
        </w:rPr>
      </w:pPr>
      <w:r>
        <w:rPr>
          <w:rFonts w:hint="eastAsia" w:ascii="宋体" w:hAnsi="宋体"/>
          <w:b/>
          <w:bCs/>
          <w:color w:val="000000"/>
          <w:szCs w:val="21"/>
        </w:rPr>
        <w:t>★2.1.3 终端范围</w:t>
      </w:r>
    </w:p>
    <w:p w14:paraId="7E755780">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szCs w:val="21"/>
        </w:rPr>
        <w:t>本项目改造涉及4K智能机顶盒主要涉及两类：４K（IP）型智能机顶盒和4K（DVB）型智能机顶盒，其中，４K（IP）型智能机顶盒涉及芯片包括但不限于GK6323V100BL、AMS905L3A、HI3798M-V310、AMS905L3S、HI3798M-V320等同等规格芯片产品。4K（DVB）型智能机顶盒涉及芯片包括但不限于GK6323V100BH、HI3796M-V100、HI3798C-V200、HI3798M-V200、HI3798M-</w:t>
      </w:r>
      <w:r>
        <w:rPr>
          <w:rFonts w:hint="eastAsia" w:ascii="宋体" w:hAnsi="宋体"/>
          <w:color w:val="000000" w:themeColor="text1"/>
          <w:szCs w:val="21"/>
          <w14:textFill>
            <w14:solidFill>
              <w14:schemeClr w14:val="tx1"/>
            </w14:solidFill>
          </w14:textFill>
        </w:rPr>
        <w:t>V200H、MSO9385等同等规格芯片产品。供应商改造后的软件须支持</w:t>
      </w:r>
      <w:r>
        <w:rPr>
          <w:rFonts w:ascii="宋体" w:hAnsi="宋体"/>
          <w:color w:val="000000" w:themeColor="text1"/>
          <w:szCs w:val="21"/>
          <w14:textFill>
            <w14:solidFill>
              <w14:schemeClr w14:val="tx1"/>
            </w14:solidFill>
          </w14:textFill>
        </w:rPr>
        <w:t>不同SoC、网络模块、存储、外设配置</w:t>
      </w:r>
      <w:r>
        <w:rPr>
          <w:rFonts w:hint="eastAsia" w:ascii="宋体" w:hAnsi="宋体"/>
          <w:color w:val="000000" w:themeColor="text1"/>
          <w:szCs w:val="21"/>
          <w14:textFill>
            <w14:solidFill>
              <w14:schemeClr w14:val="tx1"/>
            </w14:solidFill>
          </w14:textFill>
        </w:rPr>
        <w:t>等终端升级</w:t>
      </w:r>
      <w:r>
        <w:rPr>
          <w:rFonts w:ascii="宋体" w:hAnsi="宋体"/>
          <w:color w:val="000000" w:themeColor="text1"/>
          <w:szCs w:val="21"/>
          <w14:textFill>
            <w14:solidFill>
              <w14:schemeClr w14:val="tx1"/>
            </w14:solidFill>
          </w14:textFill>
        </w:rPr>
        <w:t>，并充分考虑各分公司本地业务和网络环境差异性，考察终端历史供货情况，经综合考虑后，给出统一的、安全的升级方案。</w:t>
      </w:r>
    </w:p>
    <w:p w14:paraId="5B0E1F5A">
      <w:pPr>
        <w:spacing w:before="156" w:beforeLines="50" w:line="300" w:lineRule="auto"/>
        <w:outlineLvl w:val="2"/>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 xml:space="preserve">2.2 ★总体技术要求 </w:t>
      </w:r>
    </w:p>
    <w:p w14:paraId="1EF88939">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按照江苏省有线定向传送经批准落地境外卫星电视频道建设实施方案的具体要求，对4K智能机顶盒终端软件需进行改造，实现境外频道观看控制，必须与AAA系统、融合EPG系统、CA系统、政企业务平台等相关平台进行对接集成，具体内容如下：</w:t>
      </w:r>
    </w:p>
    <w:p w14:paraId="081DB21E">
      <w:pPr>
        <w:spacing w:line="36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1）双向网络环境下， 4K智能DVB型、IP型机顶盒终端软件与AAA系统集成对接，按照AAA系统接口规范进行对接，根据AAA返回值，确定该用户是否合法开通了境外卫星电视频道权限。</w:t>
      </w:r>
    </w:p>
    <w:p w14:paraId="734CE35E">
      <w:pPr>
        <w:spacing w:line="36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2）双向网络环境下，4K智能DVB型、IP型机顶盒终端软件与融合EPG系统集成对接，按照融合EPG系统接口规范进行对接，根据融合EPG返回数据和AAA认证情况，确定该用户是否需要显示境外卫星电视频道权限。</w:t>
      </w:r>
    </w:p>
    <w:p w14:paraId="02382EE6">
      <w:pPr>
        <w:spacing w:line="360" w:lineRule="auto"/>
        <w:ind w:left="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3）集客用户DVB型机顶盒和IP型机顶盒应基于现有平台、网络、信源和终端硬件条件，通过IP交互方式实现D</w:t>
      </w:r>
      <w:r>
        <w:rPr>
          <w:rFonts w:ascii="宋体" w:hAnsi="宋体"/>
          <w:color w:val="000000" w:themeColor="text1"/>
          <w:szCs w:val="21"/>
          <w14:textFill>
            <w14:solidFill>
              <w14:schemeClr w14:val="tx1"/>
            </w14:solidFill>
          </w14:textFill>
        </w:rPr>
        <w:t>VB</w:t>
      </w:r>
      <w:r>
        <w:rPr>
          <w:rFonts w:hint="eastAsia" w:ascii="宋体" w:hAnsi="宋体"/>
          <w:color w:val="000000" w:themeColor="text1"/>
          <w:szCs w:val="21"/>
          <w14:textFill>
            <w14:solidFill>
              <w14:schemeClr w14:val="tx1"/>
            </w14:solidFill>
          </w14:textFill>
        </w:rPr>
        <w:t>和IP两种定制化电视频道的需求。政企业务平台根据集团客户的节目授权范围，向指定集客分组终端发送定制的</w:t>
      </w:r>
      <w:r>
        <w:rPr>
          <w:rFonts w:ascii="宋体" w:hAnsi="宋体"/>
          <w:color w:val="000000" w:themeColor="text1"/>
          <w:szCs w:val="21"/>
          <w14:textFill>
            <w14:solidFill>
              <w14:schemeClr w14:val="tx1"/>
            </w14:solidFill>
          </w14:textFill>
        </w:rPr>
        <w:t>EPG</w:t>
      </w:r>
      <w:r>
        <w:rPr>
          <w:rFonts w:hint="eastAsia" w:ascii="宋体" w:hAnsi="宋体"/>
          <w:color w:val="000000" w:themeColor="text1"/>
          <w:szCs w:val="21"/>
          <w14:textFill>
            <w14:solidFill>
              <w14:schemeClr w14:val="tx1"/>
            </w14:solidFill>
          </w14:textFill>
        </w:rPr>
        <w:t>频道参数，同时可以通过前端版本控制，随时能够更新终端频道信息。</w:t>
      </w:r>
    </w:p>
    <w:p w14:paraId="62F7D59D">
      <w:pPr>
        <w:spacing w:line="300" w:lineRule="auto"/>
        <w:ind w:firstLine="422" w:firstLineChars="200"/>
        <w:outlineLvl w:val="3"/>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 xml:space="preserve"> </w:t>
      </w:r>
      <w:r>
        <w:rPr>
          <w:rFonts w:ascii="宋体" w:hAnsi="宋体"/>
          <w:b/>
          <w:bCs/>
          <w:color w:val="000000" w:themeColor="text1"/>
          <w:szCs w:val="21"/>
          <w14:textFill>
            <w14:solidFill>
              <w14:schemeClr w14:val="tx1"/>
            </w14:solidFill>
          </w14:textFill>
        </w:rPr>
        <w:t>基本原则</w:t>
      </w:r>
    </w:p>
    <w:p w14:paraId="288A2B78">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按照</w:t>
      </w:r>
      <w:bookmarkStart w:id="70" w:name="_Toc12430"/>
      <w:bookmarkStart w:id="71" w:name="_Toc18925"/>
      <w:r>
        <w:rPr>
          <w:rFonts w:hint="eastAsia" w:ascii="宋体" w:hAnsi="宋体"/>
          <w:color w:val="000000" w:themeColor="text1"/>
          <w:szCs w:val="21"/>
          <w14:textFill>
            <w14:solidFill>
              <w14:schemeClr w14:val="tx1"/>
            </w14:solidFill>
          </w14:textFill>
        </w:rPr>
        <w:t>《江苏省有线定向传送经批准落地境外卫星电视频道</w:t>
      </w:r>
      <w:bookmarkEnd w:id="70"/>
      <w:r>
        <w:rPr>
          <w:rFonts w:hint="eastAsia" w:ascii="宋体" w:hAnsi="宋体"/>
          <w:color w:val="000000" w:themeColor="text1"/>
          <w:szCs w:val="21"/>
          <w14:textFill>
            <w14:solidFill>
              <w14:schemeClr w14:val="tx1"/>
            </w14:solidFill>
          </w14:textFill>
        </w:rPr>
        <w:t>建设实施方案</w:t>
      </w:r>
      <w:bookmarkEnd w:id="71"/>
      <w:r>
        <w:rPr>
          <w:rFonts w:hint="eastAsia" w:ascii="宋体" w:hAnsi="宋体"/>
          <w:color w:val="000000" w:themeColor="text1"/>
          <w:szCs w:val="21"/>
          <w14:textFill>
            <w14:solidFill>
              <w14:schemeClr w14:val="tx1"/>
            </w14:solidFill>
          </w14:textFill>
        </w:rPr>
        <w:t>》，根据“统一信号、统一监管、可管可控、定向服务”基本原则进行实施。同时，</w:t>
      </w:r>
      <w:r>
        <w:rPr>
          <w:rFonts w:ascii="宋体" w:hAnsi="宋体"/>
          <w:color w:val="000000" w:themeColor="text1"/>
          <w:szCs w:val="21"/>
          <w14:textFill>
            <w14:solidFill>
              <w14:schemeClr w14:val="tx1"/>
            </w14:solidFill>
          </w14:textFill>
        </w:rPr>
        <w:t>最大限度保护现有投资，统一能力系统，优化终端兼容能力，达到终端技术统一和业务集约化运营的目标。</w:t>
      </w:r>
    </w:p>
    <w:p w14:paraId="0BA20B5F">
      <w:pPr>
        <w:spacing w:line="300" w:lineRule="auto"/>
        <w:ind w:firstLine="422" w:firstLineChars="200"/>
        <w:outlineLvl w:val="3"/>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2.2.3 公客版本</w:t>
      </w:r>
    </w:p>
    <w:p w14:paraId="1EC050FA">
      <w:pPr>
        <w:spacing w:line="360" w:lineRule="auto"/>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江苏有线</w:t>
      </w:r>
      <w:r>
        <w:rPr>
          <w:rFonts w:ascii="宋体" w:hAnsi="宋体"/>
          <w:color w:val="000000" w:themeColor="text1"/>
          <w:szCs w:val="21"/>
          <w14:textFill>
            <w14:solidFill>
              <w14:schemeClr w14:val="tx1"/>
            </w14:solidFill>
          </w14:textFill>
        </w:rPr>
        <w:t>在BOSS系统设置专门的境外频道管理专区，</w:t>
      </w:r>
      <w:r>
        <w:rPr>
          <w:rFonts w:hint="eastAsia" w:ascii="宋体" w:hAnsi="宋体"/>
          <w:color w:val="000000" w:themeColor="text1"/>
          <w:szCs w:val="21"/>
          <w14:textFill>
            <w14:solidFill>
              <w14:schemeClr w14:val="tx1"/>
            </w14:solidFill>
          </w14:textFill>
        </w:rPr>
        <w:t>或</w:t>
      </w:r>
      <w:r>
        <w:rPr>
          <w:rFonts w:ascii="宋体" w:hAnsi="宋体"/>
          <w:color w:val="000000" w:themeColor="text1"/>
          <w:szCs w:val="21"/>
          <w14:textFill>
            <w14:solidFill>
              <w14:schemeClr w14:val="tx1"/>
            </w14:solidFill>
          </w14:textFill>
        </w:rPr>
        <w:t>设置专门的境外频道管理模块，将订购境外频道的许可用户统一划入特定的服务片区（即使用特定的区域码），只有经许可且设置为某特定区域码的授权用户接收终端才能收视其订购的境外频道。</w:t>
      </w:r>
      <w:r>
        <w:rPr>
          <w:rFonts w:hint="eastAsia" w:ascii="宋体" w:hAnsi="宋体"/>
          <w:color w:val="000000" w:themeColor="text1"/>
          <w:szCs w:val="21"/>
          <w14:textFill>
            <w14:solidFill>
              <w14:schemeClr w14:val="tx1"/>
            </w14:solidFill>
          </w14:textFill>
        </w:rPr>
        <w:t>融合AAA系统实现对境外直播频道、相关产品以及对应关系的管理，接收BOSS系统同步的境外平台产品和订购关系，实现对境外频道的一次鉴权。机顶盒须根据AAA对接规范改造开机认证接口，开机向融合AAA系统用户权益，获取该终端境外频道的订购情况。符合境外频道开通要求的，则开通境外频道，否则，不开通且从终端观看不到相关EPG信息。</w:t>
      </w:r>
    </w:p>
    <w:p w14:paraId="7FC373E7">
      <w:pPr>
        <w:spacing w:line="300" w:lineRule="auto"/>
        <w:ind w:firstLine="422" w:firstLineChars="200"/>
        <w:outlineLvl w:val="3"/>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2.3.4 集客版本</w:t>
      </w:r>
    </w:p>
    <w:p w14:paraId="661EF6C2">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集客定制终端开机过程中，首先携带机顶盒序列号通过AAA接口获取境外频道的授权信息，通过政企业务平台用户分组接口查询所属的用户分组，再根据所属集团分组进行频道接口的调用，获取分组定制EPG频道列表,包含：频道分组、排序号、开机引导、频道中英文名称、多播信息等相关参数。后台根据用户组对应网络标识确定下发的频道参数是</w:t>
      </w:r>
      <w:r>
        <w:rPr>
          <w:rFonts w:ascii="宋体" w:hAnsi="宋体"/>
          <w:color w:val="000000" w:themeColor="text1"/>
          <w:szCs w:val="21"/>
          <w14:textFill>
            <w14:solidFill>
              <w14:schemeClr w14:val="tx1"/>
            </w14:solidFill>
          </w14:textFill>
        </w:rPr>
        <w:t>DVB信息还是IP信息</w:t>
      </w:r>
      <w:r>
        <w:rPr>
          <w:rFonts w:hint="eastAsia" w:ascii="宋体" w:hAnsi="宋体"/>
          <w:color w:val="000000" w:themeColor="text1"/>
          <w:szCs w:val="21"/>
          <w14:textFill>
            <w14:solidFill>
              <w14:schemeClr w14:val="tx1"/>
            </w14:solidFill>
          </w14:textFill>
        </w:rPr>
        <w:t>进行判断，并返回不同的频道参数</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具体流程如下图所示：</w:t>
      </w:r>
    </w:p>
    <w:p w14:paraId="1D056A59">
      <w:pPr>
        <w:ind w:firstLine="480"/>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3037205" cy="2622550"/>
            <wp:effectExtent l="0" t="0" r="10795" b="6350"/>
            <wp:docPr id="22"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图示&#10;&#10;描述已自动生成"/>
                    <pic:cNvPicPr>
                      <a:picLocks noChangeAspect="1"/>
                    </pic:cNvPicPr>
                  </pic:nvPicPr>
                  <pic:blipFill>
                    <a:blip r:embed="rId14"/>
                    <a:stretch>
                      <a:fillRect/>
                    </a:stretch>
                  </pic:blipFill>
                  <pic:spPr>
                    <a:xfrm>
                      <a:off x="0" y="0"/>
                      <a:ext cx="3037205" cy="2622550"/>
                    </a:xfrm>
                    <a:prstGeom prst="rect">
                      <a:avLst/>
                    </a:prstGeom>
                    <a:noFill/>
                    <a:ln>
                      <a:noFill/>
                    </a:ln>
                  </pic:spPr>
                </pic:pic>
              </a:graphicData>
            </a:graphic>
          </wp:inline>
        </w:drawing>
      </w:r>
    </w:p>
    <w:p w14:paraId="6E101F0E">
      <w:pPr>
        <w:pStyle w:val="4"/>
        <w:numPr>
          <w:ilvl w:val="0"/>
          <w:numId w:val="24"/>
        </w:numPr>
        <w:spacing w:line="300" w:lineRule="auto"/>
        <w:ind w:left="357" w:hanging="357"/>
        <w:rPr>
          <w:rFonts w:hint="eastAsia" w:ascii="宋体" w:hAnsi="宋体"/>
          <w:b/>
          <w:bCs w:val="0"/>
          <w:color w:val="000000" w:themeColor="text1"/>
          <w:sz w:val="21"/>
          <w:szCs w:val="21"/>
          <w14:textFill>
            <w14:solidFill>
              <w14:schemeClr w14:val="tx1"/>
            </w14:solidFill>
          </w14:textFill>
        </w:rPr>
      </w:pPr>
      <w:r>
        <w:rPr>
          <w:rFonts w:hint="eastAsia" w:ascii="宋体" w:hAnsi="宋体"/>
          <w:b/>
          <w:bCs w:val="0"/>
          <w:color w:val="000000" w:themeColor="text1"/>
          <w:sz w:val="21"/>
          <w:szCs w:val="21"/>
          <w14:textFill>
            <w14:solidFill>
              <w14:schemeClr w14:val="tx1"/>
            </w14:solidFill>
          </w14:textFill>
        </w:rPr>
        <w:t>★系统对接</w:t>
      </w:r>
    </w:p>
    <w:p w14:paraId="695F0C73">
      <w:pPr>
        <w:spacing w:before="156" w:beforeLines="50" w:line="300" w:lineRule="auto"/>
        <w:outlineLvl w:val="2"/>
        <w:rPr>
          <w:rFonts w:hint="eastAsia"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3.1 境外频道获取流程</w:t>
      </w:r>
    </w:p>
    <w:p w14:paraId="788E80EB">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4210050</wp:posOffset>
                </wp:positionH>
                <wp:positionV relativeFrom="paragraph">
                  <wp:posOffset>346075</wp:posOffset>
                </wp:positionV>
                <wp:extent cx="737870" cy="332105"/>
                <wp:effectExtent l="4445" t="4445" r="6985" b="6350"/>
                <wp:wrapNone/>
                <wp:docPr id="13" name="文本框 4"/>
                <wp:cNvGraphicFramePr/>
                <a:graphic xmlns:a="http://schemas.openxmlformats.org/drawingml/2006/main">
                  <a:graphicData uri="http://schemas.microsoft.com/office/word/2010/wordprocessingShape">
                    <wps:wsp>
                      <wps:cNvSpPr txBox="1"/>
                      <wps:spPr>
                        <a:xfrm>
                          <a:off x="0" y="0"/>
                          <a:ext cx="737870" cy="332105"/>
                        </a:xfrm>
                        <a:prstGeom prst="rect">
                          <a:avLst/>
                        </a:prstGeom>
                        <a:solidFill>
                          <a:sysClr val="window" lastClr="FFFFFF"/>
                        </a:solidFill>
                        <a:ln w="6350">
                          <a:solidFill>
                            <a:prstClr val="black"/>
                          </a:solidFill>
                        </a:ln>
                        <a:effectLst/>
                      </wps:spPr>
                      <wps:txbx>
                        <w:txbxContent>
                          <w:p w14:paraId="541F6A35">
                            <w:pPr>
                              <w:snapToGrid w:val="0"/>
                              <w:jc w:val="center"/>
                              <w:rPr>
                                <w:sz w:val="15"/>
                                <w:szCs w:val="15"/>
                              </w:rPr>
                            </w:pPr>
                            <w:r>
                              <w:rPr>
                                <w:rFonts w:hint="eastAsia"/>
                                <w:sz w:val="15"/>
                                <w:szCs w:val="15"/>
                              </w:rPr>
                              <w:t>融合EPG/</w:t>
                            </w:r>
                          </w:p>
                          <w:p w14:paraId="1D72FA80">
                            <w:pPr>
                              <w:snapToGrid w:val="0"/>
                              <w:jc w:val="center"/>
                              <w:rPr>
                                <w:sz w:val="15"/>
                                <w:szCs w:val="15"/>
                              </w:rPr>
                            </w:pPr>
                            <w:r>
                              <w:rPr>
                                <w:rFonts w:hint="eastAsia"/>
                                <w:sz w:val="15"/>
                                <w:szCs w:val="15"/>
                              </w:rPr>
                              <w:t>政企EPG</w:t>
                            </w:r>
                          </w:p>
                          <w:p w14:paraId="21A1EC74">
                            <w:pPr>
                              <w:jc w:val="center"/>
                              <w:rPr>
                                <w:sz w:val="15"/>
                                <w:szCs w:val="15"/>
                              </w:rPr>
                            </w:pPr>
                          </w:p>
                          <w:p w14:paraId="4EAC3D9F">
                            <w:pPr>
                              <w:jc w:val="center"/>
                              <w:rPr>
                                <w:sz w:val="20"/>
                                <w:szCs w:val="20"/>
                              </w:rPr>
                            </w:pPr>
                            <w:r>
                              <w:rPr>
                                <w:rFonts w:hint="eastAsia"/>
                                <w:sz w:val="20"/>
                                <w:szCs w:val="20"/>
                              </w:rPr>
                              <w:t>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6" o:spt="202" type="#_x0000_t202" style="position:absolute;left:0pt;margin-left:331.5pt;margin-top:27.25pt;height:26.15pt;width:58.1pt;z-index:251671552;mso-width-relative:page;mso-height-relative:page;" fillcolor="#FFFFFF" filled="t" stroked="t" coordsize="21600,21600" o:gfxdata="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GbtcWdcAAAAKAQAADwAAAAAAAAABACAAAAAiAAAAZHJzL2Rvd25yZXYueG1sUEsB&#10;AhQAFAAAAAgAh07iQDuq4QloAgAA1QQAAA4AAAAAAAAAAQAgAAAAJgEAAGRycy9lMm9Eb2MueG1s&#10;UEsFBgAAAAAGAAYAWQEAAAAGAAAAAA==&#10;">
                <v:fill on="t" focussize="0,0"/>
                <v:stroke weight="0.5pt" color="#000000" joinstyle="round"/>
                <v:imagedata o:title=""/>
                <o:lock v:ext="edit" aspectratio="f"/>
                <v:textbox>
                  <w:txbxContent>
                    <w:p w14:paraId="541F6A35">
                      <w:pPr>
                        <w:snapToGrid w:val="0"/>
                        <w:jc w:val="center"/>
                        <w:rPr>
                          <w:sz w:val="15"/>
                          <w:szCs w:val="15"/>
                        </w:rPr>
                      </w:pPr>
                      <w:r>
                        <w:rPr>
                          <w:rFonts w:hint="eastAsia"/>
                          <w:sz w:val="15"/>
                          <w:szCs w:val="15"/>
                        </w:rPr>
                        <w:t>融合EPG/</w:t>
                      </w:r>
                    </w:p>
                    <w:p w14:paraId="1D72FA80">
                      <w:pPr>
                        <w:snapToGrid w:val="0"/>
                        <w:jc w:val="center"/>
                        <w:rPr>
                          <w:sz w:val="15"/>
                          <w:szCs w:val="15"/>
                        </w:rPr>
                      </w:pPr>
                      <w:r>
                        <w:rPr>
                          <w:rFonts w:hint="eastAsia"/>
                          <w:sz w:val="15"/>
                          <w:szCs w:val="15"/>
                        </w:rPr>
                        <w:t>政企EPG</w:t>
                      </w:r>
                    </w:p>
                    <w:p w14:paraId="21A1EC74">
                      <w:pPr>
                        <w:jc w:val="center"/>
                        <w:rPr>
                          <w:sz w:val="15"/>
                          <w:szCs w:val="15"/>
                        </w:rPr>
                      </w:pPr>
                    </w:p>
                    <w:p w14:paraId="4EAC3D9F">
                      <w:pPr>
                        <w:jc w:val="center"/>
                        <w:rPr>
                          <w:sz w:val="20"/>
                          <w:szCs w:val="20"/>
                        </w:rPr>
                      </w:pPr>
                      <w:r>
                        <w:rPr>
                          <w:rFonts w:hint="eastAsia"/>
                          <w:sz w:val="20"/>
                          <w:szCs w:val="20"/>
                        </w:rPr>
                        <w:t>系统</w:t>
                      </w:r>
                    </w:p>
                  </w:txbxContent>
                </v:textbox>
              </v:shape>
            </w:pict>
          </mc:Fallback>
        </mc:AlternateContent>
      </w:r>
      <w:r>
        <w:rPr>
          <w:rFonts w:hint="eastAsia" w:ascii="宋体" w:hAnsi="宋体"/>
          <w:color w:val="000000" w:themeColor="text1"/>
          <w:szCs w:val="21"/>
          <w14:textFill>
            <w14:solidFill>
              <w14:schemeClr w14:val="tx1"/>
            </w14:solidFill>
          </w14:textFill>
        </w:rPr>
        <w:t>终端从开机认证到获取境外频道E</w:t>
      </w:r>
      <w:r>
        <w:rPr>
          <w:rFonts w:ascii="宋体" w:hAnsi="宋体"/>
          <w:color w:val="000000" w:themeColor="text1"/>
          <w:szCs w:val="21"/>
          <w14:textFill>
            <w14:solidFill>
              <w14:schemeClr w14:val="tx1"/>
            </w14:solidFill>
          </w14:textFill>
        </w:rPr>
        <w:t>PG</w:t>
      </w:r>
      <w:r>
        <w:rPr>
          <w:rFonts w:hint="eastAsia" w:ascii="宋体" w:hAnsi="宋体"/>
          <w:color w:val="000000" w:themeColor="text1"/>
          <w:szCs w:val="21"/>
          <w14:textFill>
            <w14:solidFill>
              <w14:schemeClr w14:val="tx1"/>
            </w14:solidFill>
          </w14:textFill>
        </w:rPr>
        <w:t>的流程如下：</w:t>
      </w:r>
    </w:p>
    <w:p w14:paraId="7D00920E">
      <w:pPr>
        <w:rPr>
          <w:color w:val="000000" w:themeColor="text1"/>
          <w14:textFill>
            <w14:solidFill>
              <w14:schemeClr w14:val="tx1"/>
            </w14:solidFill>
          </w14:textFill>
        </w:rPr>
      </w:pPr>
    </w:p>
    <w:p w14:paraId="3C2A7138">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2223770</wp:posOffset>
                </wp:positionH>
                <wp:positionV relativeFrom="paragraph">
                  <wp:posOffset>27940</wp:posOffset>
                </wp:positionV>
                <wp:extent cx="678815" cy="285750"/>
                <wp:effectExtent l="4445" t="4445" r="15240" b="14605"/>
                <wp:wrapNone/>
                <wp:docPr id="9" name="文本框 5"/>
                <wp:cNvGraphicFramePr/>
                <a:graphic xmlns:a="http://schemas.openxmlformats.org/drawingml/2006/main">
                  <a:graphicData uri="http://schemas.microsoft.com/office/word/2010/wordprocessingShape">
                    <wps:wsp>
                      <wps:cNvSpPr txBox="1"/>
                      <wps:spPr>
                        <a:xfrm>
                          <a:off x="0" y="0"/>
                          <a:ext cx="678815" cy="285750"/>
                        </a:xfrm>
                        <a:prstGeom prst="rect">
                          <a:avLst/>
                        </a:prstGeom>
                        <a:solidFill>
                          <a:sysClr val="window" lastClr="FFFFFF"/>
                        </a:solidFill>
                        <a:ln w="6350">
                          <a:solidFill>
                            <a:prstClr val="black"/>
                          </a:solidFill>
                        </a:ln>
                        <a:effectLst/>
                      </wps:spPr>
                      <wps:txbx>
                        <w:txbxContent>
                          <w:p w14:paraId="16993531">
                            <w:pPr>
                              <w:jc w:val="center"/>
                              <w:rPr>
                                <w:rFonts w:eastAsia="等线"/>
                                <w:sz w:val="20"/>
                                <w:szCs w:val="20"/>
                              </w:rPr>
                            </w:pPr>
                            <w:r>
                              <w:rPr>
                                <w:rFonts w:hint="eastAsia"/>
                                <w:sz w:val="20"/>
                                <w:szCs w:val="20"/>
                              </w:rPr>
                              <w:t>AAA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175.1pt;margin-top:2.2pt;height:22.5pt;width:53.45pt;z-index:251667456;mso-width-relative:page;mso-height-relative:page;" fillcolor="#FFFFFF" filled="t" stroked="t" coordsize="21600,21600" o:gfxdata="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bxZD1gAAAAgBAAAPAAAAAAAAAAEAIAAAACIAAABkcnMvZG93bnJldi54bWxQSwEC&#10;FAAUAAAACACHTuJAvlfEz2gCAADUBAAADgAAAAAAAAABACAAAAAlAQAAZHJzL2Uyb0RvYy54bWxQ&#10;SwUGAAAAAAYABgBZAQAA/wUAAAAA&#10;">
                <v:fill on="t" focussize="0,0"/>
                <v:stroke weight="0.5pt" color="#000000" joinstyle="round"/>
                <v:imagedata o:title=""/>
                <o:lock v:ext="edit" aspectratio="f"/>
                <v:textbox>
                  <w:txbxContent>
                    <w:p w14:paraId="16993531">
                      <w:pPr>
                        <w:jc w:val="center"/>
                        <w:rPr>
                          <w:rFonts w:eastAsia="等线"/>
                          <w:sz w:val="20"/>
                          <w:szCs w:val="20"/>
                        </w:rPr>
                      </w:pPr>
                      <w:r>
                        <w:rPr>
                          <w:rFonts w:hint="eastAsia"/>
                          <w:sz w:val="20"/>
                          <w:szCs w:val="20"/>
                        </w:rPr>
                        <w:t>AAA</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166370</wp:posOffset>
                </wp:positionH>
                <wp:positionV relativeFrom="paragraph">
                  <wp:posOffset>35560</wp:posOffset>
                </wp:positionV>
                <wp:extent cx="741680" cy="285750"/>
                <wp:effectExtent l="4445" t="4445" r="15875" b="14605"/>
                <wp:wrapNone/>
                <wp:docPr id="8" name="文本框 6"/>
                <wp:cNvGraphicFramePr/>
                <a:graphic xmlns:a="http://schemas.openxmlformats.org/drawingml/2006/main">
                  <a:graphicData uri="http://schemas.microsoft.com/office/word/2010/wordprocessingShape">
                    <wps:wsp>
                      <wps:cNvSpPr txBox="1"/>
                      <wps:spPr>
                        <a:xfrm>
                          <a:off x="5224145" y="4106545"/>
                          <a:ext cx="741680" cy="285750"/>
                        </a:xfrm>
                        <a:prstGeom prst="rect">
                          <a:avLst/>
                        </a:prstGeom>
                        <a:solidFill>
                          <a:sysClr val="window" lastClr="FFFFFF"/>
                        </a:solidFill>
                        <a:ln w="6350">
                          <a:solidFill>
                            <a:prstClr val="black"/>
                          </a:solidFill>
                        </a:ln>
                        <a:effectLst/>
                      </wps:spPr>
                      <wps:txbx>
                        <w:txbxContent>
                          <w:p w14:paraId="128CAC7E">
                            <w:pPr>
                              <w:jc w:val="center"/>
                              <w:rPr>
                                <w:sz w:val="20"/>
                                <w:szCs w:val="20"/>
                              </w:rPr>
                            </w:pPr>
                            <w:r>
                              <w:rPr>
                                <w:rFonts w:hint="eastAsia"/>
                                <w:sz w:val="20"/>
                                <w:szCs w:val="20"/>
                              </w:rPr>
                              <w:t>终端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13.1pt;margin-top:2.8pt;height:22.5pt;width:58.4pt;z-index:251666432;mso-width-relative:page;mso-height-relative:page;" fillcolor="#FFFFFF" filled="t" stroked="t" coordsize="21600,21600" o:gfxdata="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1BpgcNMAAAAHAQAADwAAAAAAAAABACAAAAAiAAAAZHJzL2Rvd25y&#10;ZXYueG1sUEsBAhQAFAAAAAgAh07iQMKp0r11AgAA4AQAAA4AAAAAAAAAAQAgAAAAIgEAAGRycy9l&#10;Mm9Eb2MueG1sUEsFBgAAAAAGAAYAWQEAAAkGAAAAAA==&#10;">
                <v:fill on="t" focussize="0,0"/>
                <v:stroke weight="0.5pt" color="#000000" joinstyle="round"/>
                <v:imagedata o:title=""/>
                <o:lock v:ext="edit" aspectratio="f"/>
                <v:textbox>
                  <w:txbxContent>
                    <w:p w14:paraId="128CAC7E">
                      <w:pPr>
                        <w:jc w:val="center"/>
                        <w:rPr>
                          <w:sz w:val="20"/>
                          <w:szCs w:val="20"/>
                        </w:rPr>
                      </w:pPr>
                      <w:r>
                        <w:rPr>
                          <w:rFonts w:hint="eastAsia"/>
                          <w:sz w:val="20"/>
                          <w:szCs w:val="20"/>
                        </w:rPr>
                        <w:t>终端</w:t>
                      </w:r>
                    </w:p>
                  </w:txbxContent>
                </v:textbox>
              </v:shape>
            </w:pict>
          </mc:Fallback>
        </mc:AlternateContent>
      </w:r>
    </w:p>
    <w:p w14:paraId="692A9F8E">
      <w:pPr>
        <w:pStyle w:val="57"/>
        <w:ind w:left="0" w:firstLine="560"/>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4581525</wp:posOffset>
                </wp:positionH>
                <wp:positionV relativeFrom="paragraph">
                  <wp:posOffset>73025</wp:posOffset>
                </wp:positionV>
                <wp:extent cx="4445" cy="2383155"/>
                <wp:effectExtent l="4445" t="0" r="16510" b="4445"/>
                <wp:wrapNone/>
                <wp:docPr id="14" name="直接连接符 8"/>
                <wp:cNvGraphicFramePr/>
                <a:graphic xmlns:a="http://schemas.openxmlformats.org/drawingml/2006/main">
                  <a:graphicData uri="http://schemas.microsoft.com/office/word/2010/wordprocessingShape">
                    <wps:wsp>
                      <wps:cNvCnPr/>
                      <wps:spPr>
                        <a:xfrm>
                          <a:off x="0" y="0"/>
                          <a:ext cx="4445" cy="2383155"/>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8" o:spid="_x0000_s1026" o:spt="20" style="position:absolute;left:0pt;margin-left:360.75pt;margin-top:5.75pt;height:187.65pt;width:0.35pt;z-index:251672576;mso-width-relative:page;mso-height-relative:page;" filled="f" stroked="t" coordsize="21600,21600" o:gfxdata="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dhvJ2QAAAAoBAAAPAAAAAAAAAAEAIAAAACIAAABkcnMvZG93bnJldi54&#10;bWxQSwECFAAUAAAACACHTuJAkKujoPkBAADWAwAADgAAAAAAAAABACAAAAAoAQAAZHJzL2Uyb0Rv&#10;Yy54bWxQSwUGAAAAAAYABgBZAQAAkwUAAAAA&#10;">
                <v:fill on="f" focussize="0,0"/>
                <v:stroke weight="0.5pt" color="#000000" miterlimit="8" joinstyle="miter"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2557145</wp:posOffset>
                </wp:positionH>
                <wp:positionV relativeFrom="paragraph">
                  <wp:posOffset>41275</wp:posOffset>
                </wp:positionV>
                <wp:extent cx="24765" cy="2338070"/>
                <wp:effectExtent l="4445" t="0" r="8890" b="11430"/>
                <wp:wrapNone/>
                <wp:docPr id="6" name="直接连接符 9"/>
                <wp:cNvGraphicFramePr/>
                <a:graphic xmlns:a="http://schemas.openxmlformats.org/drawingml/2006/main">
                  <a:graphicData uri="http://schemas.microsoft.com/office/word/2010/wordprocessingShape">
                    <wps:wsp>
                      <wps:cNvCnPr/>
                      <wps:spPr>
                        <a:xfrm>
                          <a:off x="0" y="0"/>
                          <a:ext cx="24765" cy="2338387"/>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9" o:spid="_x0000_s1026" o:spt="20" style="position:absolute;left:0pt;margin-left:201.35pt;margin-top:3.25pt;height:184.1pt;width:1.95pt;z-index:251664384;mso-width-relative:page;mso-height-relative:page;" filled="f" stroked="t" coordsize="21600,21600" o:gfxdata="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Ag7tkAAAAJAQAADwAAAAAAAAABACAAAAAiAAAAZHJzL2Rvd25yZXYu&#10;eG1sUEsBAhQAFAAAAAgAh07iQLU+mur6AQAA1gMAAA4AAAAAAAAAAQAgAAAAKAEAAGRycy9lMm9E&#10;b2MueG1sUEsFBgAAAAAGAAYAWQEAAJQFAAAAAA==&#10;">
                <v:fill on="f" focussize="0,0"/>
                <v:stroke weight="0.5pt" color="#000000" miterlimit="8" joinstyle="miter"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55880</wp:posOffset>
                </wp:positionV>
                <wp:extent cx="14605" cy="2400300"/>
                <wp:effectExtent l="4445" t="0" r="6350" b="0"/>
                <wp:wrapNone/>
                <wp:docPr id="5" name="直接连接符 10"/>
                <wp:cNvGraphicFramePr/>
                <a:graphic xmlns:a="http://schemas.openxmlformats.org/drawingml/2006/main">
                  <a:graphicData uri="http://schemas.microsoft.com/office/word/2010/wordprocessingShape">
                    <wps:wsp>
                      <wps:cNvCnPr/>
                      <wps:spPr>
                        <a:xfrm>
                          <a:off x="0" y="0"/>
                          <a:ext cx="14288" cy="240030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接连接符 10" o:spid="_x0000_s1026" o:spt="20" style="position:absolute;left:0pt;margin-left:42pt;margin-top:4.4pt;height:189pt;width:1.15pt;z-index:251663360;mso-width-relative:page;mso-height-relative:page;" filled="f" stroked="t" coordsize="21600,21600" o:gfxdata="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O+D8DXAAAABwEAAA8AAAAAAAAAAQAgAAAAIgAAAGRycy9kb3ducmV2Lnht&#10;bFBLAQIUABQAAAAIAIdO4kAaSjNz+gEAANcDAAAOAAAAAAAAAAEAIAAAACYBAABkcnMvZTJvRG9j&#10;LnhtbFBLBQYAAAAABgAGAFkBAACSBQAAAAA=&#10;">
                <v:fill on="f" focussize="0,0"/>
                <v:stroke weight="0.5pt" color="#000000" miterlimit="8" joinstyle="miter" dashstyle="dash"/>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810895</wp:posOffset>
                </wp:positionH>
                <wp:positionV relativeFrom="paragraph">
                  <wp:posOffset>209550</wp:posOffset>
                </wp:positionV>
                <wp:extent cx="1533525" cy="295275"/>
                <wp:effectExtent l="0" t="0" r="3175" b="9525"/>
                <wp:wrapNone/>
                <wp:docPr id="11" name="文本框 11"/>
                <wp:cNvGraphicFramePr/>
                <a:graphic xmlns:a="http://schemas.openxmlformats.org/drawingml/2006/main">
                  <a:graphicData uri="http://schemas.microsoft.com/office/word/2010/wordprocessingShape">
                    <wps:wsp>
                      <wps:cNvSpPr txBox="1"/>
                      <wps:spPr>
                        <a:xfrm>
                          <a:off x="0" y="0"/>
                          <a:ext cx="1533511" cy="295275"/>
                        </a:xfrm>
                        <a:prstGeom prst="rect">
                          <a:avLst/>
                        </a:prstGeom>
                        <a:solidFill>
                          <a:sysClr val="window" lastClr="FFFFFF"/>
                        </a:solidFill>
                        <a:ln w="6350">
                          <a:noFill/>
                        </a:ln>
                        <a:effectLst/>
                      </wps:spPr>
                      <wps:txbx>
                        <w:txbxContent>
                          <w:p w14:paraId="73DC6561">
                            <w:pPr>
                              <w:rPr>
                                <w:rFonts w:eastAsia="等线"/>
                                <w:sz w:val="16"/>
                                <w:szCs w:val="16"/>
                              </w:rPr>
                            </w:pPr>
                            <w:r>
                              <w:rPr>
                                <w:rFonts w:hint="eastAsia"/>
                                <w:sz w:val="16"/>
                                <w:szCs w:val="16"/>
                              </w:rPr>
                              <w:t>进入直播时请求境外频道订购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85pt;margin-top:16.5pt;height:23.25pt;width:120.75pt;z-index:251669504;mso-width-relative:page;mso-height-relative:page;" fillcolor="#FFFFFF" filled="t" stroked="f" coordsize="21600,21600" o:gfxdata="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Q0Nz&#10;PdUAAAAJAQAADwAAAAAAAAABACAAAAAiAAAAZHJzL2Rvd25yZXYueG1sUEsBAhQAFAAAAAgAh07i&#10;QM4GF0FeAgAArwQAAA4AAAAAAAAAAQAgAAAAJAEAAGRycy9lMm9Eb2MueG1sUEsFBgAAAAAGAAYA&#10;WQEAAPQFAAAAAA==&#10;">
                <v:fill on="t" focussize="0,0"/>
                <v:stroke on="f" weight="0.5pt"/>
                <v:imagedata o:title=""/>
                <o:lock v:ext="edit" aspectratio="f"/>
                <v:textbox>
                  <w:txbxContent>
                    <w:p w14:paraId="73DC6561">
                      <w:pPr>
                        <w:rPr>
                          <w:rFonts w:eastAsia="等线"/>
                          <w:sz w:val="16"/>
                          <w:szCs w:val="16"/>
                        </w:rPr>
                      </w:pPr>
                      <w:r>
                        <w:rPr>
                          <w:rFonts w:hint="eastAsia"/>
                          <w:sz w:val="16"/>
                          <w:szCs w:val="16"/>
                        </w:rPr>
                        <w:t>进入直播时请求境外频道订购</w:t>
                      </w:r>
                    </w:p>
                  </w:txbxContent>
                </v:textbox>
              </v:shape>
            </w:pict>
          </mc:Fallback>
        </mc:AlternateContent>
      </w:r>
    </w:p>
    <w:p w14:paraId="777E107B">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540385</wp:posOffset>
                </wp:positionH>
                <wp:positionV relativeFrom="paragraph">
                  <wp:posOffset>81915</wp:posOffset>
                </wp:positionV>
                <wp:extent cx="2011045" cy="5080"/>
                <wp:effectExtent l="0" t="44450" r="8255" b="52070"/>
                <wp:wrapNone/>
                <wp:docPr id="10" name="直接箭头连接符 12"/>
                <wp:cNvGraphicFramePr/>
                <a:graphic xmlns:a="http://schemas.openxmlformats.org/drawingml/2006/main">
                  <a:graphicData uri="http://schemas.microsoft.com/office/word/2010/wordprocessingShape">
                    <wps:wsp>
                      <wps:cNvCnPr/>
                      <wps:spPr>
                        <a:xfrm>
                          <a:off x="0" y="0"/>
                          <a:ext cx="2011045" cy="508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直接箭头连接符 12" o:spid="_x0000_s1026" o:spt="32" type="#_x0000_t32" style="position:absolute;left:0pt;margin-left:42.55pt;margin-top:6.45pt;height:0.4pt;width:158.35pt;z-index:251668480;mso-width-relative:page;mso-height-relative:page;" filled="f" stroked="t" coordsize="21600,21600" o:gfxdata="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yrh5&#10;1wAAAAgBAAAPAAAAAAAAAAEAIAAAACIAAABkcnMvZG93bnJldi54bWxQSwECFAAUAAAACACHTuJA&#10;Ig9wviICAAAXBAAADgAAAAAAAAABACAAAAAmAQAAZHJzL2Uyb0RvYy54bWxQSwUGAAAAAAYABgBZ&#10;AQAAugUAAAAA&#10;">
                <v:fill on="f" focussize="0,0"/>
                <v:stroke weight="0.5pt" color="#000000" miterlimit="8" joinstyle="miter" endarrow="open"/>
                <v:imagedata o:title=""/>
                <o:lock v:ext="edit" aspectratio="f"/>
              </v:shape>
            </w:pict>
          </mc:Fallback>
        </mc:AlternateContent>
      </w:r>
    </w:p>
    <w:p w14:paraId="6F6FA841">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848995</wp:posOffset>
                </wp:positionH>
                <wp:positionV relativeFrom="paragraph">
                  <wp:posOffset>146685</wp:posOffset>
                </wp:positionV>
                <wp:extent cx="1350645" cy="295275"/>
                <wp:effectExtent l="0" t="0" r="8255" b="9525"/>
                <wp:wrapNone/>
                <wp:docPr id="12" name="文本框 13"/>
                <wp:cNvGraphicFramePr/>
                <a:graphic xmlns:a="http://schemas.openxmlformats.org/drawingml/2006/main">
                  <a:graphicData uri="http://schemas.microsoft.com/office/word/2010/wordprocessingShape">
                    <wps:wsp>
                      <wps:cNvSpPr txBox="1"/>
                      <wps:spPr>
                        <a:xfrm>
                          <a:off x="0" y="0"/>
                          <a:ext cx="1350645" cy="295275"/>
                        </a:xfrm>
                        <a:prstGeom prst="rect">
                          <a:avLst/>
                        </a:prstGeom>
                        <a:solidFill>
                          <a:sysClr val="window" lastClr="FFFFFF"/>
                        </a:solidFill>
                        <a:ln w="6350">
                          <a:noFill/>
                        </a:ln>
                        <a:effectLst/>
                      </wps:spPr>
                      <wps:txbx>
                        <w:txbxContent>
                          <w:p w14:paraId="2D04F96E">
                            <w:pPr>
                              <w:jc w:val="left"/>
                              <w:rPr>
                                <w:rFonts w:eastAsia="等线"/>
                                <w:sz w:val="16"/>
                                <w:szCs w:val="16"/>
                              </w:rPr>
                            </w:pPr>
                            <w:r>
                              <w:rPr>
                                <w:rFonts w:hint="eastAsia"/>
                                <w:sz w:val="16"/>
                                <w:szCs w:val="16"/>
                              </w:rPr>
                              <w:t>返回境外频道订购分组码码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3" o:spid="_x0000_s1026" o:spt="202" type="#_x0000_t202" style="position:absolute;left:0pt;margin-left:66.85pt;margin-top:11.55pt;height:23.25pt;width:106.35pt;z-index:251670528;mso-width-relative:page;mso-height-relative:page;" fillcolor="#FFFFFF" filled="t" stroked="f" coordsize="21600,21600" o:gfxdata="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X&#10;q/X21QAAAAkBAAAPAAAAAAAAAAEAIAAAACIAAABkcnMvZG93bnJldi54bWxQSwECFAAUAAAACACH&#10;TuJAQJ7u6mACAACvBAAADgAAAAAAAAABACAAAAAkAQAAZHJzL2Uyb0RvYy54bWxQSwUGAAAAAAYA&#10;BgBZAQAA9gUAAAAA&#10;">
                <v:fill on="t" focussize="0,0"/>
                <v:stroke on="f" weight="0.5pt"/>
                <v:imagedata o:title=""/>
                <o:lock v:ext="edit" aspectratio="f"/>
                <v:textbox>
                  <w:txbxContent>
                    <w:p w14:paraId="2D04F96E">
                      <w:pPr>
                        <w:jc w:val="left"/>
                        <w:rPr>
                          <w:rFonts w:eastAsia="等线"/>
                          <w:sz w:val="16"/>
                          <w:szCs w:val="16"/>
                        </w:rPr>
                      </w:pPr>
                      <w:r>
                        <w:rPr>
                          <w:rFonts w:hint="eastAsia"/>
                          <w:sz w:val="16"/>
                          <w:szCs w:val="16"/>
                        </w:rPr>
                        <w:t>返回境外频道订购分组码码</w:t>
                      </w:r>
                    </w:p>
                  </w:txbxContent>
                </v:textbox>
              </v:shape>
            </w:pict>
          </mc:Fallback>
        </mc:AlternateContent>
      </w:r>
    </w:p>
    <w:p w14:paraId="2F6DE2A6">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536575</wp:posOffset>
                </wp:positionH>
                <wp:positionV relativeFrom="paragraph">
                  <wp:posOffset>19685</wp:posOffset>
                </wp:positionV>
                <wp:extent cx="2024380" cy="8255"/>
                <wp:effectExtent l="0" t="41275" r="7620" b="52070"/>
                <wp:wrapNone/>
                <wp:docPr id="7" name="直接箭头连接符 18"/>
                <wp:cNvGraphicFramePr/>
                <a:graphic xmlns:a="http://schemas.openxmlformats.org/drawingml/2006/main">
                  <a:graphicData uri="http://schemas.microsoft.com/office/word/2010/wordprocessingShape">
                    <wps:wsp>
                      <wps:cNvCnPr/>
                      <wps:spPr>
                        <a:xfrm flipV="1">
                          <a:off x="0" y="0"/>
                          <a:ext cx="2024380" cy="8255"/>
                        </a:xfrm>
                        <a:prstGeom prst="straightConnector1">
                          <a:avLst/>
                        </a:prstGeom>
                        <a:noFill/>
                        <a:ln w="635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w:pict>
              <v:shape id="直接箭头连接符 18" o:spid="_x0000_s1026" o:spt="32" type="#_x0000_t32" style="position:absolute;left:0pt;flip:y;margin-left:42.25pt;margin-top:1.55pt;height:0.65pt;width:159.4pt;z-index:251665408;mso-width-relative:page;mso-height-relative:page;" filled="f" stroked="t" coordsize="21600,21600" o:gfxdata="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DyBUNUAAAAGAQAADwAAAAAAAAABACAAAAAiAAAAZHJzL2Rvd25yZXYu&#10;eG1sUEsBAhQAFAAAAAgAh07iQD8ONb03AgAASgQAAA4AAAAAAAAAAQAgAAAAJAEAAGRycy9lMm9E&#10;b2MueG1sUEsFBgAAAAAGAAYAWQEAAM0FAAAAAA==&#10;">
                <v:fill on="f" focussize="0,0"/>
                <v:stroke weight="0.5pt" color="#000000" miterlimit="8" joinstyle="miter" startarrow="open"/>
                <v:imagedata o:title=""/>
                <o:lock v:ext="edit" aspectratio="f"/>
              </v:shape>
            </w:pict>
          </mc:Fallback>
        </mc:AlternateContent>
      </w:r>
    </w:p>
    <w:p w14:paraId="2E52CC42">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748030</wp:posOffset>
                </wp:positionH>
                <wp:positionV relativeFrom="paragraph">
                  <wp:posOffset>34925</wp:posOffset>
                </wp:positionV>
                <wp:extent cx="1614170" cy="295275"/>
                <wp:effectExtent l="0" t="0" r="11430" b="9525"/>
                <wp:wrapNone/>
                <wp:docPr id="16" name="文本框 24"/>
                <wp:cNvGraphicFramePr/>
                <a:graphic xmlns:a="http://schemas.openxmlformats.org/drawingml/2006/main">
                  <a:graphicData uri="http://schemas.microsoft.com/office/word/2010/wordprocessingShape">
                    <wps:wsp>
                      <wps:cNvSpPr txBox="1"/>
                      <wps:spPr>
                        <a:xfrm>
                          <a:off x="0" y="0"/>
                          <a:ext cx="1614170" cy="295275"/>
                        </a:xfrm>
                        <a:prstGeom prst="rect">
                          <a:avLst/>
                        </a:prstGeom>
                        <a:solidFill>
                          <a:sysClr val="window" lastClr="FFFFFF"/>
                        </a:solidFill>
                        <a:ln w="6350">
                          <a:noFill/>
                        </a:ln>
                        <a:effectLst/>
                      </wps:spPr>
                      <wps:txbx>
                        <w:txbxContent>
                          <w:p w14:paraId="67F5320E">
                            <w:pPr>
                              <w:jc w:val="left"/>
                              <w:rPr>
                                <w:rFonts w:eastAsia="等线"/>
                                <w:sz w:val="16"/>
                                <w:szCs w:val="16"/>
                              </w:rPr>
                            </w:pPr>
                            <w:r>
                              <w:rPr>
                                <w:rFonts w:hint="eastAsia"/>
                                <w:sz w:val="16"/>
                                <w:szCs w:val="16"/>
                              </w:rPr>
                              <w:t>携带订购分组码请求EPG频道列表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4" o:spid="_x0000_s1026" o:spt="202" type="#_x0000_t202" style="position:absolute;left:0pt;margin-left:58.9pt;margin-top:2.75pt;height:23.25pt;width:127.1pt;z-index:251674624;mso-width-relative:page;mso-height-relative:page;" fillcolor="#FFFFFF" filled="t" stroked="f" coordsize="21600,21600" o:gfxdata="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dr+Ci&#10;0gAAAAgBAAAPAAAAAAAAAAEAIAAAACIAAABkcnMvZG93bnJldi54bWxQSwECFAAUAAAACACHTuJA&#10;6isHM2ACAACvBAAADgAAAAAAAAABACAAAAAhAQAAZHJzL2Uyb0RvYy54bWxQSwUGAAAAAAYABgBZ&#10;AQAA8wUAAAAA&#10;">
                <v:fill on="t" focussize="0,0"/>
                <v:stroke on="f" weight="0.5pt"/>
                <v:imagedata o:title=""/>
                <o:lock v:ext="edit" aspectratio="f"/>
                <v:textbox>
                  <w:txbxContent>
                    <w:p w14:paraId="67F5320E">
                      <w:pPr>
                        <w:jc w:val="left"/>
                        <w:rPr>
                          <w:rFonts w:eastAsia="等线"/>
                          <w:sz w:val="16"/>
                          <w:szCs w:val="16"/>
                        </w:rPr>
                      </w:pPr>
                      <w:r>
                        <w:rPr>
                          <w:rFonts w:hint="eastAsia"/>
                          <w:sz w:val="16"/>
                          <w:szCs w:val="16"/>
                        </w:rPr>
                        <w:t>携带订购分组码请求EPG频道列表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546735</wp:posOffset>
                </wp:positionH>
                <wp:positionV relativeFrom="paragraph">
                  <wp:posOffset>175895</wp:posOffset>
                </wp:positionV>
                <wp:extent cx="4045585" cy="0"/>
                <wp:effectExtent l="0" t="48895" r="5715" b="52705"/>
                <wp:wrapNone/>
                <wp:docPr id="15" name="直接箭头连接符 20"/>
                <wp:cNvGraphicFramePr/>
                <a:graphic xmlns:a="http://schemas.openxmlformats.org/drawingml/2006/main">
                  <a:graphicData uri="http://schemas.microsoft.com/office/word/2010/wordprocessingShape">
                    <wps:wsp>
                      <wps:cNvCnPr/>
                      <wps:spPr>
                        <a:xfrm>
                          <a:off x="0" y="0"/>
                          <a:ext cx="4045585" cy="0"/>
                        </a:xfrm>
                        <a:prstGeom prst="straightConnector1">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shape id="直接箭头连接符 20" o:spid="_x0000_s1026" o:spt="32" type="#_x0000_t32" style="position:absolute;left:0pt;margin-left:43.05pt;margin-top:13.85pt;height:0pt;width:318.55pt;z-index:251673600;mso-width-relative:page;mso-height-relative:page;" filled="f" stroked="t" coordsize="21600,21600" o:gfxdata="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qV/T31wAA&#10;AAgBAAAPAAAAAAAAAAEAIAAAACIAAABkcnMvZG93bnJldi54bWxQSwECFAAUAAAACACHTuJACUAH&#10;Hx8CAAAUBAAADgAAAAAAAAABACAAAAAmAQAAZHJzL2Uyb0RvYy54bWxQSwUGAAAAAAYABgBZAQAA&#10;twUAAAAA&#10;">
                <v:fill on="f" focussize="0,0"/>
                <v:stroke weight="0.5pt" color="#000000" miterlimit="8" joinstyle="miter" endarrow="open"/>
                <v:imagedata o:title=""/>
                <o:lock v:ext="edit" aspectratio="f"/>
              </v:shape>
            </w:pict>
          </mc:Fallback>
        </mc:AlternateContent>
      </w:r>
    </w:p>
    <w:p w14:paraId="21B95A67">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1863090</wp:posOffset>
                </wp:positionH>
                <wp:positionV relativeFrom="paragraph">
                  <wp:posOffset>215265</wp:posOffset>
                </wp:positionV>
                <wp:extent cx="1303020" cy="276225"/>
                <wp:effectExtent l="0" t="0" r="5080" b="3175"/>
                <wp:wrapNone/>
                <wp:docPr id="18" name="文本框 28"/>
                <wp:cNvGraphicFramePr/>
                <a:graphic xmlns:a="http://schemas.openxmlformats.org/drawingml/2006/main">
                  <a:graphicData uri="http://schemas.microsoft.com/office/word/2010/wordprocessingShape">
                    <wps:wsp>
                      <wps:cNvSpPr txBox="1"/>
                      <wps:spPr>
                        <a:xfrm>
                          <a:off x="0" y="0"/>
                          <a:ext cx="1303020" cy="276225"/>
                        </a:xfrm>
                        <a:prstGeom prst="rect">
                          <a:avLst/>
                        </a:prstGeom>
                        <a:solidFill>
                          <a:sysClr val="window" lastClr="FFFFFF"/>
                        </a:solidFill>
                        <a:ln w="6350">
                          <a:noFill/>
                        </a:ln>
                        <a:effectLst/>
                      </wps:spPr>
                      <wps:txbx>
                        <w:txbxContent>
                          <w:p w14:paraId="332DD2B2">
                            <w:pPr>
                              <w:jc w:val="left"/>
                              <w:rPr>
                                <w:rFonts w:eastAsia="等线"/>
                                <w:sz w:val="16"/>
                                <w:szCs w:val="16"/>
                              </w:rPr>
                            </w:pPr>
                            <w:r>
                              <w:rPr>
                                <w:rFonts w:hint="eastAsia"/>
                                <w:sz w:val="16"/>
                                <w:szCs w:val="16"/>
                              </w:rPr>
                              <w:t>返回EPG频道列表信息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8" o:spid="_x0000_s1026" o:spt="202" type="#_x0000_t202" style="position:absolute;left:0pt;margin-left:146.7pt;margin-top:16.95pt;height:21.75pt;width:102.6pt;z-index:251676672;mso-width-relative:page;mso-height-relative:page;" fillcolor="#FFFFFF" filled="t" stroked="f" coordsize="21600,21600" o:gfxdata="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t&#10;nBlx1gAAAAkBAAAPAAAAAAAAAAEAIAAAACIAAABkcnMvZG93bnJldi54bWxQSwECFAAUAAAACACH&#10;TuJArfHjSl8CAACvBAAADgAAAAAAAAABACAAAAAlAQAAZHJzL2Uyb0RvYy54bWxQSwUGAAAAAAYA&#10;BgBZAQAA9gUAAAAA&#10;">
                <v:fill on="t" focussize="0,0"/>
                <v:stroke on="f" weight="0.5pt"/>
                <v:imagedata o:title=""/>
                <o:lock v:ext="edit" aspectratio="f"/>
                <v:textbox>
                  <w:txbxContent>
                    <w:p w14:paraId="332DD2B2">
                      <w:pPr>
                        <w:jc w:val="left"/>
                        <w:rPr>
                          <w:rFonts w:eastAsia="等线"/>
                          <w:sz w:val="16"/>
                          <w:szCs w:val="16"/>
                        </w:rPr>
                      </w:pPr>
                      <w:r>
                        <w:rPr>
                          <w:rFonts w:hint="eastAsia"/>
                          <w:sz w:val="16"/>
                          <w:szCs w:val="16"/>
                        </w:rPr>
                        <w:t>返回EPG频道列表信息</w:t>
                      </w:r>
                    </w:p>
                  </w:txbxContent>
                </v:textbox>
              </v:shape>
            </w:pict>
          </mc:Fallback>
        </mc:AlternateContent>
      </w:r>
    </w:p>
    <w:p w14:paraId="1C971605">
      <w:pPr>
        <w:snapToGrid w:val="0"/>
        <w:spacing w:before="156" w:beforeLines="50"/>
        <w:rPr>
          <w:rFonts w:hint="eastAsia" w:ascii="宋体" w:hAnsi="宋体"/>
          <w:color w:val="000000" w:themeColor="text1"/>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513080</wp:posOffset>
                </wp:positionH>
                <wp:positionV relativeFrom="paragraph">
                  <wp:posOffset>86995</wp:posOffset>
                </wp:positionV>
                <wp:extent cx="4079240" cy="16510"/>
                <wp:effectExtent l="0" t="33020" r="10160" b="52070"/>
                <wp:wrapNone/>
                <wp:docPr id="17" name="直接箭头连接符 26"/>
                <wp:cNvGraphicFramePr/>
                <a:graphic xmlns:a="http://schemas.openxmlformats.org/drawingml/2006/main">
                  <a:graphicData uri="http://schemas.microsoft.com/office/word/2010/wordprocessingShape">
                    <wps:wsp>
                      <wps:cNvCnPr/>
                      <wps:spPr>
                        <a:xfrm flipV="1">
                          <a:off x="0" y="0"/>
                          <a:ext cx="4079240" cy="16510"/>
                        </a:xfrm>
                        <a:prstGeom prst="straightConnector1">
                          <a:avLst/>
                        </a:prstGeom>
                        <a:noFill/>
                        <a:ln w="6350" cap="flat" cmpd="sng" algn="ctr">
                          <a:solidFill>
                            <a:sysClr val="windowText" lastClr="000000"/>
                          </a:solidFill>
                          <a:prstDash val="solid"/>
                          <a:miter lim="800000"/>
                          <a:headEnd type="arrow" w="med" len="med"/>
                          <a:tailEnd type="none" w="med" len="med"/>
                        </a:ln>
                        <a:effectLst/>
                      </wps:spPr>
                      <wps:bodyPr/>
                    </wps:wsp>
                  </a:graphicData>
                </a:graphic>
              </wp:anchor>
            </w:drawing>
          </mc:Choice>
          <mc:Fallback>
            <w:pict>
              <v:shape id="直接箭头连接符 26" o:spid="_x0000_s1026" o:spt="32" type="#_x0000_t32" style="position:absolute;left:0pt;flip:y;margin-left:40.4pt;margin-top:6.85pt;height:1.3pt;width:321.2pt;z-index:251675648;mso-width-relative:page;mso-height-relative:page;" filled="f" stroked="t" coordsize="21600,21600" o:gfxdata="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aeCSg1wAAAAgBAAAPAAAAAAAAAAEAIAAAACIAAABkcnMvZG93&#10;bnJldi54bWxQSwECFAAUAAAACACHTuJAm7Q4AjoCAABMBAAADgAAAAAAAAABACAAAAAmAQAAZHJz&#10;L2Uyb0RvYy54bWxQSwUGAAAAAAYABgBZAQAA0gUAAAAA&#10;">
                <v:fill on="f" focussize="0,0"/>
                <v:stroke weight="0.5pt" color="#000000" miterlimit="8" joinstyle="miter" startarrow="open"/>
                <v:imagedata o:title=""/>
                <o:lock v:ext="edit" aspectratio="f"/>
              </v:shape>
            </w:pict>
          </mc:Fallback>
        </mc:AlternateContent>
      </w:r>
    </w:p>
    <w:p w14:paraId="1551CD41">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245110</wp:posOffset>
                </wp:positionH>
                <wp:positionV relativeFrom="paragraph">
                  <wp:posOffset>184785</wp:posOffset>
                </wp:positionV>
                <wp:extent cx="601345" cy="189865"/>
                <wp:effectExtent l="0" t="0" r="16510" b="57785"/>
                <wp:wrapNone/>
                <wp:docPr id="21" name="弧形 23"/>
                <wp:cNvGraphicFramePr/>
                <a:graphic xmlns:a="http://schemas.openxmlformats.org/drawingml/2006/main">
                  <a:graphicData uri="http://schemas.microsoft.com/office/word/2010/wordprocessingShape">
                    <wps:wsp>
                      <wps:cNvSpPr/>
                      <wps:spPr>
                        <a:xfrm flipV="1">
                          <a:off x="0" y="0"/>
                          <a:ext cx="601345" cy="189865"/>
                        </a:xfrm>
                        <a:prstGeom prst="arc">
                          <a:avLst/>
                        </a:prstGeom>
                        <a:noFill/>
                        <a:ln w="6350" cap="flat" cmpd="sng" algn="ctr">
                          <a:solidFill>
                            <a:sysClr val="windowText" lastClr="000000"/>
                          </a:solidFill>
                          <a:prstDash val="dash"/>
                          <a:miter lim="800000"/>
                          <a:headEnd type="arrow" w="med" len="med"/>
                          <a:tailEnd type="none"/>
                        </a:ln>
                        <a:effectLst/>
                      </wps:spPr>
                      <wps:bodyPr vert="horz" wrap="square" anchor="t" anchorCtr="0"/>
                    </wps:wsp>
                  </a:graphicData>
                </a:graphic>
              </wp:anchor>
            </w:drawing>
          </mc:Choice>
          <mc:Fallback>
            <w:pict>
              <v:shape id="弧形 23" o:spid="_x0000_s1026" style="position:absolute;left:0pt;flip:y;margin-left:19.3pt;margin-top:14.55pt;height:14.95pt;width:47.35pt;z-index:251679744;mso-width-relative:page;mso-height-relative:page;" filled="f" stroked="t" coordsize="601345,189865" o:gfxdata="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ZLm/dcAAAAIAQAADwAAAAAAAAABACAAAAAiAAAAZHJzL2Rvd25yZXYu&#10;eG1sUEsBAhQAFAAAAAgAh07iQGYdgOo1AgAATgQAAA4AAAAAAAAAAQAgAAAAJgEAAGRycy9lMm9E&#10;b2MueG1sUEsFBgAAAAAGAAYAWQEAAM0FAAAAAA==&#10;" path="m300672,0nsc466729,0,601344,42503,601344,94932l300672,94932xem300672,0nfc466729,0,601344,42503,601344,94932e">
                <v:path o:connectlocs="300672,0;300672,94932;601345,94932" o:connectangles="164,123,82"/>
                <v:fill on="f" focussize="0,0"/>
                <v:stroke weight="0.5pt" color="#000000" miterlimit="8" joinstyle="miter" dashstyle="dash" startarrow="open"/>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892810</wp:posOffset>
                </wp:positionH>
                <wp:positionV relativeFrom="paragraph">
                  <wp:posOffset>173355</wp:posOffset>
                </wp:positionV>
                <wp:extent cx="802005" cy="276225"/>
                <wp:effectExtent l="0" t="0" r="10795" b="3175"/>
                <wp:wrapNone/>
                <wp:docPr id="20" name="文本框 27"/>
                <wp:cNvGraphicFramePr/>
                <a:graphic xmlns:a="http://schemas.openxmlformats.org/drawingml/2006/main">
                  <a:graphicData uri="http://schemas.microsoft.com/office/word/2010/wordprocessingShape">
                    <wps:wsp>
                      <wps:cNvSpPr txBox="1"/>
                      <wps:spPr>
                        <a:xfrm>
                          <a:off x="0" y="0"/>
                          <a:ext cx="802204" cy="276225"/>
                        </a:xfrm>
                        <a:prstGeom prst="rect">
                          <a:avLst/>
                        </a:prstGeom>
                        <a:solidFill>
                          <a:sysClr val="window" lastClr="FFFFFF"/>
                        </a:solidFill>
                        <a:ln w="6350">
                          <a:noFill/>
                        </a:ln>
                        <a:effectLst/>
                      </wps:spPr>
                      <wps:txbx>
                        <w:txbxContent>
                          <w:p w14:paraId="7A24EC16">
                            <w:pPr>
                              <w:rPr>
                                <w:rFonts w:eastAsia="等线"/>
                                <w:sz w:val="16"/>
                                <w:szCs w:val="16"/>
                              </w:rPr>
                            </w:pPr>
                            <w:r>
                              <w:rPr>
                                <w:rFonts w:hint="eastAsia"/>
                                <w:sz w:val="16"/>
                                <w:szCs w:val="16"/>
                              </w:rPr>
                              <w:t>展示频道列表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7" o:spid="_x0000_s1026" o:spt="202" type="#_x0000_t202" style="position:absolute;left:0pt;margin-left:70.3pt;margin-top:13.65pt;height:21.75pt;width:63.15pt;z-index:251678720;mso-width-relative:page;mso-height-relative:page;" fillcolor="#FFFFFF" filled="t" stroked="f" coordsize="21600,21600" o:gfxdata="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5f&#10;4xzUAAAACQEAAA8AAAAAAAAAAQAgAAAAIgAAAGRycy9kb3ducmV2LnhtbFBLAQIUABQAAAAIAIdO&#10;4kAC1RC8YAIAAK4EAAAOAAAAAAAAAAEAIAAAACMBAABkcnMvZTJvRG9jLnhtbFBLBQYAAAAABgAG&#10;AFkBAAD1BQAAAAA=&#10;">
                <v:fill on="t" focussize="0,0"/>
                <v:stroke on="f" weight="0.5pt"/>
                <v:imagedata o:title=""/>
                <o:lock v:ext="edit" aspectratio="f"/>
                <v:textbox>
                  <w:txbxContent>
                    <w:p w14:paraId="7A24EC16">
                      <w:pPr>
                        <w:rPr>
                          <w:rFonts w:eastAsia="等线"/>
                          <w:sz w:val="16"/>
                          <w:szCs w:val="16"/>
                        </w:rPr>
                      </w:pPr>
                      <w:r>
                        <w:rPr>
                          <w:rFonts w:hint="eastAsia"/>
                          <w:sz w:val="16"/>
                          <w:szCs w:val="16"/>
                        </w:rPr>
                        <w:t>展示频道列表</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245110</wp:posOffset>
                </wp:positionH>
                <wp:positionV relativeFrom="paragraph">
                  <wp:posOffset>160020</wp:posOffset>
                </wp:positionV>
                <wp:extent cx="601345" cy="183515"/>
                <wp:effectExtent l="0" t="4445" r="16510" b="0"/>
                <wp:wrapNone/>
                <wp:docPr id="19" name="弧形 19"/>
                <wp:cNvGraphicFramePr/>
                <a:graphic xmlns:a="http://schemas.openxmlformats.org/drawingml/2006/main">
                  <a:graphicData uri="http://schemas.microsoft.com/office/word/2010/wordprocessingShape">
                    <wps:wsp>
                      <wps:cNvSpPr/>
                      <wps:spPr>
                        <a:xfrm>
                          <a:off x="0" y="0"/>
                          <a:ext cx="601345" cy="183515"/>
                        </a:xfrm>
                        <a:prstGeom prst="arc">
                          <a:avLst/>
                        </a:prstGeom>
                        <a:noFill/>
                        <a:ln w="6350" cap="flat" cmpd="sng" algn="ctr">
                          <a:solidFill>
                            <a:sysClr val="windowText" lastClr="000000"/>
                          </a:solidFill>
                          <a:prstDash val="dash"/>
                          <a:miter lim="800000"/>
                        </a:ln>
                        <a:effectLst/>
                      </wps:spPr>
                      <wps:bodyPr vert="horz" wrap="square" anchor="t" anchorCtr="0"/>
                    </wps:wsp>
                  </a:graphicData>
                </a:graphic>
              </wp:anchor>
            </w:drawing>
          </mc:Choice>
          <mc:Fallback>
            <w:pict>
              <v:shape id="_x0000_s1026" o:spid="_x0000_s1026" style="position:absolute;left:0pt;margin-left:19.3pt;margin-top:12.6pt;height:14.45pt;width:47.35pt;z-index:251677696;mso-width-relative:page;mso-height-relative:page;" filled="f" stroked="t" coordsize="601345,183515" o:gfxdata="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6uPER2AAAAAgBAAAPAAAAAAAAAAEAIAAAACIA&#10;AABkcnMvZG93bnJldi54bWxQSwECFAAUAAAACACHTuJAj9Ru0wkCAAABBAAADgAAAAAAAAABACAA&#10;AAAnAQAAZHJzL2Uyb0RvYy54bWxQSwUGAAAAAAYABgBZAQAAogUAAAAA&#10;" path="m300672,0nsc466729,0,601344,41081,601344,91757l300672,91757xem300672,0nfc466729,0,601344,41081,601344,91757e">
                <v:path o:connectlocs="300672,0;300672,91757;601345,91757" o:connectangles="164,123,82"/>
                <v:fill on="f" focussize="0,0"/>
                <v:stroke weight="0.5pt" color="#000000" miterlimit="8" joinstyle="miter" dashstyle="dash"/>
                <v:imagedata o:title=""/>
                <o:lock v:ext="edit" aspectratio="f"/>
              </v:shape>
            </w:pict>
          </mc:Fallback>
        </mc:AlternateContent>
      </w:r>
    </w:p>
    <w:p w14:paraId="4E8A8BD3">
      <w:pPr>
        <w:pStyle w:val="96"/>
        <w:widowControl/>
        <w:spacing w:line="360" w:lineRule="auto"/>
        <w:ind w:firstLine="560"/>
        <w:jc w:val="left"/>
        <w:rPr>
          <w:rFonts w:ascii="仿宋_GB2312" w:eastAsia="仿宋_GB2312"/>
          <w:color w:val="000000" w:themeColor="text1"/>
          <w:sz w:val="28"/>
          <w:szCs w:val="28"/>
          <w14:textFill>
            <w14:solidFill>
              <w14:schemeClr w14:val="tx1"/>
            </w14:solidFill>
          </w14:textFill>
        </w:rPr>
      </w:pPr>
    </w:p>
    <w:p w14:paraId="43E467E4">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终端进入直播APK时，访问AAA境外频道订购接口；</w:t>
      </w:r>
    </w:p>
    <w:p w14:paraId="77FFB8BF">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终端携带境外频道订购分组码通过HTTP GET方式向融合EPG、政企EPG系统请求EPG频道列表，前端根据境外频道订购情况，通过JSON格式返回相应的EPG频道列表。</w:t>
      </w:r>
    </w:p>
    <w:p w14:paraId="61D69819">
      <w:pPr>
        <w:numPr>
          <w:ilvl w:val="0"/>
          <w:numId w:val="25"/>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终端根据获取到的频道列表信息，展示完整的频道列表。</w:t>
      </w:r>
    </w:p>
    <w:p w14:paraId="60A32A32">
      <w:pPr>
        <w:spacing w:before="156" w:beforeLines="50" w:line="300" w:lineRule="auto"/>
        <w:ind w:firstLine="371" w:firstLineChars="176"/>
        <w:outlineLvl w:val="2"/>
        <w:rPr>
          <w:rFonts w:hint="eastAsia" w:ascii="宋体" w:hAnsi="宋体"/>
          <w:b/>
          <w:bCs/>
          <w:color w:val="000000" w:themeColor="text1"/>
          <w:szCs w:val="21"/>
          <w14:textFill>
            <w14:solidFill>
              <w14:schemeClr w14:val="tx1"/>
            </w14:solidFill>
          </w14:textFill>
        </w:rPr>
      </w:pPr>
      <w:bookmarkStart w:id="72" w:name="_Toc20078"/>
      <w:r>
        <w:rPr>
          <w:rFonts w:hint="eastAsia" w:ascii="宋体" w:hAnsi="宋体"/>
          <w:b/>
          <w:bCs/>
          <w:color w:val="000000" w:themeColor="text1"/>
          <w:szCs w:val="21"/>
          <w14:textFill>
            <w14:solidFill>
              <w14:schemeClr w14:val="tx1"/>
            </w14:solidFill>
          </w14:textFill>
        </w:rPr>
        <w:t>3.2 频道缓存流程</w:t>
      </w:r>
      <w:bookmarkEnd w:id="72"/>
    </w:p>
    <w:p w14:paraId="5DE9639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为防止融合EPG接口异常导致获取不到频道信息，且保证用户直播基本可用，需要终端系统的兜底，对最近一次的频道信息进行缓存。基本流程如下：</w:t>
      </w:r>
    </w:p>
    <w:p w14:paraId="7F03D1D1"/>
    <w:p w14:paraId="634FE095">
      <w:pPr>
        <w:pStyle w:val="27"/>
        <w:ind w:firstLine="200"/>
      </w:pPr>
      <w:r>
        <w:drawing>
          <wp:inline distT="0" distB="0" distL="114300" distR="114300">
            <wp:extent cx="5266055" cy="4206240"/>
            <wp:effectExtent l="0" t="0" r="4445" b="10160"/>
            <wp:docPr id="23" name="图片 3" descr="频道缓存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频道缓存流程"/>
                    <pic:cNvPicPr>
                      <a:picLocks noChangeAspect="1"/>
                    </pic:cNvPicPr>
                  </pic:nvPicPr>
                  <pic:blipFill>
                    <a:blip r:embed="rId15"/>
                    <a:stretch>
                      <a:fillRect/>
                    </a:stretch>
                  </pic:blipFill>
                  <pic:spPr>
                    <a:xfrm>
                      <a:off x="0" y="0"/>
                      <a:ext cx="5266055" cy="4206240"/>
                    </a:xfrm>
                    <a:prstGeom prst="rect">
                      <a:avLst/>
                    </a:prstGeom>
                    <a:noFill/>
                    <a:ln>
                      <a:noFill/>
                    </a:ln>
                  </pic:spPr>
                </pic:pic>
              </a:graphicData>
            </a:graphic>
          </wp:inline>
        </w:drawing>
      </w:r>
    </w:p>
    <w:p w14:paraId="3DA3B63A">
      <w:pPr>
        <w:spacing w:before="156" w:beforeLines="50" w:line="300" w:lineRule="auto"/>
        <w:ind w:firstLine="371" w:firstLineChars="176"/>
        <w:outlineLvl w:val="2"/>
        <w:rPr>
          <w:rFonts w:hint="eastAsia" w:ascii="宋体" w:hAnsi="宋体"/>
          <w:b/>
          <w:bCs/>
          <w:color w:val="000000"/>
          <w:szCs w:val="21"/>
        </w:rPr>
      </w:pPr>
      <w:r>
        <w:rPr>
          <w:rFonts w:hint="eastAsia" w:ascii="宋体" w:hAnsi="宋体"/>
          <w:b/>
          <w:bCs/>
          <w:color w:val="000000"/>
          <w:szCs w:val="21"/>
        </w:rPr>
        <w:t>3.3 其它情况说明</w:t>
      </w:r>
    </w:p>
    <w:p w14:paraId="3B32CC7B">
      <w:pPr>
        <w:pStyle w:val="27"/>
        <w:spacing w:after="0" w:line="360" w:lineRule="auto"/>
        <w:rPr>
          <w:sz w:val="21"/>
          <w:szCs w:val="21"/>
        </w:rPr>
      </w:pPr>
      <w:r>
        <w:rPr>
          <w:rFonts w:hint="eastAsia"/>
          <w:sz w:val="21"/>
          <w:szCs w:val="21"/>
        </w:rPr>
        <w:t>1）频道收藏：用户如果订购了境外频道，且已授权，可以收藏该频道。但如果订购过期，原来已收藏的境外频道须从频道收藏列表中删除。</w:t>
      </w:r>
    </w:p>
    <w:p w14:paraId="635383F1">
      <w:pPr>
        <w:pStyle w:val="27"/>
        <w:spacing w:after="0" w:line="360" w:lineRule="auto"/>
        <w:rPr>
          <w:sz w:val="21"/>
          <w:szCs w:val="21"/>
        </w:rPr>
      </w:pPr>
      <w:r>
        <w:rPr>
          <w:rFonts w:hint="eastAsia"/>
          <w:sz w:val="21"/>
          <w:szCs w:val="21"/>
        </w:rPr>
        <w:t>2）观看历史：用户如果订购境外频道，且已观看，可以产生观看历史。但如果订购过期，已有的境外频道观看历史将不再展示。</w:t>
      </w:r>
    </w:p>
    <w:p w14:paraId="36B9438E">
      <w:pPr>
        <w:pStyle w:val="27"/>
        <w:spacing w:after="0" w:line="360" w:lineRule="auto"/>
        <w:rPr>
          <w:sz w:val="21"/>
          <w:szCs w:val="21"/>
        </w:rPr>
      </w:pPr>
      <w:r>
        <w:rPr>
          <w:rFonts w:hint="eastAsia"/>
          <w:sz w:val="21"/>
          <w:szCs w:val="21"/>
        </w:rPr>
        <w:t>3）融合EPG、AAA详细接口对接须参考江苏有线提供的相关规范进行对接。对接过程中，须与第三方提供商沟通配合，减少平台对终端系统的依赖关系，保证接口的通用性和持续性。</w:t>
      </w:r>
    </w:p>
    <w:p w14:paraId="13C34043">
      <w:pPr>
        <w:pStyle w:val="4"/>
        <w:numPr>
          <w:ilvl w:val="0"/>
          <w:numId w:val="24"/>
        </w:numPr>
        <w:spacing w:line="300" w:lineRule="auto"/>
        <w:ind w:left="357" w:hanging="357"/>
        <w:rPr>
          <w:rFonts w:hint="eastAsia" w:ascii="宋体" w:hAnsi="宋体"/>
          <w:b/>
          <w:bCs w:val="0"/>
          <w:color w:val="000000"/>
          <w:sz w:val="21"/>
          <w:szCs w:val="21"/>
        </w:rPr>
      </w:pPr>
      <w:bookmarkStart w:id="73" w:name="_Toc25999"/>
      <w:bookmarkStart w:id="74" w:name="_Toc171695460"/>
      <w:r>
        <w:rPr>
          <w:rFonts w:hint="eastAsia" w:ascii="宋体" w:hAnsi="宋体"/>
          <w:b/>
          <w:bCs w:val="0"/>
          <w:color w:val="000000"/>
          <w:sz w:val="21"/>
          <w:szCs w:val="21"/>
        </w:rPr>
        <w:t>★ 技</w:t>
      </w:r>
      <w:r>
        <w:rPr>
          <w:rFonts w:ascii="宋体" w:hAnsi="宋体"/>
          <w:b/>
          <w:bCs w:val="0"/>
          <w:color w:val="000000"/>
          <w:sz w:val="21"/>
          <w:szCs w:val="21"/>
        </w:rPr>
        <w:t>术体系统一与继承要求</w:t>
      </w:r>
      <w:bookmarkEnd w:id="73"/>
      <w:bookmarkEnd w:id="74"/>
    </w:p>
    <w:p w14:paraId="65F8AD39">
      <w:p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4.1 技术体系继承</w:t>
      </w:r>
    </w:p>
    <w:p w14:paraId="143222E2">
      <w:pPr>
        <w:pStyle w:val="96"/>
        <w:spacing w:line="360" w:lineRule="auto"/>
        <w:ind w:firstLineChars="0"/>
        <w:jc w:val="left"/>
        <w:rPr>
          <w:rFonts w:hint="eastAsia" w:ascii="宋体" w:hAnsi="宋体"/>
          <w:bCs/>
          <w:color w:val="000000"/>
          <w:szCs w:val="21"/>
        </w:rPr>
      </w:pPr>
      <w:r>
        <w:rPr>
          <w:rFonts w:ascii="宋体" w:hAnsi="宋体"/>
          <w:bCs/>
          <w:color w:val="000000"/>
          <w:szCs w:val="21"/>
        </w:rPr>
        <w:t>为进一步收敛公司终端软件技术种类，本项目机顶盒终端升级软件必须全面遵循</w:t>
      </w:r>
      <w:r>
        <w:rPr>
          <w:rFonts w:ascii="宋体" w:hAnsi="宋体"/>
          <w:color w:val="000000"/>
          <w:szCs w:val="21"/>
        </w:rPr>
        <w:t>符合</w:t>
      </w:r>
      <w:r>
        <w:rPr>
          <w:rFonts w:hint="eastAsia" w:ascii="宋体" w:hAnsi="宋体"/>
          <w:color w:val="000000"/>
          <w:szCs w:val="21"/>
        </w:rPr>
        <w:t>国家广电</w:t>
      </w:r>
      <w:r>
        <w:rPr>
          <w:rFonts w:ascii="宋体" w:hAnsi="宋体"/>
          <w:color w:val="000000"/>
          <w:szCs w:val="21"/>
        </w:rPr>
        <w:t>总局</w:t>
      </w:r>
      <w:r>
        <w:rPr>
          <w:rFonts w:hint="eastAsia" w:ascii="宋体" w:hAnsi="宋体"/>
          <w:color w:val="000000"/>
          <w:szCs w:val="21"/>
        </w:rPr>
        <w:t>相关行业技术规范</w:t>
      </w:r>
      <w:r>
        <w:rPr>
          <w:rFonts w:hint="eastAsia" w:ascii="宋体" w:hAnsi="宋体"/>
          <w:bCs/>
          <w:color w:val="000000"/>
          <w:szCs w:val="21"/>
        </w:rPr>
        <w:t>，继承“全省通2.0”终端软件技术体系，保证现网省公司统一业务和分公司地方业务现状基本不变的情况下实现业务集成与对接，但采购人明确淘汰、替代和优化演进的业务功能除外。</w:t>
      </w:r>
    </w:p>
    <w:p w14:paraId="48EDC284">
      <w:p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4.2 业务体系继承</w:t>
      </w:r>
    </w:p>
    <w:p w14:paraId="3719C0D1">
      <w:pPr>
        <w:pStyle w:val="96"/>
        <w:spacing w:line="360" w:lineRule="auto"/>
        <w:ind w:firstLineChars="0"/>
        <w:jc w:val="left"/>
        <w:rPr>
          <w:rFonts w:hint="eastAsia" w:ascii="宋体" w:hAnsi="宋体"/>
          <w:bCs/>
          <w:color w:val="000000"/>
          <w:szCs w:val="21"/>
        </w:rPr>
      </w:pPr>
      <w:r>
        <w:rPr>
          <w:rFonts w:ascii="宋体" w:hAnsi="宋体"/>
          <w:bCs/>
          <w:color w:val="000000"/>
          <w:szCs w:val="21"/>
        </w:rPr>
        <w:t>为保证江苏有线现网业务在新软件系统下的继承性，供应商在中标以后，须承诺应完成江苏有线现网业务及分公司本地化业务的集成</w:t>
      </w:r>
      <w:r>
        <w:rPr>
          <w:rFonts w:hint="eastAsia" w:ascii="宋体" w:hAnsi="宋体"/>
          <w:bCs/>
          <w:color w:val="000000"/>
          <w:szCs w:val="21"/>
        </w:rPr>
        <w:t>工作。</w:t>
      </w:r>
    </w:p>
    <w:p w14:paraId="79672DEF">
      <w:p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4.3 功能模块继承</w:t>
      </w:r>
    </w:p>
    <w:p w14:paraId="2617156D">
      <w:pPr>
        <w:pStyle w:val="96"/>
        <w:spacing w:line="360" w:lineRule="auto"/>
        <w:ind w:firstLineChars="0"/>
        <w:jc w:val="left"/>
        <w:rPr>
          <w:rFonts w:hint="eastAsia" w:ascii="宋体" w:hAnsi="宋体"/>
          <w:bCs/>
          <w:color w:val="000000"/>
          <w:szCs w:val="21"/>
        </w:rPr>
      </w:pPr>
      <w:r>
        <w:rPr>
          <w:rFonts w:hint="eastAsia" w:ascii="宋体" w:hAnsi="宋体"/>
          <w:bCs/>
          <w:color w:val="000000"/>
          <w:szCs w:val="21"/>
        </w:rPr>
        <w:t>参与谈判的产品必须兼容和满足待改造机顶盒及其历次升级过程中现存的功能业务模块和性能指标，包括但不限于现有终端系统功能、性能、接口及承载业务等，但采购人明确淘汰、替代和优化演进的功能模块和性能指标除外。</w:t>
      </w:r>
    </w:p>
    <w:p w14:paraId="1CF3D06D">
      <w:p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4.4 淘汰优化演进</w:t>
      </w:r>
    </w:p>
    <w:p w14:paraId="38E8DCC6">
      <w:pPr>
        <w:pStyle w:val="96"/>
        <w:spacing w:line="360" w:lineRule="auto"/>
        <w:ind w:firstLineChars="0"/>
        <w:jc w:val="left"/>
        <w:rPr>
          <w:rFonts w:hint="eastAsia" w:ascii="宋体" w:hAnsi="宋体"/>
          <w:bCs/>
          <w:color w:val="000000"/>
          <w:szCs w:val="21"/>
        </w:rPr>
      </w:pPr>
      <w:r>
        <w:rPr>
          <w:rFonts w:hint="eastAsia" w:ascii="宋体" w:hAnsi="宋体"/>
          <w:bCs/>
          <w:color w:val="000000"/>
          <w:szCs w:val="21"/>
        </w:rPr>
        <w:t xml:space="preserve"> 针对采购方明确淘汰、替代和优化演进的功能业务模块和性能指标，参与谈判的产品必须配合采购方完成系统软件的调整和优化，且该调整不得影响周围其他系统的正常使用。</w:t>
      </w:r>
    </w:p>
    <w:p w14:paraId="207598FB">
      <w:pPr>
        <w:pStyle w:val="4"/>
        <w:numPr>
          <w:ilvl w:val="0"/>
          <w:numId w:val="24"/>
        </w:numPr>
        <w:spacing w:line="300" w:lineRule="auto"/>
        <w:ind w:left="357" w:hanging="357"/>
        <w:rPr>
          <w:rFonts w:hint="eastAsia" w:ascii="宋体" w:hAnsi="宋体"/>
          <w:b/>
          <w:bCs w:val="0"/>
          <w:color w:val="000000"/>
          <w:sz w:val="21"/>
          <w:szCs w:val="21"/>
        </w:rPr>
      </w:pPr>
      <w:r>
        <w:rPr>
          <w:rFonts w:hint="eastAsia" w:ascii="宋体" w:hAnsi="宋体"/>
          <w:b/>
          <w:bCs w:val="0"/>
          <w:color w:val="000000"/>
          <w:sz w:val="21"/>
          <w:szCs w:val="21"/>
        </w:rPr>
        <w:t xml:space="preserve">  ★终端系统基础内容</w:t>
      </w:r>
    </w:p>
    <w:p w14:paraId="142E6435">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终端基础系统</w:t>
      </w:r>
    </w:p>
    <w:p w14:paraId="026AAB39">
      <w:pPr>
        <w:spacing w:line="360" w:lineRule="auto"/>
        <w:ind w:firstLine="420" w:firstLineChars="200"/>
        <w:rPr>
          <w:rFonts w:hint="eastAsia" w:ascii="宋体" w:hAnsi="宋体"/>
          <w:color w:val="000000"/>
          <w:szCs w:val="21"/>
        </w:rPr>
      </w:pPr>
      <w:r>
        <w:rPr>
          <w:rFonts w:ascii="宋体" w:hAnsi="宋体"/>
          <w:color w:val="000000"/>
          <w:szCs w:val="21"/>
        </w:rPr>
        <w:t>本项目机顶盒终端升级软件以符合</w:t>
      </w:r>
      <w:r>
        <w:rPr>
          <w:rFonts w:hint="eastAsia" w:ascii="宋体" w:hAnsi="宋体"/>
          <w:color w:val="000000"/>
          <w:szCs w:val="21"/>
        </w:rPr>
        <w:t>国家广电</w:t>
      </w:r>
      <w:r>
        <w:rPr>
          <w:rFonts w:ascii="宋体" w:hAnsi="宋体"/>
          <w:color w:val="000000"/>
          <w:szCs w:val="21"/>
        </w:rPr>
        <w:t>总局</w:t>
      </w:r>
      <w:r>
        <w:rPr>
          <w:rFonts w:hint="eastAsia" w:ascii="宋体" w:hAnsi="宋体"/>
          <w:color w:val="000000"/>
          <w:szCs w:val="21"/>
        </w:rPr>
        <w:t>相关行业技术规范以及电视“双治理”要求的</w:t>
      </w:r>
      <w:r>
        <w:rPr>
          <w:rFonts w:ascii="宋体" w:hAnsi="宋体"/>
          <w:color w:val="000000"/>
          <w:szCs w:val="21"/>
        </w:rPr>
        <w:t>智能电视操作系统为基础，统一不同芯片平台的终端技术方案。应充分考虑差异化特点，要求同一款芯片平台，不同品牌厂商、不同配置、不同网络接入模型的机顶盒需采用统一系统软件。</w:t>
      </w:r>
    </w:p>
    <w:p w14:paraId="2FB847C9">
      <w:pPr>
        <w:numPr>
          <w:ilvl w:val="1"/>
          <w:numId w:val="26"/>
        </w:numPr>
        <w:spacing w:before="156" w:beforeLines="50" w:line="300" w:lineRule="auto"/>
        <w:outlineLvl w:val="2"/>
        <w:rPr>
          <w:rFonts w:hint="eastAsia" w:ascii="宋体" w:hAnsi="宋体"/>
          <w:b/>
          <w:bCs/>
          <w:color w:val="000000"/>
          <w:szCs w:val="21"/>
        </w:rPr>
      </w:pPr>
      <w:bookmarkStart w:id="75" w:name="_Toc27372"/>
      <w:bookmarkStart w:id="76" w:name="_Toc32004"/>
      <w:r>
        <w:rPr>
          <w:rFonts w:hint="eastAsia" w:ascii="宋体" w:hAnsi="宋体"/>
          <w:b/>
          <w:bCs/>
          <w:color w:val="000000"/>
          <w:szCs w:val="21"/>
        </w:rPr>
        <w:t xml:space="preserve"> </w:t>
      </w:r>
      <w:r>
        <w:rPr>
          <w:rFonts w:ascii="宋体" w:hAnsi="宋体"/>
          <w:b/>
          <w:bCs/>
          <w:color w:val="000000"/>
          <w:szCs w:val="21"/>
        </w:rPr>
        <w:t>平台</w:t>
      </w:r>
      <w:bookmarkEnd w:id="75"/>
      <w:bookmarkEnd w:id="76"/>
      <w:r>
        <w:rPr>
          <w:rFonts w:ascii="宋体" w:hAnsi="宋体"/>
          <w:b/>
          <w:bCs/>
          <w:color w:val="000000"/>
          <w:szCs w:val="21"/>
        </w:rPr>
        <w:t>对接</w:t>
      </w:r>
    </w:p>
    <w:p w14:paraId="453ADD6F">
      <w:pPr>
        <w:spacing w:line="360" w:lineRule="auto"/>
        <w:ind w:firstLine="420" w:firstLineChars="200"/>
        <w:rPr>
          <w:rFonts w:hint="eastAsia" w:ascii="宋体" w:hAnsi="宋体"/>
          <w:color w:val="000000"/>
          <w:szCs w:val="21"/>
        </w:rPr>
      </w:pPr>
      <w:r>
        <w:rPr>
          <w:rFonts w:ascii="宋体" w:hAnsi="宋体"/>
          <w:color w:val="000000"/>
          <w:szCs w:val="21"/>
        </w:rPr>
        <w:t>本项目终端系统软件须对接江苏有线IP融合业务平台，IP融合业务平台主要由运营平台、支撑平台、能力平台、多屏终端体系及安播监测体系等五大功能域组成，如</w:t>
      </w:r>
      <w:r>
        <w:rPr>
          <w:rFonts w:ascii="宋体" w:hAnsi="宋体"/>
          <w:color w:val="000000"/>
          <w:szCs w:val="21"/>
        </w:rPr>
        <w:fldChar w:fldCharType="begin"/>
      </w:r>
      <w:r>
        <w:rPr>
          <w:rFonts w:ascii="宋体" w:hAnsi="宋体"/>
          <w:color w:val="000000"/>
          <w:szCs w:val="21"/>
        </w:rPr>
        <w:instrText xml:space="preserve"> REF _Ref76570070 \h  \* MERGEFORMAT </w:instrText>
      </w:r>
      <w:r>
        <w:rPr>
          <w:rFonts w:ascii="宋体" w:hAnsi="宋体"/>
          <w:color w:val="000000"/>
          <w:szCs w:val="21"/>
        </w:rPr>
        <w:fldChar w:fldCharType="separate"/>
      </w:r>
      <w:r>
        <w:rPr>
          <w:rFonts w:ascii="宋体" w:hAnsi="宋体"/>
          <w:color w:val="000000"/>
          <w:szCs w:val="21"/>
        </w:rPr>
        <w:t>图1：IP融合业务平台总体架构图</w:t>
      </w:r>
      <w:r>
        <w:rPr>
          <w:rFonts w:ascii="宋体" w:hAnsi="宋体"/>
          <w:color w:val="000000"/>
          <w:szCs w:val="21"/>
        </w:rPr>
        <w:fldChar w:fldCharType="end"/>
      </w:r>
      <w:r>
        <w:rPr>
          <w:rFonts w:ascii="宋体" w:hAnsi="宋体"/>
          <w:color w:val="000000"/>
          <w:szCs w:val="21"/>
        </w:rPr>
        <w:t>所示。</w:t>
      </w:r>
    </w:p>
    <w:p w14:paraId="3ADD427D">
      <w:pPr>
        <w:pStyle w:val="407"/>
        <w:keepNext/>
        <w:spacing w:line="360" w:lineRule="auto"/>
        <w:jc w:val="center"/>
        <w:rPr>
          <w:rFonts w:hint="eastAsia" w:ascii="宋体" w:hAnsi="宋体"/>
          <w:color w:val="000000"/>
          <w:szCs w:val="21"/>
        </w:rPr>
      </w:pPr>
      <w:r>
        <w:rPr>
          <w:rFonts w:ascii="宋体" w:hAnsi="宋体"/>
          <w:color w:val="000000"/>
          <w:szCs w:val="21"/>
        </w:rPr>
        <w:drawing>
          <wp:inline distT="0" distB="0" distL="114300" distR="114300">
            <wp:extent cx="3914140" cy="2934970"/>
            <wp:effectExtent l="0" t="0" r="10160" b="1143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16"/>
                    <a:stretch>
                      <a:fillRect/>
                    </a:stretch>
                  </pic:blipFill>
                  <pic:spPr>
                    <a:xfrm>
                      <a:off x="0" y="0"/>
                      <a:ext cx="3914140" cy="2934970"/>
                    </a:xfrm>
                    <a:prstGeom prst="rect">
                      <a:avLst/>
                    </a:prstGeom>
                    <a:noFill/>
                    <a:ln>
                      <a:noFill/>
                    </a:ln>
                  </pic:spPr>
                </pic:pic>
              </a:graphicData>
            </a:graphic>
          </wp:inline>
        </w:drawing>
      </w:r>
    </w:p>
    <w:p w14:paraId="2452BA58">
      <w:pPr>
        <w:pStyle w:val="16"/>
        <w:spacing w:line="360" w:lineRule="auto"/>
        <w:rPr>
          <w:rFonts w:hint="eastAsia" w:ascii="宋体" w:hAnsi="宋体" w:eastAsia="宋体"/>
          <w:color w:val="000000"/>
          <w:szCs w:val="21"/>
        </w:rPr>
      </w:pPr>
      <w:bookmarkStart w:id="77" w:name="_Ref76570070"/>
      <w:r>
        <w:rPr>
          <w:rFonts w:ascii="宋体" w:hAnsi="宋体" w:eastAsia="宋体"/>
          <w:color w:val="000000"/>
          <w:szCs w:val="21"/>
        </w:rPr>
        <w:t>图</w:t>
      </w:r>
      <w:r>
        <w:rPr>
          <w:rFonts w:ascii="宋体" w:hAnsi="宋体" w:eastAsia="宋体"/>
          <w:color w:val="000000"/>
          <w:szCs w:val="21"/>
        </w:rPr>
        <w:fldChar w:fldCharType="begin"/>
      </w:r>
      <w:r>
        <w:rPr>
          <w:rFonts w:ascii="宋体" w:hAnsi="宋体" w:eastAsia="宋体"/>
          <w:color w:val="000000"/>
          <w:szCs w:val="21"/>
        </w:rPr>
        <w:instrText xml:space="preserve"> SEQ 图 \* ARABIC \s 1 </w:instrText>
      </w:r>
      <w:r>
        <w:rPr>
          <w:rFonts w:ascii="宋体" w:hAnsi="宋体" w:eastAsia="宋体"/>
          <w:color w:val="000000"/>
          <w:szCs w:val="21"/>
        </w:rPr>
        <w:fldChar w:fldCharType="separate"/>
      </w:r>
      <w:r>
        <w:rPr>
          <w:rFonts w:ascii="宋体" w:hAnsi="宋体" w:eastAsia="宋体"/>
          <w:color w:val="000000"/>
          <w:szCs w:val="21"/>
        </w:rPr>
        <w:t>1</w:t>
      </w:r>
      <w:r>
        <w:rPr>
          <w:rFonts w:ascii="宋体" w:hAnsi="宋体" w:eastAsia="宋体"/>
          <w:color w:val="000000"/>
          <w:szCs w:val="21"/>
        </w:rPr>
        <w:fldChar w:fldCharType="end"/>
      </w:r>
      <w:r>
        <w:rPr>
          <w:rFonts w:ascii="宋体" w:hAnsi="宋体" w:eastAsia="宋体"/>
          <w:color w:val="000000"/>
          <w:szCs w:val="21"/>
        </w:rPr>
        <w:t>：IP融合业务平台总体架构图</w:t>
      </w:r>
      <w:bookmarkEnd w:id="77"/>
    </w:p>
    <w:p w14:paraId="092CA033">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双向通信协议</w:t>
      </w:r>
    </w:p>
    <w:p w14:paraId="39DB3A6D">
      <w:pPr>
        <w:spacing w:line="360" w:lineRule="auto"/>
        <w:ind w:firstLine="420" w:firstLineChars="200"/>
        <w:rPr>
          <w:rFonts w:hint="eastAsia" w:ascii="宋体" w:hAnsi="宋体"/>
          <w:color w:val="000000"/>
          <w:szCs w:val="21"/>
        </w:rPr>
      </w:pPr>
      <w:r>
        <w:rPr>
          <w:rFonts w:ascii="宋体" w:hAnsi="宋体"/>
          <w:color w:val="000000"/>
          <w:szCs w:val="21"/>
        </w:rPr>
        <w:t>本项目升级软件双向通信协议以TCP/IP协议族为基础，支持IPv4/IPv6双协议栈，这些协议栈应是开放式的通信协议，不基于任何特定硬件平台。双向通信协议包括但不限于</w:t>
      </w:r>
      <w:r>
        <w:rPr>
          <w:rFonts w:ascii="宋体" w:hAnsi="宋体"/>
          <w:color w:val="000000"/>
          <w:szCs w:val="21"/>
        </w:rPr>
        <w:fldChar w:fldCharType="begin"/>
      </w:r>
      <w:r>
        <w:rPr>
          <w:rFonts w:ascii="宋体" w:hAnsi="宋体"/>
          <w:color w:val="000000"/>
          <w:szCs w:val="21"/>
        </w:rPr>
        <w:instrText xml:space="preserve"> REF _Ref153213061 \h  \* MERGEFORMAT </w:instrText>
      </w:r>
      <w:r>
        <w:rPr>
          <w:rFonts w:ascii="宋体" w:hAnsi="宋体"/>
          <w:color w:val="000000"/>
          <w:szCs w:val="21"/>
        </w:rPr>
        <w:fldChar w:fldCharType="separate"/>
      </w:r>
      <w:r>
        <w:rPr>
          <w:rFonts w:ascii="宋体" w:hAnsi="宋体"/>
          <w:color w:val="000000"/>
          <w:szCs w:val="21"/>
        </w:rPr>
        <w:t>表6：双向协议支持列表</w:t>
      </w:r>
      <w:r>
        <w:rPr>
          <w:rFonts w:ascii="宋体" w:hAnsi="宋体"/>
          <w:color w:val="000000"/>
          <w:szCs w:val="21"/>
        </w:rPr>
        <w:fldChar w:fldCharType="end"/>
      </w:r>
      <w:r>
        <w:rPr>
          <w:rFonts w:ascii="宋体" w:hAnsi="宋体"/>
          <w:color w:val="000000"/>
          <w:szCs w:val="21"/>
        </w:rPr>
        <w:t>所列功能。</w:t>
      </w:r>
    </w:p>
    <w:p w14:paraId="075360D6">
      <w:pPr>
        <w:pStyle w:val="16"/>
        <w:spacing w:line="360" w:lineRule="auto"/>
        <w:rPr>
          <w:rFonts w:hint="eastAsia" w:ascii="宋体" w:hAnsi="宋体" w:eastAsia="宋体"/>
          <w:color w:val="000000"/>
          <w:szCs w:val="21"/>
        </w:rPr>
      </w:pPr>
      <w:bookmarkStart w:id="78" w:name="_Ref153213061"/>
      <w:r>
        <w:rPr>
          <w:rFonts w:ascii="宋体" w:hAnsi="宋体" w:eastAsia="宋体"/>
          <w:color w:val="000000"/>
          <w:szCs w:val="21"/>
        </w:rPr>
        <w:t>表</w:t>
      </w:r>
      <w:r>
        <w:rPr>
          <w:rFonts w:ascii="宋体" w:hAnsi="宋体" w:eastAsia="宋体"/>
          <w:color w:val="000000"/>
          <w:szCs w:val="21"/>
        </w:rPr>
        <w:fldChar w:fldCharType="begin"/>
      </w:r>
      <w:r>
        <w:rPr>
          <w:rFonts w:ascii="宋体" w:hAnsi="宋体" w:eastAsia="宋体"/>
          <w:color w:val="000000"/>
          <w:szCs w:val="21"/>
        </w:rPr>
        <w:instrText xml:space="preserve"> SEQ 表 \* ARABIC </w:instrText>
      </w:r>
      <w:r>
        <w:rPr>
          <w:rFonts w:ascii="宋体" w:hAnsi="宋体" w:eastAsia="宋体"/>
          <w:color w:val="000000"/>
          <w:szCs w:val="21"/>
        </w:rPr>
        <w:fldChar w:fldCharType="separate"/>
      </w:r>
      <w:r>
        <w:rPr>
          <w:rFonts w:ascii="宋体" w:hAnsi="宋体" w:eastAsia="宋体"/>
          <w:color w:val="000000"/>
          <w:szCs w:val="21"/>
        </w:rPr>
        <w:t>6</w:t>
      </w:r>
      <w:r>
        <w:rPr>
          <w:rFonts w:ascii="宋体" w:hAnsi="宋体" w:eastAsia="宋体"/>
          <w:color w:val="000000"/>
          <w:szCs w:val="21"/>
        </w:rPr>
        <w:fldChar w:fldCharType="end"/>
      </w:r>
      <w:r>
        <w:rPr>
          <w:rFonts w:ascii="宋体" w:hAnsi="宋体" w:eastAsia="宋体"/>
          <w:color w:val="000000"/>
          <w:szCs w:val="21"/>
        </w:rPr>
        <w:t>：双向协议支持列表</w:t>
      </w:r>
      <w:bookmarkEnd w:id="78"/>
    </w:p>
    <w:tbl>
      <w:tblPr>
        <w:tblStyle w:val="58"/>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850"/>
        <w:gridCol w:w="894"/>
        <w:gridCol w:w="1800"/>
        <w:gridCol w:w="795"/>
        <w:gridCol w:w="3049"/>
      </w:tblGrid>
      <w:tr w14:paraId="5221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716" w:type="dxa"/>
            <w:shd w:val="clear" w:color="auto" w:fill="D9D9D9"/>
            <w:vAlign w:val="center"/>
          </w:tcPr>
          <w:p w14:paraId="70DD8F95">
            <w:pPr>
              <w:spacing w:line="360" w:lineRule="auto"/>
              <w:rPr>
                <w:rFonts w:hint="eastAsia" w:ascii="宋体" w:hAnsi="宋体"/>
                <w:b/>
                <w:color w:val="000000"/>
                <w:szCs w:val="21"/>
              </w:rPr>
            </w:pPr>
            <w:r>
              <w:rPr>
                <w:rFonts w:ascii="宋体" w:hAnsi="宋体"/>
                <w:b/>
                <w:color w:val="000000"/>
                <w:szCs w:val="21"/>
              </w:rPr>
              <w:t>类别</w:t>
            </w:r>
          </w:p>
        </w:tc>
        <w:tc>
          <w:tcPr>
            <w:tcW w:w="1744" w:type="dxa"/>
            <w:gridSpan w:val="2"/>
            <w:shd w:val="clear" w:color="auto" w:fill="D9D9D9"/>
            <w:vAlign w:val="center"/>
          </w:tcPr>
          <w:p w14:paraId="72CF188A">
            <w:pPr>
              <w:spacing w:line="360" w:lineRule="auto"/>
              <w:rPr>
                <w:rFonts w:hint="eastAsia" w:ascii="宋体" w:hAnsi="宋体"/>
                <w:b/>
                <w:color w:val="000000"/>
                <w:szCs w:val="21"/>
              </w:rPr>
            </w:pPr>
            <w:r>
              <w:rPr>
                <w:rFonts w:ascii="宋体" w:hAnsi="宋体"/>
                <w:b/>
                <w:color w:val="000000"/>
                <w:szCs w:val="21"/>
              </w:rPr>
              <w:t>功能标准</w:t>
            </w:r>
          </w:p>
        </w:tc>
        <w:tc>
          <w:tcPr>
            <w:tcW w:w="1800" w:type="dxa"/>
            <w:shd w:val="clear" w:color="auto" w:fill="D9D9D9"/>
            <w:vAlign w:val="center"/>
          </w:tcPr>
          <w:p w14:paraId="79B3C7F0">
            <w:pPr>
              <w:spacing w:line="360" w:lineRule="auto"/>
              <w:rPr>
                <w:rFonts w:hint="eastAsia" w:ascii="宋体" w:hAnsi="宋体"/>
                <w:b/>
                <w:color w:val="000000"/>
                <w:szCs w:val="21"/>
              </w:rPr>
            </w:pPr>
            <w:r>
              <w:rPr>
                <w:rFonts w:ascii="宋体" w:hAnsi="宋体"/>
                <w:b/>
                <w:color w:val="000000"/>
                <w:szCs w:val="21"/>
              </w:rPr>
              <w:t>标准制定组织</w:t>
            </w:r>
          </w:p>
        </w:tc>
        <w:tc>
          <w:tcPr>
            <w:tcW w:w="795" w:type="dxa"/>
            <w:shd w:val="clear" w:color="auto" w:fill="D9D9D9"/>
            <w:vAlign w:val="center"/>
          </w:tcPr>
          <w:p w14:paraId="18471F1D">
            <w:pPr>
              <w:spacing w:line="360" w:lineRule="auto"/>
              <w:rPr>
                <w:rFonts w:hint="eastAsia" w:ascii="宋体" w:hAnsi="宋体"/>
                <w:b/>
                <w:color w:val="000000"/>
                <w:szCs w:val="21"/>
              </w:rPr>
            </w:pPr>
            <w:r>
              <w:rPr>
                <w:rFonts w:ascii="宋体" w:hAnsi="宋体"/>
                <w:b/>
                <w:color w:val="000000"/>
                <w:szCs w:val="21"/>
              </w:rPr>
              <w:t>版本</w:t>
            </w:r>
          </w:p>
        </w:tc>
        <w:tc>
          <w:tcPr>
            <w:tcW w:w="3049" w:type="dxa"/>
            <w:shd w:val="clear" w:color="auto" w:fill="D9D9D9"/>
            <w:vAlign w:val="center"/>
          </w:tcPr>
          <w:p w14:paraId="1C8958A9">
            <w:pPr>
              <w:spacing w:line="360" w:lineRule="auto"/>
              <w:rPr>
                <w:rFonts w:hint="eastAsia" w:ascii="宋体" w:hAnsi="宋体"/>
                <w:b/>
                <w:color w:val="000000"/>
                <w:szCs w:val="21"/>
              </w:rPr>
            </w:pPr>
            <w:r>
              <w:rPr>
                <w:rFonts w:ascii="宋体" w:hAnsi="宋体"/>
                <w:b/>
                <w:color w:val="000000"/>
                <w:szCs w:val="21"/>
              </w:rPr>
              <w:t>说明</w:t>
            </w:r>
          </w:p>
        </w:tc>
      </w:tr>
      <w:tr w14:paraId="0B5F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restart"/>
            <w:vAlign w:val="center"/>
          </w:tcPr>
          <w:p w14:paraId="1B3E6845">
            <w:pPr>
              <w:spacing w:line="360" w:lineRule="auto"/>
              <w:rPr>
                <w:rFonts w:hint="eastAsia" w:ascii="宋体" w:hAnsi="宋体"/>
                <w:color w:val="000000"/>
                <w:szCs w:val="21"/>
              </w:rPr>
            </w:pPr>
            <w:r>
              <w:rPr>
                <w:rFonts w:ascii="宋体" w:hAnsi="宋体"/>
                <w:color w:val="000000"/>
                <w:szCs w:val="21"/>
              </w:rPr>
              <w:t>协议</w:t>
            </w:r>
          </w:p>
        </w:tc>
        <w:tc>
          <w:tcPr>
            <w:tcW w:w="850" w:type="dxa"/>
            <w:vMerge w:val="restart"/>
            <w:vAlign w:val="center"/>
          </w:tcPr>
          <w:p w14:paraId="562A7E93">
            <w:pPr>
              <w:spacing w:line="360" w:lineRule="auto"/>
              <w:rPr>
                <w:rFonts w:hint="eastAsia" w:ascii="宋体" w:hAnsi="宋体"/>
                <w:color w:val="000000"/>
                <w:szCs w:val="21"/>
              </w:rPr>
            </w:pPr>
            <w:r>
              <w:rPr>
                <w:rFonts w:ascii="宋体" w:hAnsi="宋体"/>
                <w:color w:val="000000"/>
                <w:szCs w:val="21"/>
              </w:rPr>
              <w:t>应用层</w:t>
            </w:r>
          </w:p>
        </w:tc>
        <w:tc>
          <w:tcPr>
            <w:tcW w:w="894" w:type="dxa"/>
            <w:vAlign w:val="center"/>
          </w:tcPr>
          <w:p w14:paraId="72465A6C">
            <w:pPr>
              <w:spacing w:line="360" w:lineRule="auto"/>
              <w:rPr>
                <w:rFonts w:hint="eastAsia" w:ascii="宋体" w:hAnsi="宋体"/>
                <w:color w:val="000000"/>
                <w:szCs w:val="21"/>
              </w:rPr>
            </w:pPr>
            <w:r>
              <w:rPr>
                <w:rFonts w:ascii="宋体" w:hAnsi="宋体"/>
                <w:color w:val="000000"/>
                <w:szCs w:val="21"/>
              </w:rPr>
              <w:t>HTTP</w:t>
            </w:r>
          </w:p>
        </w:tc>
        <w:tc>
          <w:tcPr>
            <w:tcW w:w="1800" w:type="dxa"/>
            <w:vAlign w:val="center"/>
          </w:tcPr>
          <w:p w14:paraId="07F74163">
            <w:pPr>
              <w:spacing w:line="360" w:lineRule="auto"/>
              <w:rPr>
                <w:rFonts w:hint="eastAsia" w:ascii="宋体" w:hAnsi="宋体"/>
                <w:color w:val="000000"/>
                <w:szCs w:val="21"/>
              </w:rPr>
            </w:pPr>
            <w:r>
              <w:rPr>
                <w:rFonts w:ascii="宋体" w:hAnsi="宋体"/>
                <w:color w:val="000000"/>
                <w:szCs w:val="21"/>
              </w:rPr>
              <w:t>RFC 2616</w:t>
            </w:r>
          </w:p>
        </w:tc>
        <w:tc>
          <w:tcPr>
            <w:tcW w:w="795" w:type="dxa"/>
            <w:vAlign w:val="center"/>
          </w:tcPr>
          <w:p w14:paraId="2E3BBFA7">
            <w:pPr>
              <w:spacing w:line="360" w:lineRule="auto"/>
              <w:rPr>
                <w:rFonts w:hint="eastAsia" w:ascii="宋体" w:hAnsi="宋体"/>
                <w:color w:val="000000"/>
                <w:szCs w:val="21"/>
              </w:rPr>
            </w:pPr>
            <w:r>
              <w:rPr>
                <w:rFonts w:ascii="宋体" w:hAnsi="宋体"/>
                <w:color w:val="000000"/>
                <w:szCs w:val="21"/>
              </w:rPr>
              <w:t>1.0/1.1</w:t>
            </w:r>
          </w:p>
        </w:tc>
        <w:tc>
          <w:tcPr>
            <w:tcW w:w="3049" w:type="dxa"/>
            <w:vAlign w:val="center"/>
          </w:tcPr>
          <w:p w14:paraId="1D767888">
            <w:pPr>
              <w:spacing w:line="360" w:lineRule="auto"/>
              <w:rPr>
                <w:rFonts w:hint="eastAsia" w:ascii="宋体" w:hAnsi="宋体"/>
                <w:color w:val="000000"/>
                <w:szCs w:val="21"/>
              </w:rPr>
            </w:pPr>
            <w:r>
              <w:rPr>
                <w:rFonts w:ascii="宋体" w:hAnsi="宋体"/>
                <w:color w:val="000000"/>
                <w:szCs w:val="21"/>
              </w:rPr>
              <w:t>超文本传输协议（Hypertext Transfer Protocol）</w:t>
            </w:r>
          </w:p>
        </w:tc>
      </w:tr>
      <w:tr w14:paraId="21713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continue"/>
            <w:vAlign w:val="center"/>
          </w:tcPr>
          <w:p w14:paraId="68E3EAEC">
            <w:pPr>
              <w:spacing w:line="360" w:lineRule="auto"/>
              <w:jc w:val="center"/>
              <w:rPr>
                <w:rFonts w:hint="eastAsia" w:ascii="宋体" w:hAnsi="宋体"/>
                <w:color w:val="000000"/>
                <w:szCs w:val="21"/>
              </w:rPr>
            </w:pPr>
          </w:p>
        </w:tc>
        <w:tc>
          <w:tcPr>
            <w:tcW w:w="850" w:type="dxa"/>
            <w:vMerge w:val="continue"/>
            <w:vAlign w:val="center"/>
          </w:tcPr>
          <w:p w14:paraId="7C735FFB">
            <w:pPr>
              <w:spacing w:line="360" w:lineRule="auto"/>
              <w:rPr>
                <w:rFonts w:hint="eastAsia" w:ascii="宋体" w:hAnsi="宋体"/>
                <w:color w:val="000000"/>
                <w:szCs w:val="21"/>
              </w:rPr>
            </w:pPr>
          </w:p>
        </w:tc>
        <w:tc>
          <w:tcPr>
            <w:tcW w:w="894" w:type="dxa"/>
            <w:vAlign w:val="center"/>
          </w:tcPr>
          <w:p w14:paraId="09CD2E13">
            <w:pPr>
              <w:spacing w:line="360" w:lineRule="auto"/>
              <w:rPr>
                <w:rFonts w:hint="eastAsia" w:ascii="宋体" w:hAnsi="宋体"/>
                <w:color w:val="000000"/>
                <w:szCs w:val="21"/>
              </w:rPr>
            </w:pPr>
            <w:r>
              <w:rPr>
                <w:rFonts w:ascii="宋体" w:hAnsi="宋体"/>
                <w:color w:val="000000"/>
                <w:szCs w:val="21"/>
              </w:rPr>
              <w:t>HTTPS</w:t>
            </w:r>
          </w:p>
        </w:tc>
        <w:tc>
          <w:tcPr>
            <w:tcW w:w="1800" w:type="dxa"/>
            <w:vAlign w:val="center"/>
          </w:tcPr>
          <w:p w14:paraId="2A5E90FA">
            <w:pPr>
              <w:spacing w:line="360" w:lineRule="auto"/>
              <w:rPr>
                <w:rFonts w:hint="eastAsia" w:ascii="宋体" w:hAnsi="宋体"/>
                <w:color w:val="000000"/>
                <w:szCs w:val="21"/>
              </w:rPr>
            </w:pPr>
            <w:r>
              <w:rPr>
                <w:rFonts w:ascii="宋体" w:hAnsi="宋体"/>
                <w:color w:val="000000"/>
                <w:szCs w:val="21"/>
              </w:rPr>
              <w:t>Netscape</w:t>
            </w:r>
          </w:p>
        </w:tc>
        <w:tc>
          <w:tcPr>
            <w:tcW w:w="795" w:type="dxa"/>
            <w:vAlign w:val="center"/>
          </w:tcPr>
          <w:p w14:paraId="500FDCCF">
            <w:pPr>
              <w:spacing w:line="360" w:lineRule="auto"/>
              <w:rPr>
                <w:rFonts w:hint="eastAsia" w:ascii="宋体" w:hAnsi="宋体"/>
                <w:color w:val="000000"/>
                <w:szCs w:val="21"/>
              </w:rPr>
            </w:pPr>
          </w:p>
        </w:tc>
        <w:tc>
          <w:tcPr>
            <w:tcW w:w="3049" w:type="dxa"/>
            <w:vAlign w:val="center"/>
          </w:tcPr>
          <w:p w14:paraId="77D07899">
            <w:pPr>
              <w:spacing w:line="360" w:lineRule="auto"/>
              <w:rPr>
                <w:rFonts w:hint="eastAsia" w:ascii="宋体" w:hAnsi="宋体"/>
                <w:color w:val="000000"/>
                <w:szCs w:val="21"/>
              </w:rPr>
            </w:pPr>
            <w:r>
              <w:rPr>
                <w:rFonts w:ascii="宋体" w:hAnsi="宋体"/>
                <w:color w:val="000000"/>
                <w:szCs w:val="21"/>
              </w:rPr>
              <w:t>安全超文本传输协议（Secure Hypertext Transfer Protocol）</w:t>
            </w:r>
          </w:p>
        </w:tc>
      </w:tr>
      <w:tr w14:paraId="48E6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16" w:type="dxa"/>
            <w:vMerge w:val="continue"/>
            <w:vAlign w:val="center"/>
          </w:tcPr>
          <w:p w14:paraId="66E93744">
            <w:pPr>
              <w:spacing w:line="360" w:lineRule="auto"/>
              <w:jc w:val="center"/>
              <w:rPr>
                <w:rFonts w:hint="eastAsia" w:ascii="宋体" w:hAnsi="宋体"/>
                <w:color w:val="000000"/>
                <w:szCs w:val="21"/>
              </w:rPr>
            </w:pPr>
          </w:p>
        </w:tc>
        <w:tc>
          <w:tcPr>
            <w:tcW w:w="850" w:type="dxa"/>
            <w:vMerge w:val="continue"/>
            <w:vAlign w:val="center"/>
          </w:tcPr>
          <w:p w14:paraId="5E23AD92">
            <w:pPr>
              <w:spacing w:line="360" w:lineRule="auto"/>
              <w:rPr>
                <w:rFonts w:hint="eastAsia" w:ascii="宋体" w:hAnsi="宋体"/>
                <w:color w:val="000000"/>
                <w:szCs w:val="21"/>
              </w:rPr>
            </w:pPr>
          </w:p>
        </w:tc>
        <w:tc>
          <w:tcPr>
            <w:tcW w:w="894" w:type="dxa"/>
            <w:vAlign w:val="center"/>
          </w:tcPr>
          <w:p w14:paraId="4F6B1D46">
            <w:pPr>
              <w:spacing w:line="360" w:lineRule="auto"/>
              <w:rPr>
                <w:rFonts w:hint="eastAsia" w:ascii="宋体" w:hAnsi="宋体"/>
                <w:color w:val="000000"/>
                <w:szCs w:val="21"/>
              </w:rPr>
            </w:pPr>
            <w:r>
              <w:rPr>
                <w:rFonts w:ascii="宋体" w:hAnsi="宋体"/>
                <w:color w:val="000000"/>
                <w:szCs w:val="21"/>
              </w:rPr>
              <w:t>FTP/</w:t>
            </w:r>
          </w:p>
          <w:p w14:paraId="08B7C966">
            <w:pPr>
              <w:spacing w:line="360" w:lineRule="auto"/>
              <w:rPr>
                <w:rFonts w:hint="eastAsia" w:ascii="宋体" w:hAnsi="宋体"/>
                <w:color w:val="000000"/>
                <w:szCs w:val="21"/>
              </w:rPr>
            </w:pPr>
            <w:r>
              <w:rPr>
                <w:rFonts w:ascii="宋体" w:hAnsi="宋体"/>
                <w:color w:val="000000"/>
                <w:szCs w:val="21"/>
              </w:rPr>
              <w:t>TFTP</w:t>
            </w:r>
          </w:p>
        </w:tc>
        <w:tc>
          <w:tcPr>
            <w:tcW w:w="1800" w:type="dxa"/>
            <w:vAlign w:val="center"/>
          </w:tcPr>
          <w:p w14:paraId="708010EF">
            <w:pPr>
              <w:spacing w:line="360" w:lineRule="auto"/>
              <w:rPr>
                <w:rFonts w:hint="eastAsia" w:ascii="宋体" w:hAnsi="宋体"/>
                <w:color w:val="000000"/>
                <w:szCs w:val="21"/>
              </w:rPr>
            </w:pPr>
            <w:r>
              <w:rPr>
                <w:rFonts w:ascii="宋体" w:hAnsi="宋体"/>
                <w:color w:val="000000"/>
                <w:szCs w:val="21"/>
              </w:rPr>
              <w:t>RFC 959</w:t>
            </w:r>
          </w:p>
        </w:tc>
        <w:tc>
          <w:tcPr>
            <w:tcW w:w="795" w:type="dxa"/>
            <w:vAlign w:val="center"/>
          </w:tcPr>
          <w:p w14:paraId="5EB2A5E7">
            <w:pPr>
              <w:spacing w:line="360" w:lineRule="auto"/>
              <w:rPr>
                <w:rFonts w:hint="eastAsia" w:ascii="宋体" w:hAnsi="宋体"/>
                <w:color w:val="000000"/>
                <w:szCs w:val="21"/>
              </w:rPr>
            </w:pPr>
          </w:p>
        </w:tc>
        <w:tc>
          <w:tcPr>
            <w:tcW w:w="3049" w:type="dxa"/>
            <w:vAlign w:val="center"/>
          </w:tcPr>
          <w:p w14:paraId="01C689C9">
            <w:pPr>
              <w:spacing w:line="360" w:lineRule="auto"/>
              <w:rPr>
                <w:rFonts w:hint="eastAsia" w:ascii="宋体" w:hAnsi="宋体"/>
                <w:color w:val="000000"/>
                <w:szCs w:val="21"/>
              </w:rPr>
            </w:pPr>
            <w:r>
              <w:rPr>
                <w:rFonts w:ascii="宋体" w:hAnsi="宋体"/>
                <w:color w:val="000000"/>
                <w:szCs w:val="21"/>
              </w:rPr>
              <w:t>文件传输协议（File Transfer Protocol）</w:t>
            </w:r>
          </w:p>
        </w:tc>
      </w:tr>
      <w:tr w14:paraId="4305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6" w:type="dxa"/>
            <w:vMerge w:val="continue"/>
            <w:vAlign w:val="center"/>
          </w:tcPr>
          <w:p w14:paraId="1FBF6125">
            <w:pPr>
              <w:spacing w:line="360" w:lineRule="auto"/>
              <w:jc w:val="center"/>
              <w:rPr>
                <w:rFonts w:hint="eastAsia" w:ascii="宋体" w:hAnsi="宋体"/>
                <w:color w:val="000000"/>
                <w:szCs w:val="21"/>
              </w:rPr>
            </w:pPr>
          </w:p>
        </w:tc>
        <w:tc>
          <w:tcPr>
            <w:tcW w:w="850" w:type="dxa"/>
            <w:vMerge w:val="continue"/>
            <w:vAlign w:val="center"/>
          </w:tcPr>
          <w:p w14:paraId="17634BCD">
            <w:pPr>
              <w:spacing w:line="360" w:lineRule="auto"/>
              <w:rPr>
                <w:rFonts w:hint="eastAsia" w:ascii="宋体" w:hAnsi="宋体"/>
                <w:color w:val="000000"/>
                <w:szCs w:val="21"/>
              </w:rPr>
            </w:pPr>
          </w:p>
        </w:tc>
        <w:tc>
          <w:tcPr>
            <w:tcW w:w="894" w:type="dxa"/>
            <w:vAlign w:val="center"/>
          </w:tcPr>
          <w:p w14:paraId="6C00839C">
            <w:pPr>
              <w:spacing w:line="360" w:lineRule="auto"/>
              <w:rPr>
                <w:rFonts w:hint="eastAsia" w:ascii="宋体" w:hAnsi="宋体"/>
                <w:color w:val="000000"/>
                <w:szCs w:val="21"/>
              </w:rPr>
            </w:pPr>
            <w:r>
              <w:rPr>
                <w:rFonts w:ascii="宋体" w:hAnsi="宋体"/>
                <w:color w:val="000000"/>
                <w:szCs w:val="21"/>
              </w:rPr>
              <w:t>DNS</w:t>
            </w:r>
          </w:p>
        </w:tc>
        <w:tc>
          <w:tcPr>
            <w:tcW w:w="1800" w:type="dxa"/>
            <w:vAlign w:val="center"/>
          </w:tcPr>
          <w:p w14:paraId="020A537F">
            <w:pPr>
              <w:spacing w:line="360" w:lineRule="auto"/>
              <w:rPr>
                <w:rFonts w:hint="eastAsia" w:ascii="宋体" w:hAnsi="宋体"/>
                <w:color w:val="000000"/>
                <w:szCs w:val="21"/>
              </w:rPr>
            </w:pPr>
            <w:r>
              <w:rPr>
                <w:rFonts w:ascii="宋体" w:hAnsi="宋体"/>
                <w:color w:val="000000"/>
                <w:szCs w:val="21"/>
              </w:rPr>
              <w:t>RFC 1035</w:t>
            </w:r>
          </w:p>
        </w:tc>
        <w:tc>
          <w:tcPr>
            <w:tcW w:w="795" w:type="dxa"/>
            <w:vAlign w:val="center"/>
          </w:tcPr>
          <w:p w14:paraId="5A4B0AB2">
            <w:pPr>
              <w:spacing w:line="360" w:lineRule="auto"/>
              <w:rPr>
                <w:rFonts w:hint="eastAsia" w:ascii="宋体" w:hAnsi="宋体"/>
                <w:color w:val="000000"/>
                <w:szCs w:val="21"/>
              </w:rPr>
            </w:pPr>
          </w:p>
        </w:tc>
        <w:tc>
          <w:tcPr>
            <w:tcW w:w="3049" w:type="dxa"/>
            <w:vAlign w:val="center"/>
          </w:tcPr>
          <w:p w14:paraId="5BD74EE5">
            <w:pPr>
              <w:spacing w:line="360" w:lineRule="auto"/>
              <w:rPr>
                <w:rFonts w:hint="eastAsia" w:ascii="宋体" w:hAnsi="宋体"/>
                <w:color w:val="000000"/>
                <w:szCs w:val="21"/>
              </w:rPr>
            </w:pPr>
            <w:r>
              <w:rPr>
                <w:rFonts w:ascii="宋体" w:hAnsi="宋体"/>
                <w:color w:val="000000"/>
                <w:szCs w:val="21"/>
              </w:rPr>
              <w:t>域名系统（Domain Name System）</w:t>
            </w:r>
          </w:p>
        </w:tc>
      </w:tr>
      <w:tr w14:paraId="3BDD6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5655540">
            <w:pPr>
              <w:spacing w:line="360" w:lineRule="auto"/>
              <w:jc w:val="center"/>
              <w:rPr>
                <w:rFonts w:hint="eastAsia" w:ascii="宋体" w:hAnsi="宋体"/>
                <w:color w:val="000000"/>
                <w:szCs w:val="21"/>
              </w:rPr>
            </w:pPr>
          </w:p>
        </w:tc>
        <w:tc>
          <w:tcPr>
            <w:tcW w:w="850" w:type="dxa"/>
            <w:vMerge w:val="continue"/>
            <w:vAlign w:val="center"/>
          </w:tcPr>
          <w:p w14:paraId="2904975E">
            <w:pPr>
              <w:spacing w:line="360" w:lineRule="auto"/>
              <w:rPr>
                <w:rFonts w:hint="eastAsia" w:ascii="宋体" w:hAnsi="宋体"/>
                <w:color w:val="000000"/>
                <w:szCs w:val="21"/>
              </w:rPr>
            </w:pPr>
          </w:p>
        </w:tc>
        <w:tc>
          <w:tcPr>
            <w:tcW w:w="894" w:type="dxa"/>
            <w:vAlign w:val="center"/>
          </w:tcPr>
          <w:p w14:paraId="52089D47">
            <w:pPr>
              <w:spacing w:line="360" w:lineRule="auto"/>
              <w:rPr>
                <w:rFonts w:hint="eastAsia" w:ascii="宋体" w:hAnsi="宋体"/>
                <w:color w:val="000000"/>
                <w:szCs w:val="21"/>
              </w:rPr>
            </w:pPr>
            <w:r>
              <w:rPr>
                <w:rFonts w:ascii="宋体" w:hAnsi="宋体"/>
                <w:color w:val="000000"/>
                <w:szCs w:val="21"/>
              </w:rPr>
              <w:t>NTP</w:t>
            </w:r>
          </w:p>
        </w:tc>
        <w:tc>
          <w:tcPr>
            <w:tcW w:w="1800" w:type="dxa"/>
            <w:vAlign w:val="center"/>
          </w:tcPr>
          <w:p w14:paraId="1A83C0DB">
            <w:pPr>
              <w:spacing w:line="360" w:lineRule="auto"/>
              <w:rPr>
                <w:rFonts w:hint="eastAsia" w:ascii="宋体" w:hAnsi="宋体"/>
                <w:color w:val="000000"/>
                <w:szCs w:val="21"/>
              </w:rPr>
            </w:pPr>
            <w:r>
              <w:rPr>
                <w:rFonts w:ascii="宋体" w:hAnsi="宋体"/>
                <w:color w:val="000000"/>
                <w:szCs w:val="21"/>
              </w:rPr>
              <w:t>RFC 1305</w:t>
            </w:r>
          </w:p>
        </w:tc>
        <w:tc>
          <w:tcPr>
            <w:tcW w:w="795" w:type="dxa"/>
            <w:vAlign w:val="center"/>
          </w:tcPr>
          <w:p w14:paraId="45E0C3D1">
            <w:pPr>
              <w:spacing w:line="360" w:lineRule="auto"/>
              <w:rPr>
                <w:rFonts w:hint="eastAsia" w:ascii="宋体" w:hAnsi="宋体"/>
                <w:color w:val="000000"/>
                <w:szCs w:val="21"/>
              </w:rPr>
            </w:pPr>
          </w:p>
        </w:tc>
        <w:tc>
          <w:tcPr>
            <w:tcW w:w="3049" w:type="dxa"/>
            <w:vAlign w:val="center"/>
          </w:tcPr>
          <w:p w14:paraId="3B74BA05">
            <w:pPr>
              <w:spacing w:line="360" w:lineRule="auto"/>
              <w:rPr>
                <w:rFonts w:hint="eastAsia" w:ascii="宋体" w:hAnsi="宋体"/>
                <w:color w:val="000000"/>
                <w:szCs w:val="21"/>
              </w:rPr>
            </w:pPr>
            <w:r>
              <w:rPr>
                <w:rFonts w:ascii="宋体" w:hAnsi="宋体"/>
                <w:color w:val="000000"/>
                <w:szCs w:val="21"/>
              </w:rPr>
              <w:t>网络时间协议（Network Time Protocol）</w:t>
            </w:r>
          </w:p>
        </w:tc>
      </w:tr>
      <w:tr w14:paraId="2EF5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0736B6DA">
            <w:pPr>
              <w:spacing w:line="360" w:lineRule="auto"/>
              <w:jc w:val="center"/>
              <w:rPr>
                <w:rFonts w:hint="eastAsia" w:ascii="宋体" w:hAnsi="宋体"/>
                <w:color w:val="000000"/>
                <w:szCs w:val="21"/>
              </w:rPr>
            </w:pPr>
          </w:p>
        </w:tc>
        <w:tc>
          <w:tcPr>
            <w:tcW w:w="850" w:type="dxa"/>
            <w:vMerge w:val="continue"/>
            <w:vAlign w:val="center"/>
          </w:tcPr>
          <w:p w14:paraId="4D25A32B">
            <w:pPr>
              <w:spacing w:line="360" w:lineRule="auto"/>
              <w:jc w:val="center"/>
              <w:rPr>
                <w:rFonts w:hint="eastAsia" w:ascii="宋体" w:hAnsi="宋体"/>
                <w:color w:val="000000"/>
                <w:szCs w:val="21"/>
              </w:rPr>
            </w:pPr>
          </w:p>
        </w:tc>
        <w:tc>
          <w:tcPr>
            <w:tcW w:w="894" w:type="dxa"/>
            <w:vAlign w:val="center"/>
          </w:tcPr>
          <w:p w14:paraId="58891768">
            <w:pPr>
              <w:spacing w:line="360" w:lineRule="auto"/>
              <w:rPr>
                <w:rFonts w:hint="eastAsia" w:ascii="宋体" w:hAnsi="宋体"/>
                <w:color w:val="000000"/>
                <w:szCs w:val="21"/>
              </w:rPr>
            </w:pPr>
            <w:r>
              <w:rPr>
                <w:rFonts w:ascii="宋体" w:hAnsi="宋体"/>
                <w:color w:val="000000"/>
                <w:szCs w:val="21"/>
              </w:rPr>
              <w:t>SNMP</w:t>
            </w:r>
          </w:p>
        </w:tc>
        <w:tc>
          <w:tcPr>
            <w:tcW w:w="1800" w:type="dxa"/>
            <w:vAlign w:val="center"/>
          </w:tcPr>
          <w:p w14:paraId="49866AAA">
            <w:pPr>
              <w:spacing w:line="360" w:lineRule="auto"/>
              <w:rPr>
                <w:rFonts w:hint="eastAsia" w:ascii="宋体" w:hAnsi="宋体"/>
                <w:color w:val="000000"/>
                <w:szCs w:val="21"/>
              </w:rPr>
            </w:pPr>
            <w:r>
              <w:rPr>
                <w:rFonts w:ascii="宋体" w:hAnsi="宋体"/>
                <w:color w:val="000000"/>
                <w:szCs w:val="21"/>
              </w:rPr>
              <w:t>RFC 2271-2275</w:t>
            </w:r>
          </w:p>
        </w:tc>
        <w:tc>
          <w:tcPr>
            <w:tcW w:w="795" w:type="dxa"/>
            <w:vAlign w:val="center"/>
          </w:tcPr>
          <w:p w14:paraId="072379E0">
            <w:pPr>
              <w:spacing w:line="360" w:lineRule="auto"/>
              <w:rPr>
                <w:rFonts w:hint="eastAsia" w:ascii="宋体" w:hAnsi="宋体"/>
                <w:color w:val="000000"/>
                <w:szCs w:val="21"/>
              </w:rPr>
            </w:pPr>
            <w:r>
              <w:rPr>
                <w:rFonts w:ascii="宋体" w:hAnsi="宋体"/>
                <w:color w:val="000000"/>
                <w:szCs w:val="21"/>
              </w:rPr>
              <w:t>3.0</w:t>
            </w:r>
          </w:p>
        </w:tc>
        <w:tc>
          <w:tcPr>
            <w:tcW w:w="3049" w:type="dxa"/>
            <w:vAlign w:val="center"/>
          </w:tcPr>
          <w:p w14:paraId="5148B0B2">
            <w:pPr>
              <w:spacing w:line="360" w:lineRule="auto"/>
              <w:rPr>
                <w:rFonts w:hint="eastAsia" w:ascii="宋体" w:hAnsi="宋体"/>
                <w:color w:val="000000"/>
                <w:szCs w:val="21"/>
              </w:rPr>
            </w:pPr>
            <w:r>
              <w:rPr>
                <w:rFonts w:ascii="宋体" w:hAnsi="宋体"/>
                <w:color w:val="000000"/>
                <w:szCs w:val="21"/>
              </w:rPr>
              <w:t>SNMP(Simple Network Management Protocol,简单网络管理协议), SNMP的目标是管理Internet上众多厂家生产的软件平台，</w:t>
            </w:r>
          </w:p>
        </w:tc>
      </w:tr>
      <w:tr w14:paraId="38807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07AF8BB5">
            <w:pPr>
              <w:spacing w:line="360" w:lineRule="auto"/>
              <w:jc w:val="center"/>
              <w:rPr>
                <w:rFonts w:hint="eastAsia" w:ascii="宋体" w:hAnsi="宋体"/>
                <w:color w:val="000000"/>
                <w:szCs w:val="21"/>
              </w:rPr>
            </w:pPr>
          </w:p>
        </w:tc>
        <w:tc>
          <w:tcPr>
            <w:tcW w:w="850" w:type="dxa"/>
            <w:vMerge w:val="continue"/>
            <w:vAlign w:val="center"/>
          </w:tcPr>
          <w:p w14:paraId="61755B73">
            <w:pPr>
              <w:spacing w:line="360" w:lineRule="auto"/>
              <w:jc w:val="center"/>
              <w:rPr>
                <w:rFonts w:hint="eastAsia" w:ascii="宋体" w:hAnsi="宋体"/>
                <w:color w:val="000000"/>
                <w:szCs w:val="21"/>
              </w:rPr>
            </w:pPr>
          </w:p>
        </w:tc>
        <w:tc>
          <w:tcPr>
            <w:tcW w:w="894" w:type="dxa"/>
            <w:vAlign w:val="center"/>
          </w:tcPr>
          <w:p w14:paraId="383AF673">
            <w:pPr>
              <w:spacing w:line="360" w:lineRule="auto"/>
              <w:rPr>
                <w:rFonts w:hint="eastAsia" w:ascii="宋体" w:hAnsi="宋体"/>
                <w:color w:val="000000"/>
                <w:szCs w:val="21"/>
              </w:rPr>
            </w:pPr>
            <w:r>
              <w:rPr>
                <w:rFonts w:ascii="宋体" w:hAnsi="宋体"/>
                <w:color w:val="000000"/>
                <w:szCs w:val="21"/>
              </w:rPr>
              <w:t>SDP</w:t>
            </w:r>
          </w:p>
        </w:tc>
        <w:tc>
          <w:tcPr>
            <w:tcW w:w="1800" w:type="dxa"/>
            <w:vAlign w:val="center"/>
          </w:tcPr>
          <w:p w14:paraId="6B547205">
            <w:pPr>
              <w:spacing w:line="360" w:lineRule="auto"/>
              <w:rPr>
                <w:rFonts w:hint="eastAsia" w:ascii="宋体" w:hAnsi="宋体"/>
                <w:color w:val="000000"/>
                <w:szCs w:val="21"/>
              </w:rPr>
            </w:pPr>
            <w:r>
              <w:rPr>
                <w:rFonts w:ascii="宋体" w:hAnsi="宋体"/>
                <w:color w:val="000000"/>
                <w:szCs w:val="21"/>
              </w:rPr>
              <w:t>RFC 2327</w:t>
            </w:r>
          </w:p>
        </w:tc>
        <w:tc>
          <w:tcPr>
            <w:tcW w:w="795" w:type="dxa"/>
            <w:vAlign w:val="center"/>
          </w:tcPr>
          <w:p w14:paraId="685E2DA0">
            <w:pPr>
              <w:spacing w:line="360" w:lineRule="auto"/>
              <w:rPr>
                <w:rFonts w:hint="eastAsia" w:ascii="宋体" w:hAnsi="宋体"/>
                <w:color w:val="000000"/>
                <w:szCs w:val="21"/>
              </w:rPr>
            </w:pPr>
          </w:p>
        </w:tc>
        <w:tc>
          <w:tcPr>
            <w:tcW w:w="3049" w:type="dxa"/>
            <w:vAlign w:val="center"/>
          </w:tcPr>
          <w:p w14:paraId="6849A783">
            <w:pPr>
              <w:spacing w:line="360" w:lineRule="auto"/>
              <w:rPr>
                <w:rFonts w:hint="eastAsia" w:ascii="宋体" w:hAnsi="宋体"/>
                <w:color w:val="000000"/>
                <w:szCs w:val="21"/>
              </w:rPr>
            </w:pPr>
            <w:r>
              <w:rPr>
                <w:rFonts w:ascii="宋体" w:hAnsi="宋体"/>
                <w:color w:val="000000"/>
                <w:szCs w:val="21"/>
              </w:rPr>
              <w:t>会话描述协议 ( Session Description Protocol）</w:t>
            </w:r>
          </w:p>
        </w:tc>
      </w:tr>
      <w:tr w14:paraId="6D60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7E7567FE">
            <w:pPr>
              <w:spacing w:line="360" w:lineRule="auto"/>
              <w:jc w:val="center"/>
              <w:rPr>
                <w:rFonts w:hint="eastAsia" w:ascii="宋体" w:hAnsi="宋体"/>
                <w:color w:val="000000"/>
                <w:szCs w:val="21"/>
              </w:rPr>
            </w:pPr>
          </w:p>
        </w:tc>
        <w:tc>
          <w:tcPr>
            <w:tcW w:w="850" w:type="dxa"/>
            <w:vMerge w:val="continue"/>
            <w:vAlign w:val="center"/>
          </w:tcPr>
          <w:p w14:paraId="4168159A">
            <w:pPr>
              <w:spacing w:line="360" w:lineRule="auto"/>
              <w:jc w:val="center"/>
              <w:rPr>
                <w:rFonts w:hint="eastAsia" w:ascii="宋体" w:hAnsi="宋体"/>
                <w:color w:val="000000"/>
                <w:szCs w:val="21"/>
              </w:rPr>
            </w:pPr>
          </w:p>
        </w:tc>
        <w:tc>
          <w:tcPr>
            <w:tcW w:w="894" w:type="dxa"/>
            <w:vAlign w:val="center"/>
          </w:tcPr>
          <w:p w14:paraId="606FC6A8">
            <w:pPr>
              <w:spacing w:line="360" w:lineRule="auto"/>
              <w:rPr>
                <w:rFonts w:hint="eastAsia" w:ascii="宋体" w:hAnsi="宋体"/>
                <w:color w:val="000000"/>
                <w:szCs w:val="21"/>
              </w:rPr>
            </w:pPr>
            <w:r>
              <w:rPr>
                <w:rFonts w:ascii="宋体" w:hAnsi="宋体"/>
                <w:color w:val="000000"/>
                <w:szCs w:val="21"/>
              </w:rPr>
              <w:t>RTP</w:t>
            </w:r>
          </w:p>
        </w:tc>
        <w:tc>
          <w:tcPr>
            <w:tcW w:w="1800" w:type="dxa"/>
            <w:vAlign w:val="center"/>
          </w:tcPr>
          <w:p w14:paraId="460D6F47">
            <w:pPr>
              <w:spacing w:line="360" w:lineRule="auto"/>
              <w:rPr>
                <w:rFonts w:hint="eastAsia" w:ascii="宋体" w:hAnsi="宋体"/>
                <w:color w:val="000000"/>
                <w:szCs w:val="21"/>
              </w:rPr>
            </w:pPr>
            <w:r>
              <w:rPr>
                <w:rFonts w:ascii="宋体" w:hAnsi="宋体"/>
                <w:color w:val="000000"/>
                <w:szCs w:val="21"/>
              </w:rPr>
              <w:t>RFC 1889</w:t>
            </w:r>
          </w:p>
        </w:tc>
        <w:tc>
          <w:tcPr>
            <w:tcW w:w="795" w:type="dxa"/>
            <w:vAlign w:val="center"/>
          </w:tcPr>
          <w:p w14:paraId="7FFF35DC">
            <w:pPr>
              <w:spacing w:line="360" w:lineRule="auto"/>
              <w:rPr>
                <w:rFonts w:hint="eastAsia" w:ascii="宋体" w:hAnsi="宋体"/>
                <w:color w:val="000000"/>
                <w:szCs w:val="21"/>
              </w:rPr>
            </w:pPr>
          </w:p>
        </w:tc>
        <w:tc>
          <w:tcPr>
            <w:tcW w:w="3049" w:type="dxa"/>
            <w:vAlign w:val="center"/>
          </w:tcPr>
          <w:p w14:paraId="17605DEA">
            <w:pPr>
              <w:spacing w:line="360" w:lineRule="auto"/>
              <w:rPr>
                <w:rFonts w:hint="eastAsia" w:ascii="宋体" w:hAnsi="宋体"/>
                <w:color w:val="000000"/>
                <w:szCs w:val="21"/>
              </w:rPr>
            </w:pPr>
            <w:r>
              <w:rPr>
                <w:rFonts w:ascii="宋体" w:hAnsi="宋体"/>
                <w:color w:val="000000"/>
                <w:szCs w:val="21"/>
              </w:rPr>
              <w:t>实时传送协议（Real-time Transport Protocol）</w:t>
            </w:r>
          </w:p>
        </w:tc>
      </w:tr>
      <w:tr w14:paraId="6D7B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5E03D84E">
            <w:pPr>
              <w:spacing w:line="360" w:lineRule="auto"/>
              <w:jc w:val="center"/>
              <w:rPr>
                <w:rFonts w:hint="eastAsia" w:ascii="宋体" w:hAnsi="宋体"/>
                <w:color w:val="000000"/>
                <w:szCs w:val="21"/>
              </w:rPr>
            </w:pPr>
          </w:p>
        </w:tc>
        <w:tc>
          <w:tcPr>
            <w:tcW w:w="850" w:type="dxa"/>
            <w:vMerge w:val="continue"/>
            <w:vAlign w:val="center"/>
          </w:tcPr>
          <w:p w14:paraId="716C94BF">
            <w:pPr>
              <w:spacing w:line="360" w:lineRule="auto"/>
              <w:jc w:val="center"/>
              <w:rPr>
                <w:rFonts w:hint="eastAsia" w:ascii="宋体" w:hAnsi="宋体"/>
                <w:color w:val="000000"/>
                <w:szCs w:val="21"/>
              </w:rPr>
            </w:pPr>
          </w:p>
        </w:tc>
        <w:tc>
          <w:tcPr>
            <w:tcW w:w="894" w:type="dxa"/>
            <w:vAlign w:val="center"/>
          </w:tcPr>
          <w:p w14:paraId="2C5AD687">
            <w:pPr>
              <w:spacing w:line="360" w:lineRule="auto"/>
              <w:rPr>
                <w:rFonts w:hint="eastAsia" w:ascii="宋体" w:hAnsi="宋体"/>
                <w:color w:val="000000"/>
                <w:szCs w:val="21"/>
              </w:rPr>
            </w:pPr>
            <w:r>
              <w:rPr>
                <w:rFonts w:ascii="宋体" w:hAnsi="宋体"/>
                <w:color w:val="000000"/>
                <w:szCs w:val="21"/>
              </w:rPr>
              <w:t>RTSP</w:t>
            </w:r>
          </w:p>
        </w:tc>
        <w:tc>
          <w:tcPr>
            <w:tcW w:w="1800" w:type="dxa"/>
            <w:vAlign w:val="center"/>
          </w:tcPr>
          <w:p w14:paraId="69CF029A">
            <w:pPr>
              <w:spacing w:line="360" w:lineRule="auto"/>
              <w:rPr>
                <w:rFonts w:hint="eastAsia" w:ascii="宋体" w:hAnsi="宋体"/>
                <w:color w:val="000000"/>
                <w:szCs w:val="21"/>
              </w:rPr>
            </w:pPr>
            <w:r>
              <w:rPr>
                <w:rFonts w:ascii="宋体" w:hAnsi="宋体"/>
                <w:color w:val="000000"/>
                <w:szCs w:val="21"/>
              </w:rPr>
              <w:t>RFC 2326</w:t>
            </w:r>
          </w:p>
        </w:tc>
        <w:tc>
          <w:tcPr>
            <w:tcW w:w="795" w:type="dxa"/>
            <w:vAlign w:val="center"/>
          </w:tcPr>
          <w:p w14:paraId="47E46E78">
            <w:pPr>
              <w:spacing w:line="360" w:lineRule="auto"/>
              <w:rPr>
                <w:rFonts w:hint="eastAsia" w:ascii="宋体" w:hAnsi="宋体"/>
                <w:color w:val="000000"/>
                <w:szCs w:val="21"/>
              </w:rPr>
            </w:pPr>
          </w:p>
        </w:tc>
        <w:tc>
          <w:tcPr>
            <w:tcW w:w="3049" w:type="dxa"/>
            <w:vAlign w:val="center"/>
          </w:tcPr>
          <w:p w14:paraId="6300147D">
            <w:pPr>
              <w:spacing w:line="360" w:lineRule="auto"/>
              <w:rPr>
                <w:rFonts w:hint="eastAsia" w:ascii="宋体" w:hAnsi="宋体"/>
                <w:color w:val="000000"/>
                <w:szCs w:val="21"/>
              </w:rPr>
            </w:pPr>
            <w:r>
              <w:rPr>
                <w:rFonts w:ascii="宋体" w:hAnsi="宋体"/>
                <w:color w:val="000000"/>
                <w:szCs w:val="21"/>
              </w:rPr>
              <w:t>实时流传输协议（Real Time Streaming Protocol）</w:t>
            </w:r>
          </w:p>
        </w:tc>
      </w:tr>
      <w:tr w14:paraId="611F9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09481F1">
            <w:pPr>
              <w:spacing w:line="360" w:lineRule="auto"/>
              <w:jc w:val="center"/>
              <w:rPr>
                <w:rFonts w:hint="eastAsia" w:ascii="宋体" w:hAnsi="宋体"/>
                <w:color w:val="000000"/>
                <w:szCs w:val="21"/>
              </w:rPr>
            </w:pPr>
          </w:p>
        </w:tc>
        <w:tc>
          <w:tcPr>
            <w:tcW w:w="850" w:type="dxa"/>
            <w:vMerge w:val="continue"/>
            <w:vAlign w:val="center"/>
          </w:tcPr>
          <w:p w14:paraId="76FB85F1">
            <w:pPr>
              <w:spacing w:line="360" w:lineRule="auto"/>
              <w:jc w:val="center"/>
              <w:rPr>
                <w:rFonts w:hint="eastAsia" w:ascii="宋体" w:hAnsi="宋体"/>
                <w:color w:val="000000"/>
                <w:szCs w:val="21"/>
              </w:rPr>
            </w:pPr>
          </w:p>
        </w:tc>
        <w:tc>
          <w:tcPr>
            <w:tcW w:w="894" w:type="dxa"/>
            <w:vAlign w:val="center"/>
          </w:tcPr>
          <w:p w14:paraId="5E964ECE">
            <w:pPr>
              <w:spacing w:line="360" w:lineRule="auto"/>
              <w:rPr>
                <w:rFonts w:hint="eastAsia" w:ascii="宋体" w:hAnsi="宋体"/>
                <w:color w:val="000000"/>
                <w:szCs w:val="21"/>
              </w:rPr>
            </w:pPr>
            <w:r>
              <w:rPr>
                <w:rFonts w:ascii="宋体" w:hAnsi="宋体"/>
                <w:color w:val="000000"/>
                <w:szCs w:val="21"/>
              </w:rPr>
              <w:t>DHCP</w:t>
            </w:r>
          </w:p>
        </w:tc>
        <w:tc>
          <w:tcPr>
            <w:tcW w:w="1800" w:type="dxa"/>
            <w:vAlign w:val="center"/>
          </w:tcPr>
          <w:p w14:paraId="41D32B1D">
            <w:pPr>
              <w:spacing w:line="360" w:lineRule="auto"/>
              <w:rPr>
                <w:rFonts w:hint="eastAsia" w:ascii="宋体" w:hAnsi="宋体"/>
                <w:color w:val="000000"/>
                <w:szCs w:val="21"/>
              </w:rPr>
            </w:pPr>
            <w:r>
              <w:rPr>
                <w:rFonts w:ascii="宋体" w:hAnsi="宋体"/>
                <w:color w:val="000000"/>
                <w:szCs w:val="21"/>
              </w:rPr>
              <w:t>RFC 2131</w:t>
            </w:r>
          </w:p>
        </w:tc>
        <w:tc>
          <w:tcPr>
            <w:tcW w:w="795" w:type="dxa"/>
            <w:vAlign w:val="center"/>
          </w:tcPr>
          <w:p w14:paraId="087B9ECC">
            <w:pPr>
              <w:spacing w:line="360" w:lineRule="auto"/>
              <w:rPr>
                <w:rFonts w:hint="eastAsia" w:ascii="宋体" w:hAnsi="宋体"/>
                <w:color w:val="000000"/>
                <w:szCs w:val="21"/>
              </w:rPr>
            </w:pPr>
          </w:p>
        </w:tc>
        <w:tc>
          <w:tcPr>
            <w:tcW w:w="3049" w:type="dxa"/>
            <w:vAlign w:val="center"/>
          </w:tcPr>
          <w:p w14:paraId="3145C7A2">
            <w:pPr>
              <w:spacing w:line="360" w:lineRule="auto"/>
              <w:rPr>
                <w:rFonts w:hint="eastAsia" w:ascii="宋体" w:hAnsi="宋体"/>
                <w:color w:val="000000"/>
                <w:szCs w:val="21"/>
              </w:rPr>
            </w:pPr>
            <w:r>
              <w:rPr>
                <w:rFonts w:ascii="宋体" w:hAnsi="宋体"/>
                <w:color w:val="000000"/>
                <w:szCs w:val="21"/>
              </w:rPr>
              <w:t>动态主机分配协议 (Dynamic Host Configuration Protocol)</w:t>
            </w:r>
          </w:p>
        </w:tc>
      </w:tr>
      <w:tr w14:paraId="0CFF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6F60C175">
            <w:pPr>
              <w:spacing w:line="360" w:lineRule="auto"/>
              <w:jc w:val="center"/>
              <w:rPr>
                <w:rFonts w:hint="eastAsia" w:ascii="宋体" w:hAnsi="宋体"/>
                <w:color w:val="000000"/>
                <w:szCs w:val="21"/>
              </w:rPr>
            </w:pPr>
          </w:p>
        </w:tc>
        <w:tc>
          <w:tcPr>
            <w:tcW w:w="850" w:type="dxa"/>
            <w:vMerge w:val="continue"/>
            <w:vAlign w:val="center"/>
          </w:tcPr>
          <w:p w14:paraId="070F5A08">
            <w:pPr>
              <w:spacing w:line="360" w:lineRule="auto"/>
              <w:jc w:val="center"/>
              <w:rPr>
                <w:rFonts w:hint="eastAsia" w:ascii="宋体" w:hAnsi="宋体"/>
                <w:color w:val="000000"/>
                <w:szCs w:val="21"/>
              </w:rPr>
            </w:pPr>
          </w:p>
        </w:tc>
        <w:tc>
          <w:tcPr>
            <w:tcW w:w="894" w:type="dxa"/>
            <w:vAlign w:val="center"/>
          </w:tcPr>
          <w:p w14:paraId="7A380A98">
            <w:pPr>
              <w:spacing w:line="360" w:lineRule="auto"/>
              <w:rPr>
                <w:rFonts w:hint="eastAsia" w:ascii="宋体" w:hAnsi="宋体"/>
                <w:color w:val="000000"/>
                <w:szCs w:val="21"/>
              </w:rPr>
            </w:pPr>
            <w:r>
              <w:rPr>
                <w:rFonts w:ascii="宋体" w:hAnsi="宋体"/>
                <w:color w:val="000000"/>
                <w:szCs w:val="21"/>
              </w:rPr>
              <w:t>RTCP</w:t>
            </w:r>
          </w:p>
        </w:tc>
        <w:tc>
          <w:tcPr>
            <w:tcW w:w="1800" w:type="dxa"/>
            <w:vAlign w:val="center"/>
          </w:tcPr>
          <w:p w14:paraId="51D61E0A">
            <w:pPr>
              <w:spacing w:line="360" w:lineRule="auto"/>
              <w:rPr>
                <w:rFonts w:hint="eastAsia" w:ascii="宋体" w:hAnsi="宋体"/>
                <w:color w:val="000000"/>
                <w:szCs w:val="21"/>
              </w:rPr>
            </w:pPr>
            <w:r>
              <w:rPr>
                <w:rFonts w:ascii="宋体" w:hAnsi="宋体"/>
                <w:color w:val="000000"/>
                <w:szCs w:val="21"/>
              </w:rPr>
              <w:t>RFC3550</w:t>
            </w:r>
          </w:p>
        </w:tc>
        <w:tc>
          <w:tcPr>
            <w:tcW w:w="795" w:type="dxa"/>
            <w:vAlign w:val="center"/>
          </w:tcPr>
          <w:p w14:paraId="140DB2F4">
            <w:pPr>
              <w:spacing w:line="360" w:lineRule="auto"/>
              <w:rPr>
                <w:rFonts w:hint="eastAsia" w:ascii="宋体" w:hAnsi="宋体"/>
                <w:color w:val="000000"/>
                <w:szCs w:val="21"/>
              </w:rPr>
            </w:pPr>
          </w:p>
        </w:tc>
        <w:tc>
          <w:tcPr>
            <w:tcW w:w="3049" w:type="dxa"/>
            <w:vAlign w:val="center"/>
          </w:tcPr>
          <w:p w14:paraId="337F0646">
            <w:pPr>
              <w:spacing w:line="360" w:lineRule="auto"/>
              <w:rPr>
                <w:rFonts w:hint="eastAsia" w:ascii="宋体" w:hAnsi="宋体"/>
                <w:color w:val="000000"/>
                <w:szCs w:val="21"/>
              </w:rPr>
            </w:pPr>
            <w:r>
              <w:rPr>
                <w:rFonts w:ascii="宋体" w:hAnsi="宋体"/>
                <w:color w:val="000000"/>
                <w:szCs w:val="21"/>
              </w:rPr>
              <w:t>实时传输控制协议（Realtime Transport Control Protocol）</w:t>
            </w:r>
          </w:p>
        </w:tc>
      </w:tr>
      <w:tr w14:paraId="4648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7146F050">
            <w:pPr>
              <w:spacing w:line="360" w:lineRule="auto"/>
              <w:jc w:val="center"/>
              <w:rPr>
                <w:rFonts w:hint="eastAsia" w:ascii="宋体" w:hAnsi="宋体"/>
                <w:color w:val="000000"/>
                <w:szCs w:val="21"/>
              </w:rPr>
            </w:pPr>
          </w:p>
        </w:tc>
        <w:tc>
          <w:tcPr>
            <w:tcW w:w="850" w:type="dxa"/>
            <w:vMerge w:val="continue"/>
            <w:vAlign w:val="center"/>
          </w:tcPr>
          <w:p w14:paraId="348C8CC2">
            <w:pPr>
              <w:spacing w:line="360" w:lineRule="auto"/>
              <w:jc w:val="center"/>
              <w:rPr>
                <w:rFonts w:hint="eastAsia" w:ascii="宋体" w:hAnsi="宋体"/>
                <w:color w:val="000000"/>
                <w:szCs w:val="21"/>
              </w:rPr>
            </w:pPr>
          </w:p>
        </w:tc>
        <w:tc>
          <w:tcPr>
            <w:tcW w:w="894" w:type="dxa"/>
            <w:vAlign w:val="center"/>
          </w:tcPr>
          <w:p w14:paraId="445F09BC">
            <w:pPr>
              <w:spacing w:line="360" w:lineRule="auto"/>
              <w:rPr>
                <w:rFonts w:hint="eastAsia" w:ascii="宋体" w:hAnsi="宋体"/>
                <w:color w:val="000000"/>
                <w:szCs w:val="21"/>
              </w:rPr>
            </w:pPr>
            <w:r>
              <w:rPr>
                <w:rFonts w:ascii="宋体" w:hAnsi="宋体"/>
                <w:color w:val="000000"/>
                <w:szCs w:val="21"/>
              </w:rPr>
              <w:t>TR069</w:t>
            </w:r>
          </w:p>
        </w:tc>
        <w:tc>
          <w:tcPr>
            <w:tcW w:w="1800" w:type="dxa"/>
            <w:vAlign w:val="center"/>
          </w:tcPr>
          <w:p w14:paraId="35C1AA85">
            <w:pPr>
              <w:spacing w:line="360" w:lineRule="auto"/>
              <w:rPr>
                <w:rFonts w:hint="eastAsia" w:ascii="宋体" w:hAnsi="宋体"/>
                <w:color w:val="000000"/>
                <w:szCs w:val="21"/>
              </w:rPr>
            </w:pPr>
          </w:p>
        </w:tc>
        <w:tc>
          <w:tcPr>
            <w:tcW w:w="795" w:type="dxa"/>
            <w:vAlign w:val="center"/>
          </w:tcPr>
          <w:p w14:paraId="18C6896D">
            <w:pPr>
              <w:spacing w:line="360" w:lineRule="auto"/>
              <w:rPr>
                <w:rFonts w:hint="eastAsia" w:ascii="宋体" w:hAnsi="宋体"/>
                <w:color w:val="000000"/>
                <w:szCs w:val="21"/>
              </w:rPr>
            </w:pPr>
          </w:p>
        </w:tc>
        <w:tc>
          <w:tcPr>
            <w:tcW w:w="3049" w:type="dxa"/>
            <w:vAlign w:val="center"/>
          </w:tcPr>
          <w:p w14:paraId="2C2433F9">
            <w:pPr>
              <w:spacing w:line="360" w:lineRule="auto"/>
              <w:rPr>
                <w:rFonts w:hint="eastAsia" w:ascii="宋体" w:hAnsi="宋体"/>
                <w:color w:val="000000"/>
                <w:szCs w:val="21"/>
              </w:rPr>
            </w:pPr>
            <w:r>
              <w:rPr>
                <w:rFonts w:ascii="宋体" w:hAnsi="宋体"/>
                <w:color w:val="000000"/>
                <w:szCs w:val="21"/>
              </w:rPr>
              <w:t>CPE广域网管理协议</w:t>
            </w:r>
          </w:p>
        </w:tc>
      </w:tr>
      <w:tr w14:paraId="6655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F1435A3">
            <w:pPr>
              <w:spacing w:line="360" w:lineRule="auto"/>
              <w:jc w:val="center"/>
              <w:rPr>
                <w:rFonts w:hint="eastAsia" w:ascii="宋体" w:hAnsi="宋体"/>
                <w:color w:val="000000"/>
                <w:szCs w:val="21"/>
              </w:rPr>
            </w:pPr>
          </w:p>
        </w:tc>
        <w:tc>
          <w:tcPr>
            <w:tcW w:w="850" w:type="dxa"/>
            <w:vMerge w:val="restart"/>
            <w:vAlign w:val="center"/>
          </w:tcPr>
          <w:p w14:paraId="2ED75694">
            <w:pPr>
              <w:spacing w:line="360" w:lineRule="auto"/>
              <w:rPr>
                <w:rFonts w:hint="eastAsia" w:ascii="宋体" w:hAnsi="宋体"/>
                <w:color w:val="000000"/>
                <w:szCs w:val="21"/>
              </w:rPr>
            </w:pPr>
            <w:r>
              <w:rPr>
                <w:rFonts w:ascii="宋体" w:hAnsi="宋体"/>
                <w:color w:val="000000"/>
                <w:szCs w:val="21"/>
              </w:rPr>
              <w:t>传输层</w:t>
            </w:r>
          </w:p>
        </w:tc>
        <w:tc>
          <w:tcPr>
            <w:tcW w:w="894" w:type="dxa"/>
            <w:vAlign w:val="center"/>
          </w:tcPr>
          <w:p w14:paraId="72C0E704">
            <w:pPr>
              <w:spacing w:line="360" w:lineRule="auto"/>
              <w:rPr>
                <w:rFonts w:hint="eastAsia" w:ascii="宋体" w:hAnsi="宋体"/>
                <w:color w:val="000000"/>
                <w:szCs w:val="21"/>
              </w:rPr>
            </w:pPr>
            <w:r>
              <w:rPr>
                <w:rFonts w:ascii="宋体" w:hAnsi="宋体"/>
                <w:color w:val="000000"/>
                <w:szCs w:val="21"/>
              </w:rPr>
              <w:t>TCP</w:t>
            </w:r>
          </w:p>
        </w:tc>
        <w:tc>
          <w:tcPr>
            <w:tcW w:w="1800" w:type="dxa"/>
            <w:vAlign w:val="center"/>
          </w:tcPr>
          <w:p w14:paraId="223F45D1">
            <w:pPr>
              <w:spacing w:line="360" w:lineRule="auto"/>
              <w:rPr>
                <w:rFonts w:hint="eastAsia" w:ascii="宋体" w:hAnsi="宋体"/>
                <w:color w:val="000000"/>
                <w:szCs w:val="21"/>
              </w:rPr>
            </w:pPr>
            <w:r>
              <w:rPr>
                <w:rFonts w:ascii="宋体" w:hAnsi="宋体"/>
                <w:color w:val="000000"/>
                <w:szCs w:val="21"/>
              </w:rPr>
              <w:t>RFC 793</w:t>
            </w:r>
          </w:p>
        </w:tc>
        <w:tc>
          <w:tcPr>
            <w:tcW w:w="795" w:type="dxa"/>
            <w:vAlign w:val="center"/>
          </w:tcPr>
          <w:p w14:paraId="68A537DA">
            <w:pPr>
              <w:spacing w:line="360" w:lineRule="auto"/>
              <w:rPr>
                <w:rFonts w:hint="eastAsia" w:ascii="宋体" w:hAnsi="宋体"/>
                <w:color w:val="000000"/>
                <w:szCs w:val="21"/>
              </w:rPr>
            </w:pPr>
          </w:p>
        </w:tc>
        <w:tc>
          <w:tcPr>
            <w:tcW w:w="3049" w:type="dxa"/>
            <w:vAlign w:val="center"/>
          </w:tcPr>
          <w:p w14:paraId="7E342801">
            <w:pPr>
              <w:spacing w:line="360" w:lineRule="auto"/>
              <w:rPr>
                <w:rFonts w:hint="eastAsia" w:ascii="宋体" w:hAnsi="宋体"/>
                <w:color w:val="000000"/>
                <w:szCs w:val="21"/>
              </w:rPr>
            </w:pPr>
            <w:r>
              <w:rPr>
                <w:rFonts w:ascii="宋体" w:hAnsi="宋体"/>
                <w:color w:val="000000"/>
                <w:szCs w:val="21"/>
              </w:rPr>
              <w:t>传输控制协议（Transmission Control Protocol ）</w:t>
            </w:r>
          </w:p>
        </w:tc>
      </w:tr>
      <w:tr w14:paraId="70DD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2720FBE">
            <w:pPr>
              <w:spacing w:line="360" w:lineRule="auto"/>
              <w:jc w:val="center"/>
              <w:rPr>
                <w:rFonts w:hint="eastAsia" w:ascii="宋体" w:hAnsi="宋体"/>
                <w:color w:val="000000"/>
                <w:szCs w:val="21"/>
              </w:rPr>
            </w:pPr>
          </w:p>
        </w:tc>
        <w:tc>
          <w:tcPr>
            <w:tcW w:w="850" w:type="dxa"/>
            <w:vMerge w:val="continue"/>
            <w:vAlign w:val="center"/>
          </w:tcPr>
          <w:p w14:paraId="1AAD143F">
            <w:pPr>
              <w:spacing w:line="360" w:lineRule="auto"/>
              <w:jc w:val="center"/>
              <w:rPr>
                <w:rFonts w:hint="eastAsia" w:ascii="宋体" w:hAnsi="宋体"/>
                <w:color w:val="000000"/>
                <w:szCs w:val="21"/>
              </w:rPr>
            </w:pPr>
          </w:p>
        </w:tc>
        <w:tc>
          <w:tcPr>
            <w:tcW w:w="894" w:type="dxa"/>
            <w:vAlign w:val="center"/>
          </w:tcPr>
          <w:p w14:paraId="2C75ABAA">
            <w:pPr>
              <w:spacing w:line="360" w:lineRule="auto"/>
              <w:rPr>
                <w:rFonts w:hint="eastAsia" w:ascii="宋体" w:hAnsi="宋体"/>
                <w:color w:val="000000"/>
                <w:szCs w:val="21"/>
              </w:rPr>
            </w:pPr>
            <w:r>
              <w:rPr>
                <w:rFonts w:ascii="宋体" w:hAnsi="宋体"/>
                <w:color w:val="000000"/>
                <w:szCs w:val="21"/>
              </w:rPr>
              <w:t>UDP</w:t>
            </w:r>
          </w:p>
        </w:tc>
        <w:tc>
          <w:tcPr>
            <w:tcW w:w="1800" w:type="dxa"/>
            <w:vAlign w:val="center"/>
          </w:tcPr>
          <w:p w14:paraId="214D69AD">
            <w:pPr>
              <w:spacing w:line="360" w:lineRule="auto"/>
              <w:rPr>
                <w:rFonts w:hint="eastAsia" w:ascii="宋体" w:hAnsi="宋体"/>
                <w:color w:val="000000"/>
                <w:szCs w:val="21"/>
              </w:rPr>
            </w:pPr>
            <w:r>
              <w:rPr>
                <w:rFonts w:ascii="宋体" w:hAnsi="宋体"/>
                <w:color w:val="000000"/>
                <w:szCs w:val="21"/>
              </w:rPr>
              <w:t>RFC 768</w:t>
            </w:r>
          </w:p>
        </w:tc>
        <w:tc>
          <w:tcPr>
            <w:tcW w:w="795" w:type="dxa"/>
            <w:vAlign w:val="center"/>
          </w:tcPr>
          <w:p w14:paraId="1EFACEF8">
            <w:pPr>
              <w:spacing w:line="360" w:lineRule="auto"/>
              <w:rPr>
                <w:rFonts w:hint="eastAsia" w:ascii="宋体" w:hAnsi="宋体"/>
                <w:color w:val="000000"/>
                <w:szCs w:val="21"/>
              </w:rPr>
            </w:pPr>
          </w:p>
        </w:tc>
        <w:tc>
          <w:tcPr>
            <w:tcW w:w="3049" w:type="dxa"/>
            <w:vAlign w:val="center"/>
          </w:tcPr>
          <w:p w14:paraId="599175DE">
            <w:pPr>
              <w:spacing w:line="360" w:lineRule="auto"/>
              <w:rPr>
                <w:rFonts w:hint="eastAsia" w:ascii="宋体" w:hAnsi="宋体"/>
                <w:color w:val="000000"/>
                <w:szCs w:val="21"/>
              </w:rPr>
            </w:pPr>
            <w:r>
              <w:rPr>
                <w:rFonts w:ascii="宋体" w:hAnsi="宋体"/>
                <w:color w:val="000000"/>
                <w:szCs w:val="21"/>
              </w:rPr>
              <w:t>用户数据报协议(User Datagram Protocol）</w:t>
            </w:r>
          </w:p>
        </w:tc>
      </w:tr>
      <w:tr w14:paraId="1EEF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16" w:type="dxa"/>
            <w:vMerge w:val="continue"/>
            <w:vAlign w:val="center"/>
          </w:tcPr>
          <w:p w14:paraId="2B4406C1">
            <w:pPr>
              <w:spacing w:line="360" w:lineRule="auto"/>
              <w:jc w:val="center"/>
              <w:rPr>
                <w:rFonts w:hint="eastAsia" w:ascii="宋体" w:hAnsi="宋体"/>
                <w:color w:val="000000"/>
                <w:szCs w:val="21"/>
              </w:rPr>
            </w:pPr>
          </w:p>
        </w:tc>
        <w:tc>
          <w:tcPr>
            <w:tcW w:w="850" w:type="dxa"/>
            <w:vMerge w:val="restart"/>
            <w:vAlign w:val="center"/>
          </w:tcPr>
          <w:p w14:paraId="55357517">
            <w:pPr>
              <w:spacing w:line="360" w:lineRule="auto"/>
              <w:rPr>
                <w:rFonts w:hint="eastAsia" w:ascii="宋体" w:hAnsi="宋体"/>
                <w:color w:val="000000"/>
                <w:szCs w:val="21"/>
              </w:rPr>
            </w:pPr>
            <w:r>
              <w:rPr>
                <w:rFonts w:ascii="宋体" w:hAnsi="宋体"/>
                <w:color w:val="000000"/>
                <w:szCs w:val="21"/>
              </w:rPr>
              <w:t>网络层</w:t>
            </w:r>
          </w:p>
        </w:tc>
        <w:tc>
          <w:tcPr>
            <w:tcW w:w="894" w:type="dxa"/>
            <w:vAlign w:val="center"/>
          </w:tcPr>
          <w:p w14:paraId="23F6031C">
            <w:pPr>
              <w:spacing w:line="360" w:lineRule="auto"/>
              <w:rPr>
                <w:rFonts w:hint="eastAsia" w:ascii="宋体" w:hAnsi="宋体"/>
                <w:color w:val="000000"/>
                <w:szCs w:val="21"/>
              </w:rPr>
            </w:pPr>
            <w:r>
              <w:rPr>
                <w:rFonts w:ascii="宋体" w:hAnsi="宋体"/>
                <w:color w:val="000000"/>
                <w:szCs w:val="21"/>
              </w:rPr>
              <w:t>IP</w:t>
            </w:r>
          </w:p>
        </w:tc>
        <w:tc>
          <w:tcPr>
            <w:tcW w:w="1800" w:type="dxa"/>
            <w:vAlign w:val="center"/>
          </w:tcPr>
          <w:p w14:paraId="25363387">
            <w:pPr>
              <w:spacing w:line="360" w:lineRule="auto"/>
              <w:rPr>
                <w:rFonts w:hint="eastAsia" w:ascii="宋体" w:hAnsi="宋体"/>
                <w:color w:val="000000"/>
                <w:szCs w:val="21"/>
              </w:rPr>
            </w:pPr>
            <w:r>
              <w:rPr>
                <w:rFonts w:ascii="宋体" w:hAnsi="宋体"/>
                <w:color w:val="000000"/>
                <w:szCs w:val="21"/>
              </w:rPr>
              <w:t>RFC 791</w:t>
            </w:r>
          </w:p>
        </w:tc>
        <w:tc>
          <w:tcPr>
            <w:tcW w:w="795" w:type="dxa"/>
            <w:vAlign w:val="center"/>
          </w:tcPr>
          <w:p w14:paraId="0FB23990">
            <w:pPr>
              <w:spacing w:line="360" w:lineRule="auto"/>
              <w:rPr>
                <w:rFonts w:hint="eastAsia" w:ascii="宋体" w:hAnsi="宋体"/>
                <w:color w:val="000000"/>
                <w:szCs w:val="21"/>
              </w:rPr>
            </w:pPr>
          </w:p>
        </w:tc>
        <w:tc>
          <w:tcPr>
            <w:tcW w:w="3049" w:type="dxa"/>
            <w:vAlign w:val="center"/>
          </w:tcPr>
          <w:p w14:paraId="7EC5DA72">
            <w:pPr>
              <w:spacing w:line="360" w:lineRule="auto"/>
              <w:rPr>
                <w:rFonts w:hint="eastAsia" w:ascii="宋体" w:hAnsi="宋体"/>
                <w:color w:val="000000"/>
                <w:szCs w:val="21"/>
              </w:rPr>
            </w:pPr>
            <w:r>
              <w:rPr>
                <w:rFonts w:ascii="宋体" w:hAnsi="宋体"/>
                <w:color w:val="000000"/>
                <w:szCs w:val="21"/>
              </w:rPr>
              <w:t>Internet Protocol</w:t>
            </w:r>
          </w:p>
        </w:tc>
      </w:tr>
      <w:tr w14:paraId="0F2D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C80A308">
            <w:pPr>
              <w:spacing w:line="360" w:lineRule="auto"/>
              <w:jc w:val="center"/>
              <w:rPr>
                <w:rFonts w:hint="eastAsia" w:ascii="宋体" w:hAnsi="宋体"/>
                <w:color w:val="000000"/>
                <w:szCs w:val="21"/>
              </w:rPr>
            </w:pPr>
          </w:p>
        </w:tc>
        <w:tc>
          <w:tcPr>
            <w:tcW w:w="850" w:type="dxa"/>
            <w:vMerge w:val="continue"/>
            <w:vAlign w:val="center"/>
          </w:tcPr>
          <w:p w14:paraId="0B66CABC">
            <w:pPr>
              <w:spacing w:line="360" w:lineRule="auto"/>
              <w:jc w:val="center"/>
              <w:rPr>
                <w:rFonts w:hint="eastAsia" w:ascii="宋体" w:hAnsi="宋体"/>
                <w:color w:val="000000"/>
                <w:szCs w:val="21"/>
              </w:rPr>
            </w:pPr>
          </w:p>
        </w:tc>
        <w:tc>
          <w:tcPr>
            <w:tcW w:w="894" w:type="dxa"/>
            <w:vAlign w:val="center"/>
          </w:tcPr>
          <w:p w14:paraId="39607F26">
            <w:pPr>
              <w:spacing w:line="360" w:lineRule="auto"/>
              <w:rPr>
                <w:rFonts w:hint="eastAsia" w:ascii="宋体" w:hAnsi="宋体"/>
                <w:color w:val="000000"/>
                <w:szCs w:val="21"/>
              </w:rPr>
            </w:pPr>
            <w:r>
              <w:rPr>
                <w:rFonts w:ascii="宋体" w:hAnsi="宋体"/>
                <w:color w:val="000000"/>
                <w:szCs w:val="21"/>
              </w:rPr>
              <w:t>ICMP</w:t>
            </w:r>
          </w:p>
        </w:tc>
        <w:tc>
          <w:tcPr>
            <w:tcW w:w="1800" w:type="dxa"/>
            <w:vAlign w:val="center"/>
          </w:tcPr>
          <w:p w14:paraId="1F5BF94E">
            <w:pPr>
              <w:spacing w:line="360" w:lineRule="auto"/>
              <w:rPr>
                <w:rFonts w:hint="eastAsia" w:ascii="宋体" w:hAnsi="宋体"/>
                <w:color w:val="000000"/>
                <w:szCs w:val="21"/>
              </w:rPr>
            </w:pPr>
            <w:r>
              <w:rPr>
                <w:rFonts w:ascii="宋体" w:hAnsi="宋体"/>
                <w:color w:val="000000"/>
                <w:szCs w:val="21"/>
              </w:rPr>
              <w:t>RFC 792</w:t>
            </w:r>
          </w:p>
        </w:tc>
        <w:tc>
          <w:tcPr>
            <w:tcW w:w="795" w:type="dxa"/>
            <w:vAlign w:val="center"/>
          </w:tcPr>
          <w:p w14:paraId="7E540297">
            <w:pPr>
              <w:spacing w:line="360" w:lineRule="auto"/>
              <w:rPr>
                <w:rFonts w:hint="eastAsia" w:ascii="宋体" w:hAnsi="宋体"/>
                <w:color w:val="000000"/>
                <w:szCs w:val="21"/>
              </w:rPr>
            </w:pPr>
          </w:p>
        </w:tc>
        <w:tc>
          <w:tcPr>
            <w:tcW w:w="3049" w:type="dxa"/>
            <w:vAlign w:val="center"/>
          </w:tcPr>
          <w:p w14:paraId="2EDC21A4">
            <w:pPr>
              <w:spacing w:line="360" w:lineRule="auto"/>
              <w:rPr>
                <w:rFonts w:hint="eastAsia" w:ascii="宋体" w:hAnsi="宋体"/>
                <w:color w:val="000000"/>
                <w:szCs w:val="21"/>
              </w:rPr>
            </w:pPr>
            <w:r>
              <w:rPr>
                <w:rFonts w:ascii="宋体" w:hAnsi="宋体"/>
                <w:color w:val="000000"/>
                <w:szCs w:val="21"/>
              </w:rPr>
              <w:t>Internet控制报文协议(Internet Control Message Protocol)</w:t>
            </w:r>
          </w:p>
        </w:tc>
      </w:tr>
      <w:tr w14:paraId="5928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0F30C05">
            <w:pPr>
              <w:spacing w:line="360" w:lineRule="auto"/>
              <w:jc w:val="center"/>
              <w:rPr>
                <w:rFonts w:hint="eastAsia" w:ascii="宋体" w:hAnsi="宋体"/>
                <w:color w:val="000000"/>
                <w:szCs w:val="21"/>
              </w:rPr>
            </w:pPr>
          </w:p>
        </w:tc>
        <w:tc>
          <w:tcPr>
            <w:tcW w:w="850" w:type="dxa"/>
            <w:vMerge w:val="continue"/>
            <w:vAlign w:val="center"/>
          </w:tcPr>
          <w:p w14:paraId="7DF453F5">
            <w:pPr>
              <w:spacing w:line="360" w:lineRule="auto"/>
              <w:jc w:val="center"/>
              <w:rPr>
                <w:rFonts w:hint="eastAsia" w:ascii="宋体" w:hAnsi="宋体"/>
                <w:color w:val="000000"/>
                <w:szCs w:val="21"/>
              </w:rPr>
            </w:pPr>
          </w:p>
        </w:tc>
        <w:tc>
          <w:tcPr>
            <w:tcW w:w="894" w:type="dxa"/>
            <w:vAlign w:val="center"/>
          </w:tcPr>
          <w:p w14:paraId="32284200">
            <w:pPr>
              <w:spacing w:line="360" w:lineRule="auto"/>
              <w:rPr>
                <w:rFonts w:hint="eastAsia" w:ascii="宋体" w:hAnsi="宋体"/>
                <w:color w:val="000000"/>
                <w:szCs w:val="21"/>
              </w:rPr>
            </w:pPr>
            <w:r>
              <w:rPr>
                <w:rFonts w:ascii="宋体" w:hAnsi="宋体"/>
                <w:color w:val="000000"/>
                <w:szCs w:val="21"/>
              </w:rPr>
              <w:t>IGMP</w:t>
            </w:r>
          </w:p>
        </w:tc>
        <w:tc>
          <w:tcPr>
            <w:tcW w:w="1800" w:type="dxa"/>
            <w:vAlign w:val="center"/>
          </w:tcPr>
          <w:p w14:paraId="35226D4A">
            <w:pPr>
              <w:spacing w:line="360" w:lineRule="auto"/>
              <w:rPr>
                <w:rFonts w:hint="eastAsia" w:ascii="宋体" w:hAnsi="宋体"/>
                <w:color w:val="000000"/>
                <w:szCs w:val="21"/>
              </w:rPr>
            </w:pPr>
            <w:r>
              <w:rPr>
                <w:rFonts w:ascii="宋体" w:hAnsi="宋体"/>
                <w:color w:val="000000"/>
                <w:szCs w:val="21"/>
              </w:rPr>
              <w:t>RFC 2236/3376</w:t>
            </w:r>
          </w:p>
        </w:tc>
        <w:tc>
          <w:tcPr>
            <w:tcW w:w="795" w:type="dxa"/>
            <w:vAlign w:val="center"/>
          </w:tcPr>
          <w:p w14:paraId="25FBF721">
            <w:pPr>
              <w:spacing w:line="360" w:lineRule="auto"/>
              <w:rPr>
                <w:rFonts w:hint="eastAsia" w:ascii="宋体" w:hAnsi="宋体"/>
                <w:color w:val="000000"/>
                <w:szCs w:val="21"/>
              </w:rPr>
            </w:pPr>
          </w:p>
        </w:tc>
        <w:tc>
          <w:tcPr>
            <w:tcW w:w="3049" w:type="dxa"/>
            <w:vAlign w:val="center"/>
          </w:tcPr>
          <w:p w14:paraId="4A1C270A">
            <w:pPr>
              <w:spacing w:line="360" w:lineRule="auto"/>
              <w:rPr>
                <w:rFonts w:hint="eastAsia" w:ascii="宋体" w:hAnsi="宋体"/>
                <w:color w:val="000000"/>
                <w:szCs w:val="21"/>
              </w:rPr>
            </w:pPr>
            <w:r>
              <w:rPr>
                <w:rFonts w:ascii="宋体" w:hAnsi="宋体"/>
                <w:color w:val="000000"/>
                <w:szCs w:val="21"/>
              </w:rPr>
              <w:t>Internet组管理协议（Internet Group Management Protocol）</w:t>
            </w:r>
          </w:p>
        </w:tc>
      </w:tr>
      <w:tr w14:paraId="4D10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391304F9">
            <w:pPr>
              <w:spacing w:line="360" w:lineRule="auto"/>
              <w:jc w:val="center"/>
              <w:rPr>
                <w:rFonts w:hint="eastAsia" w:ascii="宋体" w:hAnsi="宋体"/>
                <w:color w:val="000000"/>
                <w:szCs w:val="21"/>
              </w:rPr>
            </w:pPr>
          </w:p>
        </w:tc>
        <w:tc>
          <w:tcPr>
            <w:tcW w:w="850" w:type="dxa"/>
            <w:vMerge w:val="continue"/>
            <w:vAlign w:val="center"/>
          </w:tcPr>
          <w:p w14:paraId="17C10B19">
            <w:pPr>
              <w:spacing w:line="360" w:lineRule="auto"/>
              <w:jc w:val="center"/>
              <w:rPr>
                <w:rFonts w:hint="eastAsia" w:ascii="宋体" w:hAnsi="宋体"/>
                <w:color w:val="000000"/>
                <w:szCs w:val="21"/>
              </w:rPr>
            </w:pPr>
          </w:p>
        </w:tc>
        <w:tc>
          <w:tcPr>
            <w:tcW w:w="894" w:type="dxa"/>
            <w:vAlign w:val="center"/>
          </w:tcPr>
          <w:p w14:paraId="4E0DC5C1">
            <w:pPr>
              <w:spacing w:line="360" w:lineRule="auto"/>
              <w:rPr>
                <w:rFonts w:hint="eastAsia" w:ascii="宋体" w:hAnsi="宋体"/>
                <w:color w:val="000000"/>
                <w:szCs w:val="21"/>
              </w:rPr>
            </w:pPr>
            <w:r>
              <w:rPr>
                <w:rFonts w:ascii="宋体" w:hAnsi="宋体"/>
                <w:color w:val="000000"/>
                <w:szCs w:val="21"/>
              </w:rPr>
              <w:t>PPPOE</w:t>
            </w:r>
          </w:p>
        </w:tc>
        <w:tc>
          <w:tcPr>
            <w:tcW w:w="1800" w:type="dxa"/>
            <w:vAlign w:val="center"/>
          </w:tcPr>
          <w:p w14:paraId="2E77A1AB">
            <w:pPr>
              <w:spacing w:line="360" w:lineRule="auto"/>
              <w:rPr>
                <w:rFonts w:hint="eastAsia" w:ascii="宋体" w:hAnsi="宋体"/>
                <w:color w:val="000000"/>
                <w:szCs w:val="21"/>
              </w:rPr>
            </w:pPr>
            <w:r>
              <w:rPr>
                <w:rFonts w:ascii="宋体" w:hAnsi="宋体"/>
                <w:color w:val="000000"/>
                <w:szCs w:val="21"/>
              </w:rPr>
              <w:t>RFC 2516</w:t>
            </w:r>
          </w:p>
        </w:tc>
        <w:tc>
          <w:tcPr>
            <w:tcW w:w="795" w:type="dxa"/>
            <w:vAlign w:val="center"/>
          </w:tcPr>
          <w:p w14:paraId="1B4852CB">
            <w:pPr>
              <w:spacing w:line="360" w:lineRule="auto"/>
              <w:rPr>
                <w:rFonts w:hint="eastAsia" w:ascii="宋体" w:hAnsi="宋体"/>
                <w:color w:val="000000"/>
                <w:szCs w:val="21"/>
              </w:rPr>
            </w:pPr>
          </w:p>
        </w:tc>
        <w:tc>
          <w:tcPr>
            <w:tcW w:w="3049" w:type="dxa"/>
            <w:vAlign w:val="center"/>
          </w:tcPr>
          <w:p w14:paraId="72B9B7E3">
            <w:pPr>
              <w:spacing w:line="360" w:lineRule="auto"/>
              <w:rPr>
                <w:rFonts w:hint="eastAsia" w:ascii="宋体" w:hAnsi="宋体"/>
                <w:color w:val="000000"/>
                <w:szCs w:val="21"/>
              </w:rPr>
            </w:pPr>
            <w:r>
              <w:rPr>
                <w:rFonts w:ascii="宋体" w:hAnsi="宋体"/>
                <w:color w:val="000000"/>
                <w:szCs w:val="21"/>
              </w:rPr>
              <w:t>以太网上的 PPP (point to point protocal over Ethernet）</w:t>
            </w:r>
          </w:p>
        </w:tc>
      </w:tr>
      <w:tr w14:paraId="6034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29524A51">
            <w:pPr>
              <w:spacing w:line="360" w:lineRule="auto"/>
              <w:jc w:val="center"/>
              <w:rPr>
                <w:rFonts w:hint="eastAsia" w:ascii="宋体" w:hAnsi="宋体"/>
                <w:color w:val="000000"/>
                <w:szCs w:val="21"/>
              </w:rPr>
            </w:pPr>
          </w:p>
        </w:tc>
        <w:tc>
          <w:tcPr>
            <w:tcW w:w="850" w:type="dxa"/>
            <w:vMerge w:val="restart"/>
            <w:vAlign w:val="center"/>
          </w:tcPr>
          <w:p w14:paraId="2F6F33A3">
            <w:pPr>
              <w:spacing w:line="360" w:lineRule="auto"/>
              <w:rPr>
                <w:rFonts w:hint="eastAsia" w:ascii="宋体" w:hAnsi="宋体"/>
                <w:color w:val="000000"/>
                <w:szCs w:val="21"/>
              </w:rPr>
            </w:pPr>
            <w:r>
              <w:rPr>
                <w:rFonts w:ascii="宋体" w:hAnsi="宋体"/>
                <w:color w:val="000000"/>
                <w:szCs w:val="21"/>
              </w:rPr>
              <w:t>数据链路层</w:t>
            </w:r>
          </w:p>
        </w:tc>
        <w:tc>
          <w:tcPr>
            <w:tcW w:w="894" w:type="dxa"/>
            <w:vAlign w:val="center"/>
          </w:tcPr>
          <w:p w14:paraId="5588A053">
            <w:pPr>
              <w:spacing w:line="360" w:lineRule="auto"/>
              <w:rPr>
                <w:rFonts w:hint="eastAsia" w:ascii="宋体" w:hAnsi="宋体"/>
                <w:color w:val="000000"/>
                <w:szCs w:val="21"/>
              </w:rPr>
            </w:pPr>
            <w:r>
              <w:rPr>
                <w:rFonts w:ascii="宋体" w:hAnsi="宋体"/>
                <w:color w:val="000000"/>
                <w:szCs w:val="21"/>
              </w:rPr>
              <w:t>ARP</w:t>
            </w:r>
          </w:p>
        </w:tc>
        <w:tc>
          <w:tcPr>
            <w:tcW w:w="1800" w:type="dxa"/>
            <w:vAlign w:val="center"/>
          </w:tcPr>
          <w:p w14:paraId="35A72EB0">
            <w:pPr>
              <w:spacing w:line="360" w:lineRule="auto"/>
              <w:rPr>
                <w:rFonts w:hint="eastAsia" w:ascii="宋体" w:hAnsi="宋体"/>
                <w:color w:val="000000"/>
                <w:szCs w:val="21"/>
              </w:rPr>
            </w:pPr>
            <w:r>
              <w:rPr>
                <w:rFonts w:ascii="宋体" w:hAnsi="宋体"/>
                <w:color w:val="000000"/>
                <w:szCs w:val="21"/>
              </w:rPr>
              <w:t>RFC 826</w:t>
            </w:r>
          </w:p>
        </w:tc>
        <w:tc>
          <w:tcPr>
            <w:tcW w:w="795" w:type="dxa"/>
            <w:vAlign w:val="center"/>
          </w:tcPr>
          <w:p w14:paraId="0316870F">
            <w:pPr>
              <w:spacing w:line="360" w:lineRule="auto"/>
              <w:rPr>
                <w:rFonts w:hint="eastAsia" w:ascii="宋体" w:hAnsi="宋体"/>
                <w:color w:val="000000"/>
                <w:szCs w:val="21"/>
              </w:rPr>
            </w:pPr>
          </w:p>
        </w:tc>
        <w:tc>
          <w:tcPr>
            <w:tcW w:w="3049" w:type="dxa"/>
            <w:vAlign w:val="center"/>
          </w:tcPr>
          <w:p w14:paraId="52DAB6D7">
            <w:pPr>
              <w:spacing w:line="360" w:lineRule="auto"/>
              <w:rPr>
                <w:rFonts w:hint="eastAsia" w:ascii="宋体" w:hAnsi="宋体"/>
                <w:color w:val="000000"/>
                <w:szCs w:val="21"/>
              </w:rPr>
            </w:pPr>
            <w:r>
              <w:rPr>
                <w:rFonts w:ascii="宋体" w:hAnsi="宋体"/>
                <w:color w:val="000000"/>
                <w:szCs w:val="21"/>
              </w:rPr>
              <w:t>地址解析协议(Address Resolution Protocol)</w:t>
            </w:r>
          </w:p>
        </w:tc>
      </w:tr>
      <w:tr w14:paraId="37207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16" w:type="dxa"/>
            <w:vMerge w:val="continue"/>
            <w:vAlign w:val="center"/>
          </w:tcPr>
          <w:p w14:paraId="182C0907">
            <w:pPr>
              <w:spacing w:line="360" w:lineRule="auto"/>
              <w:jc w:val="center"/>
              <w:rPr>
                <w:rFonts w:hint="eastAsia" w:ascii="宋体" w:hAnsi="宋体"/>
                <w:color w:val="000000"/>
                <w:szCs w:val="21"/>
              </w:rPr>
            </w:pPr>
          </w:p>
        </w:tc>
        <w:tc>
          <w:tcPr>
            <w:tcW w:w="850" w:type="dxa"/>
            <w:vMerge w:val="continue"/>
            <w:vAlign w:val="center"/>
          </w:tcPr>
          <w:p w14:paraId="16129069">
            <w:pPr>
              <w:spacing w:line="360" w:lineRule="auto"/>
              <w:rPr>
                <w:rFonts w:hint="eastAsia" w:ascii="宋体" w:hAnsi="宋体"/>
                <w:color w:val="000000"/>
                <w:szCs w:val="21"/>
              </w:rPr>
            </w:pPr>
          </w:p>
        </w:tc>
        <w:tc>
          <w:tcPr>
            <w:tcW w:w="894" w:type="dxa"/>
            <w:vAlign w:val="center"/>
          </w:tcPr>
          <w:p w14:paraId="6F59522F">
            <w:pPr>
              <w:spacing w:line="360" w:lineRule="auto"/>
              <w:rPr>
                <w:rFonts w:hint="eastAsia" w:ascii="宋体" w:hAnsi="宋体"/>
                <w:color w:val="000000"/>
                <w:szCs w:val="21"/>
              </w:rPr>
            </w:pPr>
            <w:r>
              <w:rPr>
                <w:rFonts w:ascii="宋体" w:hAnsi="宋体"/>
                <w:color w:val="000000"/>
                <w:szCs w:val="21"/>
              </w:rPr>
              <w:t>RARP</w:t>
            </w:r>
          </w:p>
        </w:tc>
        <w:tc>
          <w:tcPr>
            <w:tcW w:w="1800" w:type="dxa"/>
            <w:vAlign w:val="center"/>
          </w:tcPr>
          <w:p w14:paraId="365F823A">
            <w:pPr>
              <w:spacing w:line="360" w:lineRule="auto"/>
              <w:rPr>
                <w:rFonts w:hint="eastAsia" w:ascii="宋体" w:hAnsi="宋体"/>
                <w:color w:val="000000"/>
                <w:szCs w:val="21"/>
              </w:rPr>
            </w:pPr>
            <w:r>
              <w:rPr>
                <w:rFonts w:ascii="宋体" w:hAnsi="宋体"/>
                <w:color w:val="000000"/>
                <w:szCs w:val="21"/>
              </w:rPr>
              <w:t>RFC 903</w:t>
            </w:r>
          </w:p>
        </w:tc>
        <w:tc>
          <w:tcPr>
            <w:tcW w:w="795" w:type="dxa"/>
            <w:vAlign w:val="center"/>
          </w:tcPr>
          <w:p w14:paraId="48A2EB5F">
            <w:pPr>
              <w:spacing w:line="360" w:lineRule="auto"/>
              <w:rPr>
                <w:rFonts w:hint="eastAsia" w:ascii="宋体" w:hAnsi="宋体"/>
                <w:color w:val="000000"/>
                <w:szCs w:val="21"/>
              </w:rPr>
            </w:pPr>
          </w:p>
        </w:tc>
        <w:tc>
          <w:tcPr>
            <w:tcW w:w="3049" w:type="dxa"/>
            <w:vAlign w:val="center"/>
          </w:tcPr>
          <w:p w14:paraId="60ED56AC">
            <w:pPr>
              <w:spacing w:line="360" w:lineRule="auto"/>
              <w:rPr>
                <w:rFonts w:hint="eastAsia" w:ascii="宋体" w:hAnsi="宋体"/>
                <w:color w:val="000000"/>
                <w:szCs w:val="21"/>
              </w:rPr>
            </w:pPr>
            <w:r>
              <w:rPr>
                <w:rFonts w:ascii="宋体" w:hAnsi="宋体"/>
                <w:color w:val="000000"/>
                <w:szCs w:val="21"/>
              </w:rPr>
              <w:t>反向地址转换协议（Reverse Address Resolution Protocol）</w:t>
            </w:r>
          </w:p>
        </w:tc>
      </w:tr>
    </w:tbl>
    <w:p w14:paraId="170088C8">
      <w:pPr>
        <w:pStyle w:val="16"/>
        <w:spacing w:line="360" w:lineRule="auto"/>
        <w:rPr>
          <w:rFonts w:hint="eastAsia" w:ascii="宋体" w:hAnsi="宋体" w:eastAsia="宋体"/>
          <w:color w:val="000000"/>
          <w:szCs w:val="21"/>
        </w:rPr>
      </w:pPr>
    </w:p>
    <w:p w14:paraId="352E5B69">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浏览器环境</w:t>
      </w:r>
    </w:p>
    <w:p w14:paraId="4D0644C1">
      <w:pPr>
        <w:spacing w:line="360" w:lineRule="auto"/>
        <w:ind w:firstLine="420" w:firstLineChars="200"/>
        <w:rPr>
          <w:rFonts w:hint="eastAsia" w:ascii="宋体" w:hAnsi="宋体"/>
          <w:color w:val="000000"/>
          <w:szCs w:val="21"/>
        </w:rPr>
      </w:pPr>
      <w:r>
        <w:rPr>
          <w:rFonts w:ascii="宋体" w:hAnsi="宋体"/>
          <w:color w:val="000000"/>
          <w:szCs w:val="21"/>
        </w:rPr>
        <w:t>本项目终端系统软件浏览器环境以《江苏有线机顶盒浏览器JavaScript扩展接口规范》为基础，采用标准webkit内核，</w:t>
      </w:r>
      <w:r>
        <w:rPr>
          <w:rFonts w:hint="eastAsia" w:ascii="宋体" w:hAnsi="宋体"/>
          <w:color w:val="000000"/>
          <w:szCs w:val="21"/>
        </w:rPr>
        <w:t>必须</w:t>
      </w:r>
      <w:r>
        <w:rPr>
          <w:rFonts w:ascii="宋体" w:hAnsi="宋体"/>
          <w:color w:val="000000"/>
          <w:szCs w:val="21"/>
        </w:rPr>
        <w:t>包含标准WebCore排版引擎和JSCore引擎，并拓展或完善浏览器底层能力，支持Html5的</w:t>
      </w:r>
      <w:r>
        <w:rPr>
          <w:rFonts w:hint="eastAsia" w:ascii="宋体" w:hAnsi="宋体"/>
          <w:color w:val="000000"/>
          <w:szCs w:val="21"/>
        </w:rPr>
        <w:t>canvas、video等相关标签</w:t>
      </w:r>
      <w:r>
        <w:rPr>
          <w:rFonts w:ascii="宋体" w:hAnsi="宋体"/>
          <w:color w:val="000000"/>
          <w:szCs w:val="21"/>
        </w:rPr>
        <w:t>、</w:t>
      </w:r>
      <w:r>
        <w:rPr>
          <w:rFonts w:hint="eastAsia" w:ascii="宋体" w:hAnsi="宋体"/>
          <w:color w:val="000000"/>
          <w:szCs w:val="21"/>
        </w:rPr>
        <w:t>支持javascript ecmasccript2015以上版本，支持</w:t>
      </w:r>
      <w:r>
        <w:rPr>
          <w:rFonts w:ascii="宋体" w:hAnsi="宋体"/>
          <w:color w:val="000000"/>
          <w:szCs w:val="21"/>
        </w:rPr>
        <w:t>filter等CSS</w:t>
      </w:r>
      <w:r>
        <w:rPr>
          <w:rFonts w:hint="eastAsia" w:ascii="宋体" w:hAnsi="宋体"/>
          <w:color w:val="000000"/>
          <w:szCs w:val="21"/>
        </w:rPr>
        <w:t>3属性，支持</w:t>
      </w:r>
      <w:r>
        <w:rPr>
          <w:rFonts w:ascii="宋体" w:hAnsi="宋体"/>
          <w:color w:val="000000"/>
          <w:szCs w:val="21"/>
        </w:rPr>
        <w:t>MQTT</w:t>
      </w:r>
      <w:r>
        <w:rPr>
          <w:rFonts w:hint="eastAsia" w:ascii="宋体" w:hAnsi="宋体"/>
          <w:color w:val="000000"/>
          <w:szCs w:val="21"/>
        </w:rPr>
        <w:t xml:space="preserve"> </w:t>
      </w:r>
      <w:r>
        <w:rPr>
          <w:rFonts w:ascii="宋体" w:hAnsi="宋体"/>
          <w:color w:val="000000"/>
          <w:szCs w:val="21"/>
        </w:rPr>
        <w:t>over</w:t>
      </w:r>
      <w:r>
        <w:rPr>
          <w:rFonts w:hint="eastAsia" w:ascii="宋体" w:hAnsi="宋体"/>
          <w:color w:val="000000"/>
          <w:szCs w:val="21"/>
        </w:rPr>
        <w:t xml:space="preserve"> </w:t>
      </w:r>
      <w:r>
        <w:rPr>
          <w:rFonts w:ascii="宋体" w:hAnsi="宋体"/>
          <w:color w:val="000000"/>
          <w:szCs w:val="21"/>
        </w:rPr>
        <w:t>WSS</w:t>
      </w:r>
      <w:r>
        <w:rPr>
          <w:rFonts w:hint="eastAsia" w:ascii="宋体" w:hAnsi="宋体"/>
          <w:color w:val="000000"/>
          <w:szCs w:val="21"/>
        </w:rPr>
        <w:t xml:space="preserve"> 、</w:t>
      </w:r>
      <w:r>
        <w:rPr>
          <w:rFonts w:ascii="宋体" w:hAnsi="宋体"/>
          <w:color w:val="000000"/>
          <w:szCs w:val="21"/>
        </w:rPr>
        <w:t>Jquery等主流技术。如有新的功能点，请列举。</w:t>
      </w:r>
    </w:p>
    <w:p w14:paraId="4D0F0C67">
      <w:pPr>
        <w:spacing w:line="360" w:lineRule="auto"/>
        <w:ind w:firstLine="420" w:firstLineChars="200"/>
        <w:rPr>
          <w:rFonts w:hint="eastAsia" w:ascii="宋体" w:hAnsi="宋体"/>
          <w:color w:val="000000"/>
          <w:szCs w:val="21"/>
        </w:rPr>
      </w:pPr>
      <w:r>
        <w:rPr>
          <w:rFonts w:hint="eastAsia" w:ascii="宋体" w:hAnsi="宋体"/>
          <w:color w:val="000000"/>
          <w:szCs w:val="21"/>
        </w:rPr>
        <w:t>本项目必须支持</w:t>
      </w:r>
      <w:r>
        <w:rPr>
          <w:rFonts w:ascii="宋体" w:hAnsi="宋体"/>
          <w:color w:val="000000"/>
          <w:szCs w:val="21"/>
        </w:rPr>
        <w:t>浏览器常见基本要求，包括但不限于</w:t>
      </w:r>
      <w:r>
        <w:rPr>
          <w:rFonts w:ascii="宋体" w:hAnsi="宋体"/>
          <w:color w:val="000000"/>
          <w:szCs w:val="21"/>
        </w:rPr>
        <w:fldChar w:fldCharType="begin"/>
      </w:r>
      <w:r>
        <w:rPr>
          <w:rFonts w:ascii="宋体" w:hAnsi="宋体"/>
          <w:color w:val="000000"/>
          <w:szCs w:val="21"/>
        </w:rPr>
        <w:instrText xml:space="preserve"> REF _Ref153213095 \h  \* MERGEFORMAT </w:instrText>
      </w:r>
      <w:r>
        <w:rPr>
          <w:rFonts w:ascii="宋体" w:hAnsi="宋体"/>
          <w:color w:val="000000"/>
          <w:szCs w:val="21"/>
        </w:rPr>
        <w:fldChar w:fldCharType="separate"/>
      </w:r>
      <w:r>
        <w:rPr>
          <w:rFonts w:ascii="宋体" w:hAnsi="宋体"/>
          <w:color w:val="000000"/>
          <w:szCs w:val="21"/>
        </w:rPr>
        <w:t>表7：浏览器基本</w:t>
      </w:r>
      <w:r>
        <w:rPr>
          <w:rFonts w:ascii="宋体" w:hAnsi="宋体"/>
          <w:color w:val="000000"/>
          <w:szCs w:val="21"/>
        </w:rPr>
        <w:fldChar w:fldCharType="end"/>
      </w:r>
      <w:r>
        <w:rPr>
          <w:rFonts w:ascii="宋体" w:hAnsi="宋体"/>
          <w:color w:val="000000"/>
          <w:szCs w:val="21"/>
        </w:rPr>
        <w:t>。</w:t>
      </w:r>
    </w:p>
    <w:p w14:paraId="642BBC52">
      <w:pPr>
        <w:pStyle w:val="16"/>
        <w:spacing w:line="360" w:lineRule="auto"/>
        <w:rPr>
          <w:rFonts w:hint="eastAsia" w:ascii="宋体" w:hAnsi="宋体" w:eastAsia="宋体"/>
          <w:color w:val="000000"/>
          <w:szCs w:val="21"/>
        </w:rPr>
      </w:pPr>
      <w:bookmarkStart w:id="79" w:name="_Ref153213095"/>
      <w:r>
        <w:rPr>
          <w:rFonts w:ascii="宋体" w:hAnsi="宋体" w:eastAsia="宋体"/>
          <w:color w:val="000000"/>
          <w:szCs w:val="21"/>
        </w:rPr>
        <w:t>表</w:t>
      </w:r>
      <w:r>
        <w:rPr>
          <w:rFonts w:ascii="宋体" w:hAnsi="宋体" w:eastAsia="宋体"/>
          <w:color w:val="000000"/>
          <w:szCs w:val="21"/>
        </w:rPr>
        <w:fldChar w:fldCharType="begin"/>
      </w:r>
      <w:r>
        <w:rPr>
          <w:rFonts w:ascii="宋体" w:hAnsi="宋体" w:eastAsia="宋体"/>
          <w:color w:val="000000"/>
          <w:szCs w:val="21"/>
        </w:rPr>
        <w:instrText xml:space="preserve"> SEQ 表 \* ARABIC </w:instrText>
      </w:r>
      <w:r>
        <w:rPr>
          <w:rFonts w:ascii="宋体" w:hAnsi="宋体" w:eastAsia="宋体"/>
          <w:color w:val="000000"/>
          <w:szCs w:val="21"/>
        </w:rPr>
        <w:fldChar w:fldCharType="separate"/>
      </w:r>
      <w:r>
        <w:rPr>
          <w:rFonts w:ascii="宋体" w:hAnsi="宋体" w:eastAsia="宋体"/>
          <w:color w:val="000000"/>
          <w:szCs w:val="21"/>
        </w:rPr>
        <w:t>7</w:t>
      </w:r>
      <w:r>
        <w:rPr>
          <w:rFonts w:ascii="宋体" w:hAnsi="宋体" w:eastAsia="宋体"/>
          <w:color w:val="000000"/>
          <w:szCs w:val="21"/>
        </w:rPr>
        <w:fldChar w:fldCharType="end"/>
      </w:r>
      <w:r>
        <w:rPr>
          <w:rFonts w:ascii="宋体" w:hAnsi="宋体" w:eastAsia="宋体"/>
          <w:color w:val="000000"/>
          <w:szCs w:val="21"/>
        </w:rPr>
        <w:t>：浏览器基本</w:t>
      </w:r>
      <w:bookmarkEnd w:id="79"/>
      <w:r>
        <w:rPr>
          <w:rFonts w:ascii="宋体" w:hAnsi="宋体" w:eastAsia="宋体"/>
          <w:color w:val="000000"/>
          <w:szCs w:val="21"/>
        </w:rPr>
        <w:t>要求</w:t>
      </w:r>
    </w:p>
    <w:tbl>
      <w:tblPr>
        <w:tblStyle w:val="58"/>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13"/>
        <w:gridCol w:w="1581"/>
        <w:gridCol w:w="687"/>
        <w:gridCol w:w="4631"/>
      </w:tblGrid>
      <w:tr w14:paraId="6025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blHeader/>
          <w:jc w:val="center"/>
        </w:trPr>
        <w:tc>
          <w:tcPr>
            <w:tcW w:w="922" w:type="dxa"/>
            <w:shd w:val="clear" w:color="auto" w:fill="C6D9F1"/>
            <w:vAlign w:val="center"/>
          </w:tcPr>
          <w:p w14:paraId="17C4DFA4">
            <w:pPr>
              <w:spacing w:line="360" w:lineRule="auto"/>
              <w:jc w:val="center"/>
              <w:rPr>
                <w:rFonts w:hint="eastAsia" w:ascii="宋体" w:hAnsi="宋体"/>
                <w:b/>
                <w:color w:val="000000"/>
                <w:szCs w:val="21"/>
              </w:rPr>
            </w:pPr>
            <w:r>
              <w:rPr>
                <w:rFonts w:ascii="宋体" w:hAnsi="宋体"/>
                <w:b/>
                <w:color w:val="000000"/>
                <w:szCs w:val="21"/>
              </w:rPr>
              <w:t>类别</w:t>
            </w:r>
          </w:p>
        </w:tc>
        <w:tc>
          <w:tcPr>
            <w:tcW w:w="1313" w:type="dxa"/>
            <w:shd w:val="clear" w:color="auto" w:fill="C6D9F1"/>
            <w:vAlign w:val="center"/>
          </w:tcPr>
          <w:p w14:paraId="7D036456">
            <w:pPr>
              <w:spacing w:line="360" w:lineRule="auto"/>
              <w:jc w:val="center"/>
              <w:rPr>
                <w:rFonts w:hint="eastAsia" w:ascii="宋体" w:hAnsi="宋体"/>
                <w:b/>
                <w:color w:val="000000"/>
                <w:szCs w:val="21"/>
              </w:rPr>
            </w:pPr>
            <w:r>
              <w:rPr>
                <w:rFonts w:ascii="宋体" w:hAnsi="宋体"/>
                <w:b/>
                <w:color w:val="000000"/>
                <w:szCs w:val="21"/>
              </w:rPr>
              <w:t>功能标准</w:t>
            </w:r>
          </w:p>
        </w:tc>
        <w:tc>
          <w:tcPr>
            <w:tcW w:w="1581" w:type="dxa"/>
            <w:shd w:val="clear" w:color="auto" w:fill="C6D9F1"/>
            <w:vAlign w:val="center"/>
          </w:tcPr>
          <w:p w14:paraId="7D40A360">
            <w:pPr>
              <w:spacing w:line="360" w:lineRule="auto"/>
              <w:jc w:val="center"/>
              <w:rPr>
                <w:rFonts w:hint="eastAsia" w:ascii="宋体" w:hAnsi="宋体"/>
                <w:b/>
                <w:color w:val="000000"/>
                <w:szCs w:val="21"/>
              </w:rPr>
            </w:pPr>
            <w:r>
              <w:rPr>
                <w:rFonts w:ascii="宋体" w:hAnsi="宋体"/>
                <w:b/>
                <w:color w:val="000000"/>
                <w:szCs w:val="21"/>
              </w:rPr>
              <w:t>标准制定组织</w:t>
            </w:r>
          </w:p>
        </w:tc>
        <w:tc>
          <w:tcPr>
            <w:tcW w:w="687" w:type="dxa"/>
            <w:shd w:val="clear" w:color="auto" w:fill="C6D9F1"/>
            <w:vAlign w:val="center"/>
          </w:tcPr>
          <w:p w14:paraId="7EDE2E89">
            <w:pPr>
              <w:spacing w:line="360" w:lineRule="auto"/>
              <w:jc w:val="center"/>
              <w:rPr>
                <w:rFonts w:hint="eastAsia" w:ascii="宋体" w:hAnsi="宋体"/>
                <w:b/>
                <w:color w:val="000000"/>
                <w:szCs w:val="21"/>
              </w:rPr>
            </w:pPr>
            <w:r>
              <w:rPr>
                <w:rFonts w:ascii="宋体" w:hAnsi="宋体"/>
                <w:b/>
                <w:color w:val="000000"/>
                <w:szCs w:val="21"/>
              </w:rPr>
              <w:t>版本</w:t>
            </w:r>
          </w:p>
        </w:tc>
        <w:tc>
          <w:tcPr>
            <w:tcW w:w="4631" w:type="dxa"/>
            <w:shd w:val="clear" w:color="auto" w:fill="C6D9F1"/>
            <w:vAlign w:val="center"/>
          </w:tcPr>
          <w:p w14:paraId="23C6DCD1">
            <w:pPr>
              <w:spacing w:line="360" w:lineRule="auto"/>
              <w:jc w:val="center"/>
              <w:rPr>
                <w:rFonts w:hint="eastAsia" w:ascii="宋体" w:hAnsi="宋体"/>
                <w:b/>
                <w:color w:val="000000"/>
                <w:szCs w:val="21"/>
              </w:rPr>
            </w:pPr>
            <w:r>
              <w:rPr>
                <w:rFonts w:ascii="宋体" w:hAnsi="宋体"/>
                <w:b/>
                <w:color w:val="000000"/>
                <w:szCs w:val="21"/>
              </w:rPr>
              <w:t>说明</w:t>
            </w:r>
          </w:p>
        </w:tc>
      </w:tr>
      <w:tr w14:paraId="4018A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2" w:type="dxa"/>
            <w:vMerge w:val="restart"/>
            <w:vAlign w:val="center"/>
          </w:tcPr>
          <w:p w14:paraId="7483FFA5">
            <w:pPr>
              <w:spacing w:line="360" w:lineRule="auto"/>
              <w:jc w:val="center"/>
              <w:rPr>
                <w:rFonts w:hint="eastAsia" w:ascii="宋体" w:hAnsi="宋体"/>
                <w:color w:val="000000"/>
                <w:szCs w:val="21"/>
              </w:rPr>
            </w:pPr>
            <w:r>
              <w:rPr>
                <w:rFonts w:ascii="宋体" w:hAnsi="宋体"/>
                <w:color w:val="000000"/>
                <w:szCs w:val="21"/>
              </w:rPr>
              <w:t>Web</w:t>
            </w:r>
          </w:p>
        </w:tc>
        <w:tc>
          <w:tcPr>
            <w:tcW w:w="1313" w:type="dxa"/>
            <w:vAlign w:val="center"/>
          </w:tcPr>
          <w:p w14:paraId="325F1AC8">
            <w:pPr>
              <w:spacing w:line="360" w:lineRule="auto"/>
              <w:jc w:val="center"/>
              <w:rPr>
                <w:rFonts w:hint="eastAsia" w:ascii="宋体" w:hAnsi="宋体"/>
                <w:color w:val="000000"/>
                <w:szCs w:val="21"/>
              </w:rPr>
            </w:pPr>
            <w:r>
              <w:rPr>
                <w:rFonts w:ascii="宋体" w:hAnsi="宋体"/>
                <w:color w:val="000000"/>
                <w:szCs w:val="21"/>
              </w:rPr>
              <w:t>HTML</w:t>
            </w:r>
          </w:p>
        </w:tc>
        <w:tc>
          <w:tcPr>
            <w:tcW w:w="1581" w:type="dxa"/>
            <w:vAlign w:val="center"/>
          </w:tcPr>
          <w:p w14:paraId="6462B9C0">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01A9F504">
            <w:pPr>
              <w:spacing w:line="360" w:lineRule="auto"/>
              <w:jc w:val="center"/>
              <w:rPr>
                <w:rFonts w:hint="eastAsia" w:ascii="宋体" w:hAnsi="宋体"/>
                <w:color w:val="000000"/>
                <w:szCs w:val="21"/>
              </w:rPr>
            </w:pPr>
            <w:r>
              <w:rPr>
                <w:rFonts w:ascii="宋体" w:hAnsi="宋体"/>
                <w:color w:val="000000"/>
                <w:szCs w:val="21"/>
              </w:rPr>
              <w:t>4.01</w:t>
            </w:r>
          </w:p>
        </w:tc>
        <w:tc>
          <w:tcPr>
            <w:tcW w:w="4631" w:type="dxa"/>
            <w:vAlign w:val="center"/>
          </w:tcPr>
          <w:p w14:paraId="007EB0B8">
            <w:pPr>
              <w:spacing w:line="360" w:lineRule="auto"/>
              <w:jc w:val="left"/>
              <w:rPr>
                <w:rFonts w:hint="eastAsia" w:ascii="宋体" w:hAnsi="宋体"/>
                <w:color w:val="000000"/>
                <w:szCs w:val="21"/>
              </w:rPr>
            </w:pPr>
            <w:r>
              <w:rPr>
                <w:rFonts w:ascii="宋体" w:hAnsi="宋体"/>
                <w:color w:val="000000"/>
                <w:szCs w:val="21"/>
              </w:rPr>
              <w:t>超文本标记语言（HyperText Markup Language）是由W3C（World Wide Web Consortium）制定的用于网页的互联网标准语言。</w:t>
            </w:r>
          </w:p>
        </w:tc>
      </w:tr>
      <w:tr w14:paraId="1361C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22" w:type="dxa"/>
            <w:vMerge w:val="continue"/>
            <w:vAlign w:val="center"/>
          </w:tcPr>
          <w:p w14:paraId="4B6C3702">
            <w:pPr>
              <w:spacing w:line="360" w:lineRule="auto"/>
              <w:jc w:val="center"/>
              <w:rPr>
                <w:rFonts w:hint="eastAsia" w:ascii="宋体" w:hAnsi="宋体"/>
                <w:color w:val="000000"/>
                <w:szCs w:val="21"/>
              </w:rPr>
            </w:pPr>
          </w:p>
        </w:tc>
        <w:tc>
          <w:tcPr>
            <w:tcW w:w="1313" w:type="dxa"/>
            <w:vAlign w:val="center"/>
          </w:tcPr>
          <w:p w14:paraId="53ED990E">
            <w:pPr>
              <w:spacing w:line="360" w:lineRule="auto"/>
              <w:jc w:val="center"/>
              <w:rPr>
                <w:rFonts w:hint="eastAsia" w:ascii="宋体" w:hAnsi="宋体"/>
                <w:color w:val="000000"/>
                <w:szCs w:val="21"/>
              </w:rPr>
            </w:pPr>
            <w:r>
              <w:rPr>
                <w:rFonts w:ascii="宋体" w:hAnsi="宋体"/>
                <w:color w:val="000000"/>
                <w:szCs w:val="21"/>
              </w:rPr>
              <w:t>HTML</w:t>
            </w:r>
          </w:p>
        </w:tc>
        <w:tc>
          <w:tcPr>
            <w:tcW w:w="1581" w:type="dxa"/>
            <w:vAlign w:val="center"/>
          </w:tcPr>
          <w:p w14:paraId="2089337A">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474B3965">
            <w:pPr>
              <w:spacing w:line="360" w:lineRule="auto"/>
              <w:jc w:val="center"/>
              <w:rPr>
                <w:rFonts w:hint="eastAsia" w:ascii="宋体" w:hAnsi="宋体"/>
                <w:color w:val="000000"/>
                <w:szCs w:val="21"/>
              </w:rPr>
            </w:pPr>
            <w:r>
              <w:rPr>
                <w:rFonts w:ascii="宋体" w:hAnsi="宋体"/>
                <w:color w:val="000000"/>
                <w:szCs w:val="21"/>
              </w:rPr>
              <w:t>5.0</w:t>
            </w:r>
          </w:p>
        </w:tc>
        <w:tc>
          <w:tcPr>
            <w:tcW w:w="4631" w:type="dxa"/>
            <w:vAlign w:val="center"/>
          </w:tcPr>
          <w:p w14:paraId="66ED4B0F">
            <w:pPr>
              <w:rPr>
                <w:rFonts w:hint="eastAsia" w:ascii="宋体" w:hAnsi="宋体"/>
                <w:color w:val="000000"/>
                <w:szCs w:val="21"/>
              </w:rPr>
            </w:pPr>
            <w:r>
              <w:rPr>
                <w:rFonts w:ascii="宋体" w:hAnsi="宋体"/>
                <w:color w:val="000000"/>
                <w:szCs w:val="21"/>
              </w:rPr>
              <w:t>HTML5标准：</w:t>
            </w:r>
          </w:p>
          <w:p w14:paraId="3614CB8B">
            <w:pPr>
              <w:rPr>
                <w:rFonts w:hint="eastAsia" w:ascii="宋体" w:hAnsi="宋体"/>
                <w:color w:val="000000"/>
                <w:szCs w:val="21"/>
              </w:rPr>
            </w:pPr>
            <w:r>
              <w:fldChar w:fldCharType="begin"/>
            </w:r>
            <w:r>
              <w:instrText xml:space="preserve"> HYPERLINK "http://www.w3school.com.cn/html5/html5_reference.asp" </w:instrText>
            </w:r>
            <w:r>
              <w:fldChar w:fldCharType="separate"/>
            </w:r>
            <w:r>
              <w:rPr>
                <w:rFonts w:ascii="宋体" w:hAnsi="宋体"/>
                <w:color w:val="000000"/>
                <w:szCs w:val="21"/>
              </w:rPr>
              <w:t>http://www.w3school.com.cn/html5/html5_reference.asp</w:t>
            </w:r>
            <w:r>
              <w:rPr>
                <w:rFonts w:ascii="宋体" w:hAnsi="宋体"/>
                <w:color w:val="000000"/>
                <w:szCs w:val="21"/>
              </w:rPr>
              <w:fldChar w:fldCharType="end"/>
            </w:r>
          </w:p>
        </w:tc>
      </w:tr>
      <w:tr w14:paraId="3331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1F958769">
            <w:pPr>
              <w:spacing w:line="360" w:lineRule="auto"/>
              <w:jc w:val="center"/>
              <w:rPr>
                <w:rFonts w:hint="eastAsia" w:ascii="宋体" w:hAnsi="宋体"/>
                <w:color w:val="000000"/>
                <w:szCs w:val="21"/>
              </w:rPr>
            </w:pPr>
          </w:p>
        </w:tc>
        <w:tc>
          <w:tcPr>
            <w:tcW w:w="1313" w:type="dxa"/>
            <w:vAlign w:val="center"/>
          </w:tcPr>
          <w:p w14:paraId="6B68EDAF">
            <w:pPr>
              <w:spacing w:line="360" w:lineRule="auto"/>
              <w:jc w:val="center"/>
              <w:rPr>
                <w:rFonts w:hint="eastAsia" w:ascii="宋体" w:hAnsi="宋体"/>
                <w:color w:val="000000"/>
                <w:szCs w:val="21"/>
              </w:rPr>
            </w:pPr>
            <w:r>
              <w:rPr>
                <w:rFonts w:ascii="宋体" w:hAnsi="宋体"/>
                <w:color w:val="000000"/>
                <w:szCs w:val="21"/>
              </w:rPr>
              <w:t>CSS</w:t>
            </w:r>
          </w:p>
        </w:tc>
        <w:tc>
          <w:tcPr>
            <w:tcW w:w="1581" w:type="dxa"/>
            <w:vAlign w:val="center"/>
          </w:tcPr>
          <w:p w14:paraId="19F88F18">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7BBC1168">
            <w:pPr>
              <w:spacing w:line="360" w:lineRule="auto"/>
              <w:jc w:val="center"/>
              <w:rPr>
                <w:rFonts w:hint="eastAsia" w:ascii="宋体" w:hAnsi="宋体"/>
                <w:color w:val="000000"/>
                <w:szCs w:val="21"/>
              </w:rPr>
            </w:pPr>
            <w:r>
              <w:rPr>
                <w:rFonts w:ascii="宋体" w:hAnsi="宋体"/>
                <w:color w:val="000000"/>
                <w:szCs w:val="21"/>
              </w:rPr>
              <w:t>1.0/2.0/3.0</w:t>
            </w:r>
          </w:p>
        </w:tc>
        <w:tc>
          <w:tcPr>
            <w:tcW w:w="4631" w:type="dxa"/>
            <w:vAlign w:val="center"/>
          </w:tcPr>
          <w:p w14:paraId="6C6FFBDF">
            <w:pPr>
              <w:spacing w:line="360" w:lineRule="auto"/>
              <w:jc w:val="left"/>
              <w:rPr>
                <w:rFonts w:hint="eastAsia" w:ascii="宋体" w:hAnsi="宋体"/>
                <w:color w:val="000000"/>
                <w:szCs w:val="21"/>
              </w:rPr>
            </w:pPr>
            <w:r>
              <w:rPr>
                <w:rFonts w:ascii="宋体" w:hAnsi="宋体"/>
                <w:color w:val="000000"/>
                <w:szCs w:val="21"/>
              </w:rPr>
              <w:t>层叠样式表（Cascading Style Sheets），一种用来为结构化文档（如HTML文档或XML应用）添加样式（字体、间距和颜色等）的计算机语言。</w:t>
            </w:r>
          </w:p>
        </w:tc>
      </w:tr>
      <w:tr w14:paraId="4015D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2EE87DC6">
            <w:pPr>
              <w:spacing w:line="360" w:lineRule="auto"/>
              <w:jc w:val="center"/>
              <w:rPr>
                <w:rFonts w:hint="eastAsia" w:ascii="宋体" w:hAnsi="宋体"/>
                <w:color w:val="000000"/>
                <w:szCs w:val="21"/>
              </w:rPr>
            </w:pPr>
          </w:p>
        </w:tc>
        <w:tc>
          <w:tcPr>
            <w:tcW w:w="1313" w:type="dxa"/>
            <w:vAlign w:val="center"/>
          </w:tcPr>
          <w:p w14:paraId="53239A42">
            <w:pPr>
              <w:spacing w:line="360" w:lineRule="auto"/>
              <w:jc w:val="center"/>
              <w:rPr>
                <w:rFonts w:hint="eastAsia" w:ascii="宋体" w:hAnsi="宋体"/>
                <w:color w:val="000000"/>
                <w:szCs w:val="21"/>
              </w:rPr>
            </w:pPr>
            <w:r>
              <w:rPr>
                <w:rFonts w:ascii="宋体" w:hAnsi="宋体"/>
                <w:color w:val="000000"/>
                <w:szCs w:val="21"/>
              </w:rPr>
              <w:t>JavaScript</w:t>
            </w:r>
          </w:p>
        </w:tc>
        <w:tc>
          <w:tcPr>
            <w:tcW w:w="1581" w:type="dxa"/>
            <w:vAlign w:val="center"/>
          </w:tcPr>
          <w:p w14:paraId="11261498">
            <w:pPr>
              <w:spacing w:line="360" w:lineRule="auto"/>
              <w:jc w:val="center"/>
              <w:rPr>
                <w:rFonts w:hint="eastAsia" w:ascii="宋体" w:hAnsi="宋体"/>
                <w:color w:val="000000"/>
                <w:szCs w:val="21"/>
              </w:rPr>
            </w:pPr>
            <w:r>
              <w:rPr>
                <w:rFonts w:ascii="宋体" w:hAnsi="宋体"/>
                <w:color w:val="000000"/>
                <w:szCs w:val="21"/>
              </w:rPr>
              <w:t>ECMA262</w:t>
            </w:r>
          </w:p>
        </w:tc>
        <w:tc>
          <w:tcPr>
            <w:tcW w:w="687" w:type="dxa"/>
            <w:vAlign w:val="center"/>
          </w:tcPr>
          <w:p w14:paraId="5178116C">
            <w:pPr>
              <w:spacing w:line="360" w:lineRule="auto"/>
              <w:jc w:val="center"/>
              <w:rPr>
                <w:rFonts w:hint="eastAsia" w:ascii="宋体" w:hAnsi="宋体"/>
                <w:color w:val="000000"/>
                <w:szCs w:val="21"/>
              </w:rPr>
            </w:pPr>
            <w:r>
              <w:rPr>
                <w:rFonts w:ascii="宋体" w:hAnsi="宋体"/>
                <w:color w:val="000000"/>
                <w:szCs w:val="21"/>
              </w:rPr>
              <w:t>1.5</w:t>
            </w:r>
          </w:p>
        </w:tc>
        <w:tc>
          <w:tcPr>
            <w:tcW w:w="4631" w:type="dxa"/>
            <w:vAlign w:val="center"/>
          </w:tcPr>
          <w:p w14:paraId="228A0757">
            <w:pPr>
              <w:spacing w:line="360" w:lineRule="auto"/>
              <w:jc w:val="left"/>
              <w:rPr>
                <w:rFonts w:hint="eastAsia" w:ascii="宋体" w:hAnsi="宋体"/>
                <w:color w:val="000000"/>
                <w:szCs w:val="21"/>
              </w:rPr>
            </w:pPr>
            <w:r>
              <w:rPr>
                <w:rFonts w:ascii="宋体" w:hAnsi="宋体"/>
                <w:color w:val="000000"/>
                <w:szCs w:val="21"/>
              </w:rPr>
              <w:t>Javascript是一种由Netscape的LiveScript发展而来的原型化继承的面向对象的动态类型的区分大小写的客户端脚本语言。</w:t>
            </w:r>
          </w:p>
        </w:tc>
      </w:tr>
      <w:tr w14:paraId="0FA7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324CFDC0">
            <w:pPr>
              <w:spacing w:line="360" w:lineRule="auto"/>
              <w:jc w:val="center"/>
              <w:rPr>
                <w:rFonts w:hint="eastAsia" w:ascii="宋体" w:hAnsi="宋体"/>
                <w:color w:val="000000"/>
                <w:szCs w:val="21"/>
              </w:rPr>
            </w:pPr>
          </w:p>
        </w:tc>
        <w:tc>
          <w:tcPr>
            <w:tcW w:w="1313" w:type="dxa"/>
            <w:vAlign w:val="center"/>
          </w:tcPr>
          <w:p w14:paraId="3D57524C">
            <w:pPr>
              <w:spacing w:line="360" w:lineRule="auto"/>
              <w:jc w:val="center"/>
              <w:rPr>
                <w:rFonts w:hint="eastAsia" w:ascii="宋体" w:hAnsi="宋体"/>
                <w:color w:val="000000"/>
                <w:szCs w:val="21"/>
              </w:rPr>
            </w:pPr>
            <w:r>
              <w:rPr>
                <w:rFonts w:ascii="宋体" w:hAnsi="宋体"/>
                <w:color w:val="000000"/>
                <w:szCs w:val="21"/>
              </w:rPr>
              <w:t>DOM</w:t>
            </w:r>
          </w:p>
        </w:tc>
        <w:tc>
          <w:tcPr>
            <w:tcW w:w="1581" w:type="dxa"/>
            <w:vAlign w:val="center"/>
          </w:tcPr>
          <w:p w14:paraId="0620D337">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46A1F012">
            <w:pPr>
              <w:spacing w:line="360" w:lineRule="auto"/>
              <w:jc w:val="center"/>
              <w:rPr>
                <w:rFonts w:hint="eastAsia" w:ascii="宋体" w:hAnsi="宋体"/>
                <w:color w:val="000000"/>
                <w:szCs w:val="21"/>
              </w:rPr>
            </w:pPr>
            <w:r>
              <w:rPr>
                <w:rFonts w:ascii="宋体" w:hAnsi="宋体"/>
                <w:color w:val="000000"/>
                <w:szCs w:val="21"/>
              </w:rPr>
              <w:t>1.0/2.0</w:t>
            </w:r>
          </w:p>
        </w:tc>
        <w:tc>
          <w:tcPr>
            <w:tcW w:w="4631" w:type="dxa"/>
            <w:vAlign w:val="center"/>
          </w:tcPr>
          <w:p w14:paraId="2C19B82C">
            <w:pPr>
              <w:spacing w:line="360" w:lineRule="auto"/>
              <w:jc w:val="left"/>
              <w:rPr>
                <w:rFonts w:hint="eastAsia" w:ascii="宋体" w:hAnsi="宋体"/>
                <w:color w:val="000000"/>
                <w:szCs w:val="21"/>
              </w:rPr>
            </w:pPr>
            <w:r>
              <w:rPr>
                <w:rFonts w:ascii="宋体" w:hAnsi="宋体"/>
                <w:color w:val="000000"/>
                <w:szCs w:val="21"/>
              </w:rPr>
              <w:t>DOM是一种不依赖于某一种软件平台和语言的应用程序接口，它允许程序对用HTML/XML语言写成的网页的内容、结构和文体进行动态的访问和更新。</w:t>
            </w:r>
          </w:p>
        </w:tc>
      </w:tr>
      <w:tr w14:paraId="52F3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3202F7B5">
            <w:pPr>
              <w:spacing w:line="360" w:lineRule="auto"/>
              <w:jc w:val="center"/>
              <w:rPr>
                <w:rFonts w:hint="eastAsia" w:ascii="宋体" w:hAnsi="宋体"/>
                <w:color w:val="000000"/>
                <w:szCs w:val="21"/>
              </w:rPr>
            </w:pPr>
          </w:p>
        </w:tc>
        <w:tc>
          <w:tcPr>
            <w:tcW w:w="1313" w:type="dxa"/>
            <w:vAlign w:val="center"/>
          </w:tcPr>
          <w:p w14:paraId="352E450E">
            <w:pPr>
              <w:spacing w:line="360" w:lineRule="auto"/>
              <w:jc w:val="center"/>
              <w:rPr>
                <w:rFonts w:hint="eastAsia" w:ascii="宋体" w:hAnsi="宋体"/>
                <w:color w:val="000000"/>
                <w:szCs w:val="21"/>
              </w:rPr>
            </w:pPr>
            <w:r>
              <w:rPr>
                <w:rFonts w:ascii="宋体" w:hAnsi="宋体"/>
                <w:color w:val="000000"/>
                <w:szCs w:val="21"/>
              </w:rPr>
              <w:t>XML</w:t>
            </w:r>
          </w:p>
        </w:tc>
        <w:tc>
          <w:tcPr>
            <w:tcW w:w="1581" w:type="dxa"/>
            <w:vAlign w:val="center"/>
          </w:tcPr>
          <w:p w14:paraId="289BC8C3">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712BB9D1">
            <w:pPr>
              <w:spacing w:line="360" w:lineRule="auto"/>
              <w:jc w:val="center"/>
              <w:rPr>
                <w:rFonts w:hint="eastAsia" w:ascii="宋体" w:hAnsi="宋体"/>
                <w:color w:val="000000"/>
                <w:szCs w:val="21"/>
              </w:rPr>
            </w:pPr>
            <w:r>
              <w:rPr>
                <w:rFonts w:ascii="宋体" w:hAnsi="宋体"/>
                <w:color w:val="000000"/>
                <w:szCs w:val="21"/>
              </w:rPr>
              <w:t>1.0/1.1</w:t>
            </w:r>
          </w:p>
        </w:tc>
        <w:tc>
          <w:tcPr>
            <w:tcW w:w="4631" w:type="dxa"/>
            <w:vAlign w:val="center"/>
          </w:tcPr>
          <w:p w14:paraId="459B787C">
            <w:pPr>
              <w:spacing w:line="360" w:lineRule="auto"/>
              <w:jc w:val="left"/>
              <w:rPr>
                <w:rFonts w:hint="eastAsia" w:ascii="宋体" w:hAnsi="宋体"/>
                <w:color w:val="000000"/>
                <w:szCs w:val="21"/>
              </w:rPr>
            </w:pPr>
            <w:r>
              <w:rPr>
                <w:rFonts w:ascii="宋体" w:hAnsi="宋体"/>
                <w:color w:val="000000"/>
                <w:szCs w:val="21"/>
              </w:rPr>
              <w:t>可扩展标记语言,它与HTML一样,都是标准通用标记语言。</w:t>
            </w:r>
          </w:p>
        </w:tc>
      </w:tr>
      <w:tr w14:paraId="33D01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2D8399CB">
            <w:pPr>
              <w:spacing w:line="360" w:lineRule="auto"/>
              <w:jc w:val="center"/>
              <w:rPr>
                <w:rFonts w:hint="eastAsia" w:ascii="宋体" w:hAnsi="宋体"/>
                <w:color w:val="000000"/>
                <w:szCs w:val="21"/>
              </w:rPr>
            </w:pPr>
          </w:p>
        </w:tc>
        <w:tc>
          <w:tcPr>
            <w:tcW w:w="1313" w:type="dxa"/>
            <w:vAlign w:val="center"/>
          </w:tcPr>
          <w:p w14:paraId="72BFB47B">
            <w:pPr>
              <w:spacing w:line="360" w:lineRule="auto"/>
              <w:jc w:val="center"/>
              <w:rPr>
                <w:rFonts w:hint="eastAsia" w:ascii="宋体" w:hAnsi="宋体"/>
                <w:color w:val="000000"/>
                <w:szCs w:val="21"/>
              </w:rPr>
            </w:pPr>
            <w:r>
              <w:rPr>
                <w:rFonts w:ascii="宋体" w:hAnsi="宋体"/>
                <w:color w:val="000000"/>
                <w:szCs w:val="21"/>
              </w:rPr>
              <w:t>Ajax</w:t>
            </w:r>
          </w:p>
        </w:tc>
        <w:tc>
          <w:tcPr>
            <w:tcW w:w="1581" w:type="dxa"/>
            <w:vAlign w:val="center"/>
          </w:tcPr>
          <w:p w14:paraId="3D907BF4">
            <w:pPr>
              <w:spacing w:line="360" w:lineRule="auto"/>
              <w:jc w:val="center"/>
              <w:rPr>
                <w:rFonts w:hint="eastAsia" w:ascii="宋体" w:hAnsi="宋体"/>
                <w:color w:val="000000"/>
                <w:szCs w:val="21"/>
              </w:rPr>
            </w:pPr>
            <w:r>
              <w:rPr>
                <w:rFonts w:ascii="宋体" w:hAnsi="宋体"/>
                <w:color w:val="000000"/>
                <w:szCs w:val="21"/>
              </w:rPr>
              <w:t>W3C</w:t>
            </w:r>
          </w:p>
        </w:tc>
        <w:tc>
          <w:tcPr>
            <w:tcW w:w="687" w:type="dxa"/>
            <w:vAlign w:val="center"/>
          </w:tcPr>
          <w:p w14:paraId="53980A95">
            <w:pPr>
              <w:spacing w:line="360" w:lineRule="auto"/>
              <w:jc w:val="center"/>
              <w:rPr>
                <w:rFonts w:hint="eastAsia" w:ascii="宋体" w:hAnsi="宋体"/>
                <w:color w:val="000000"/>
                <w:szCs w:val="21"/>
              </w:rPr>
            </w:pPr>
          </w:p>
        </w:tc>
        <w:tc>
          <w:tcPr>
            <w:tcW w:w="4631" w:type="dxa"/>
            <w:vAlign w:val="center"/>
          </w:tcPr>
          <w:p w14:paraId="6086841E">
            <w:pPr>
              <w:spacing w:line="360" w:lineRule="auto"/>
              <w:jc w:val="left"/>
              <w:rPr>
                <w:rFonts w:hint="eastAsia" w:ascii="宋体" w:hAnsi="宋体"/>
                <w:color w:val="000000"/>
                <w:szCs w:val="21"/>
              </w:rPr>
            </w:pPr>
            <w:r>
              <w:rPr>
                <w:rFonts w:ascii="宋体" w:hAnsi="宋体"/>
                <w:color w:val="000000"/>
                <w:szCs w:val="21"/>
              </w:rPr>
              <w:t>一种创建交互式网页应用的网页开发技术,通过异步模式，提升了用户体验，优化了浏览器和服务器之间的传输，减少不必要的数据往返，减少了带宽占用，Ajax引擎在客户端运行，承担了一部分本来由服务器承担的工作，从而减少了大用户量下的服务器负载。其中Ajax的主要方法为：XMLHttpRequest Object。</w:t>
            </w:r>
          </w:p>
        </w:tc>
      </w:tr>
      <w:tr w14:paraId="5A3CF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7FEDBB0F">
            <w:pPr>
              <w:spacing w:line="360" w:lineRule="auto"/>
              <w:jc w:val="center"/>
              <w:rPr>
                <w:rFonts w:hint="eastAsia" w:ascii="宋体" w:hAnsi="宋体"/>
                <w:color w:val="000000"/>
                <w:szCs w:val="21"/>
              </w:rPr>
            </w:pPr>
          </w:p>
        </w:tc>
        <w:tc>
          <w:tcPr>
            <w:tcW w:w="1313" w:type="dxa"/>
            <w:vAlign w:val="center"/>
          </w:tcPr>
          <w:p w14:paraId="16FB98DF">
            <w:pPr>
              <w:spacing w:line="360" w:lineRule="auto"/>
              <w:jc w:val="center"/>
              <w:rPr>
                <w:rFonts w:hint="eastAsia" w:ascii="宋体" w:hAnsi="宋体"/>
                <w:color w:val="000000"/>
                <w:szCs w:val="21"/>
              </w:rPr>
            </w:pPr>
            <w:r>
              <w:rPr>
                <w:rFonts w:ascii="宋体" w:hAnsi="宋体"/>
                <w:color w:val="000000"/>
                <w:szCs w:val="21"/>
              </w:rPr>
              <w:t>Cookie</w:t>
            </w:r>
          </w:p>
        </w:tc>
        <w:tc>
          <w:tcPr>
            <w:tcW w:w="1581" w:type="dxa"/>
            <w:vAlign w:val="center"/>
          </w:tcPr>
          <w:p w14:paraId="6AEBFDC2">
            <w:pPr>
              <w:spacing w:line="360" w:lineRule="auto"/>
              <w:jc w:val="center"/>
              <w:rPr>
                <w:rFonts w:hint="eastAsia" w:ascii="宋体" w:hAnsi="宋体"/>
                <w:color w:val="000000"/>
                <w:szCs w:val="21"/>
              </w:rPr>
            </w:pPr>
            <w:r>
              <w:rPr>
                <w:rFonts w:ascii="宋体" w:hAnsi="宋体"/>
                <w:color w:val="000000"/>
                <w:szCs w:val="21"/>
              </w:rPr>
              <w:t>RFC 2109</w:t>
            </w:r>
          </w:p>
        </w:tc>
        <w:tc>
          <w:tcPr>
            <w:tcW w:w="687" w:type="dxa"/>
            <w:vAlign w:val="center"/>
          </w:tcPr>
          <w:p w14:paraId="7FA4EC92">
            <w:pPr>
              <w:spacing w:line="360" w:lineRule="auto"/>
              <w:jc w:val="center"/>
              <w:rPr>
                <w:rFonts w:hint="eastAsia" w:ascii="宋体" w:hAnsi="宋体"/>
                <w:color w:val="000000"/>
                <w:szCs w:val="21"/>
              </w:rPr>
            </w:pPr>
          </w:p>
        </w:tc>
        <w:tc>
          <w:tcPr>
            <w:tcW w:w="4631" w:type="dxa"/>
            <w:vAlign w:val="center"/>
          </w:tcPr>
          <w:p w14:paraId="75BF00AB">
            <w:pPr>
              <w:spacing w:line="360" w:lineRule="auto"/>
              <w:jc w:val="left"/>
              <w:rPr>
                <w:rFonts w:hint="eastAsia" w:ascii="宋体" w:hAnsi="宋体"/>
                <w:color w:val="000000"/>
                <w:szCs w:val="21"/>
              </w:rPr>
            </w:pPr>
            <w:r>
              <w:rPr>
                <w:rFonts w:ascii="宋体" w:hAnsi="宋体"/>
                <w:color w:val="000000"/>
                <w:szCs w:val="21"/>
              </w:rPr>
              <w:t>Cookie的格式实际上是一段纯文本信息, 由服务器随着网页一起发送到客户端, 并保存在客户端硬盘中指定的目录的。</w:t>
            </w:r>
          </w:p>
        </w:tc>
      </w:tr>
      <w:tr w14:paraId="359D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2" w:type="dxa"/>
            <w:vMerge w:val="continue"/>
            <w:vAlign w:val="center"/>
          </w:tcPr>
          <w:p w14:paraId="711AED85">
            <w:pPr>
              <w:spacing w:line="360" w:lineRule="auto"/>
              <w:jc w:val="center"/>
              <w:rPr>
                <w:rFonts w:hint="eastAsia" w:ascii="宋体" w:hAnsi="宋体"/>
                <w:color w:val="000000"/>
                <w:szCs w:val="21"/>
              </w:rPr>
            </w:pPr>
          </w:p>
        </w:tc>
        <w:tc>
          <w:tcPr>
            <w:tcW w:w="1313" w:type="dxa"/>
            <w:vAlign w:val="center"/>
          </w:tcPr>
          <w:p w14:paraId="486320AC">
            <w:pPr>
              <w:spacing w:line="360" w:lineRule="auto"/>
              <w:jc w:val="center"/>
              <w:rPr>
                <w:rFonts w:hint="eastAsia" w:ascii="宋体" w:hAnsi="宋体"/>
                <w:color w:val="000000"/>
                <w:szCs w:val="21"/>
              </w:rPr>
            </w:pPr>
            <w:r>
              <w:rPr>
                <w:rFonts w:ascii="宋体" w:hAnsi="宋体"/>
                <w:color w:val="000000"/>
                <w:szCs w:val="21"/>
              </w:rPr>
              <w:t>Marquee</w:t>
            </w:r>
          </w:p>
        </w:tc>
        <w:tc>
          <w:tcPr>
            <w:tcW w:w="1581" w:type="dxa"/>
            <w:vAlign w:val="center"/>
          </w:tcPr>
          <w:p w14:paraId="2CA96D5B">
            <w:pPr>
              <w:spacing w:line="360" w:lineRule="auto"/>
              <w:jc w:val="center"/>
              <w:rPr>
                <w:rFonts w:hint="eastAsia" w:ascii="宋体" w:hAnsi="宋体"/>
                <w:color w:val="000000"/>
                <w:szCs w:val="21"/>
              </w:rPr>
            </w:pPr>
            <w:r>
              <w:rPr>
                <w:rFonts w:ascii="宋体" w:hAnsi="宋体"/>
                <w:color w:val="000000"/>
                <w:szCs w:val="21"/>
              </w:rPr>
              <w:t>MicroSoft</w:t>
            </w:r>
          </w:p>
        </w:tc>
        <w:tc>
          <w:tcPr>
            <w:tcW w:w="687" w:type="dxa"/>
            <w:vAlign w:val="center"/>
          </w:tcPr>
          <w:p w14:paraId="67DDEE38">
            <w:pPr>
              <w:spacing w:line="360" w:lineRule="auto"/>
              <w:jc w:val="center"/>
              <w:rPr>
                <w:rFonts w:hint="eastAsia" w:ascii="宋体" w:hAnsi="宋体"/>
                <w:color w:val="000000"/>
                <w:szCs w:val="21"/>
              </w:rPr>
            </w:pPr>
          </w:p>
        </w:tc>
        <w:tc>
          <w:tcPr>
            <w:tcW w:w="4631" w:type="dxa"/>
            <w:vAlign w:val="center"/>
          </w:tcPr>
          <w:p w14:paraId="317C6D45">
            <w:pPr>
              <w:spacing w:line="360" w:lineRule="auto"/>
              <w:jc w:val="left"/>
              <w:rPr>
                <w:rFonts w:hint="eastAsia" w:ascii="宋体" w:hAnsi="宋体"/>
                <w:color w:val="000000"/>
                <w:szCs w:val="21"/>
              </w:rPr>
            </w:pPr>
            <w:r>
              <w:rPr>
                <w:rFonts w:ascii="宋体" w:hAnsi="宋体"/>
                <w:color w:val="000000"/>
                <w:szCs w:val="21"/>
              </w:rPr>
              <w:t>跑马灯，可以上下左右，不同速率的滚动。</w:t>
            </w:r>
          </w:p>
        </w:tc>
      </w:tr>
    </w:tbl>
    <w:p w14:paraId="494AAA2C">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媒体处理</w:t>
      </w:r>
    </w:p>
    <w:p w14:paraId="4F15DBA0">
      <w:pPr>
        <w:spacing w:line="360" w:lineRule="auto"/>
        <w:ind w:firstLine="420" w:firstLineChars="200"/>
        <w:rPr>
          <w:rFonts w:hint="eastAsia" w:ascii="宋体" w:hAnsi="宋体"/>
          <w:color w:val="000000"/>
          <w:szCs w:val="21"/>
        </w:rPr>
      </w:pPr>
      <w:r>
        <w:rPr>
          <w:rFonts w:ascii="宋体" w:hAnsi="宋体"/>
          <w:color w:val="000000"/>
          <w:szCs w:val="21"/>
        </w:rPr>
        <w:t>本项目终端系统软件媒体处理主要为上层应用提供统一定义的媒体公共接口供第三方业务调用，实现音频、视频、字幕等的播放与控制，请列举支持的媒体类型、媒体协议和传输格式。</w:t>
      </w:r>
    </w:p>
    <w:p w14:paraId="7FF230E4">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图文处理</w:t>
      </w:r>
    </w:p>
    <w:p w14:paraId="033C19F6">
      <w:pPr>
        <w:spacing w:line="360" w:lineRule="auto"/>
        <w:ind w:firstLine="420" w:firstLineChars="200"/>
        <w:rPr>
          <w:rFonts w:hint="eastAsia" w:ascii="宋体" w:hAnsi="宋体"/>
          <w:color w:val="000000"/>
          <w:szCs w:val="21"/>
        </w:rPr>
      </w:pPr>
      <w:r>
        <w:rPr>
          <w:rFonts w:ascii="宋体" w:hAnsi="宋体"/>
          <w:color w:val="000000"/>
          <w:szCs w:val="21"/>
        </w:rPr>
        <w:t>本项目终端系统软件图文处理为上层应用提供“图文”处理接口，以实现对图形、图像、图层、动画、字体等平面元素进行处理。其中图形、图像、图层分别为：</w:t>
      </w:r>
    </w:p>
    <w:p w14:paraId="4EB4B239">
      <w:pPr>
        <w:spacing w:line="360" w:lineRule="auto"/>
        <w:ind w:firstLine="420" w:firstLineChars="200"/>
        <w:rPr>
          <w:rFonts w:hint="eastAsia" w:ascii="宋体" w:hAnsi="宋体"/>
          <w:color w:val="000000"/>
          <w:szCs w:val="21"/>
        </w:rPr>
      </w:pPr>
      <w:r>
        <w:rPr>
          <w:rFonts w:ascii="宋体" w:hAnsi="宋体"/>
          <w:color w:val="000000"/>
          <w:szCs w:val="21"/>
        </w:rPr>
        <w:t>图形：是指由外部轮廓线条构成的矢量图。图形用一组指令集合来描述其内容，如描述构成该图形的各种图元位置维数、形状等。描述对象可任意缩放不会失真。</w:t>
      </w:r>
    </w:p>
    <w:p w14:paraId="6DAEF664">
      <w:pPr>
        <w:spacing w:line="360" w:lineRule="auto"/>
        <w:ind w:firstLine="420" w:firstLineChars="200"/>
        <w:rPr>
          <w:rFonts w:hint="eastAsia" w:ascii="宋体" w:hAnsi="宋体"/>
          <w:color w:val="000000"/>
          <w:szCs w:val="21"/>
        </w:rPr>
      </w:pPr>
      <w:r>
        <w:rPr>
          <w:rFonts w:ascii="宋体" w:hAnsi="宋体"/>
          <w:color w:val="000000"/>
          <w:szCs w:val="21"/>
        </w:rPr>
        <w:t>图像：是由像素点阵构成的位图。本项目终端系统软件须支持常用的图像格式及各种操作，如显示、隐藏、变换等。</w:t>
      </w:r>
    </w:p>
    <w:p w14:paraId="642D0FD4">
      <w:pPr>
        <w:spacing w:line="360" w:lineRule="auto"/>
        <w:ind w:firstLine="420" w:firstLineChars="200"/>
        <w:rPr>
          <w:rFonts w:hint="eastAsia" w:ascii="宋体" w:hAnsi="宋体"/>
          <w:color w:val="000000"/>
          <w:szCs w:val="21"/>
        </w:rPr>
      </w:pPr>
      <w:r>
        <w:rPr>
          <w:rFonts w:ascii="宋体" w:hAnsi="宋体"/>
          <w:color w:val="000000"/>
          <w:szCs w:val="21"/>
        </w:rPr>
        <w:t>图层：是构成图像的层，每个层都能单独地进行编辑操作。许多效果可以通过对图层的直接操作而得到，用图层来实现效果是一种直观而简便的方法。本项目终端系统软件须提供图层机制，实现丰富的显示及处理效果。</w:t>
      </w:r>
    </w:p>
    <w:p w14:paraId="2F7B3BA9">
      <w:pPr>
        <w:spacing w:line="360" w:lineRule="auto"/>
        <w:ind w:firstLine="420" w:firstLineChars="200"/>
        <w:rPr>
          <w:rFonts w:hint="eastAsia" w:ascii="宋体" w:hAnsi="宋体"/>
          <w:color w:val="000000"/>
          <w:szCs w:val="21"/>
        </w:rPr>
      </w:pPr>
      <w:r>
        <w:rPr>
          <w:rFonts w:hint="eastAsia" w:ascii="宋体" w:hAnsi="宋体"/>
          <w:color w:val="000000"/>
          <w:szCs w:val="21"/>
        </w:rPr>
        <w:t>供应商需要结合采购人实际业务情况，给出图文处理实现方案。</w:t>
      </w:r>
    </w:p>
    <w:p w14:paraId="3A6C8928">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安全认证</w:t>
      </w:r>
    </w:p>
    <w:p w14:paraId="4D234168">
      <w:pPr>
        <w:spacing w:line="360" w:lineRule="auto"/>
        <w:ind w:firstLine="420" w:firstLineChars="200"/>
        <w:rPr>
          <w:rFonts w:hint="eastAsia" w:ascii="宋体" w:hAnsi="宋体"/>
          <w:color w:val="000000"/>
          <w:szCs w:val="21"/>
        </w:rPr>
      </w:pPr>
      <w:r>
        <w:rPr>
          <w:rFonts w:ascii="宋体" w:hAnsi="宋体"/>
          <w:color w:val="000000"/>
          <w:szCs w:val="21"/>
        </w:rPr>
        <w:t>本项目终端系统软件需要实现对证书、签名、许可、DRM、SSL/TLS、监控等安全模块的读写访问，支持融合AAA系统对接和直播认证。安全认证管理模块包括但不限于以下功能：</w:t>
      </w:r>
    </w:p>
    <w:p w14:paraId="46B5D7C1">
      <w:pPr>
        <w:spacing w:line="360" w:lineRule="auto"/>
        <w:ind w:firstLine="420" w:firstLineChars="200"/>
        <w:rPr>
          <w:rFonts w:hint="eastAsia" w:ascii="宋体" w:hAnsi="宋体"/>
          <w:color w:val="000000"/>
          <w:szCs w:val="21"/>
        </w:rPr>
      </w:pPr>
      <w:r>
        <w:rPr>
          <w:rFonts w:ascii="宋体" w:hAnsi="宋体"/>
          <w:color w:val="000000"/>
          <w:szCs w:val="21"/>
        </w:rPr>
        <w:t>1）用户认证。</w:t>
      </w:r>
    </w:p>
    <w:p w14:paraId="20D9A95A">
      <w:pPr>
        <w:spacing w:line="360" w:lineRule="auto"/>
        <w:ind w:firstLine="420" w:firstLineChars="200"/>
        <w:rPr>
          <w:rFonts w:hint="eastAsia" w:ascii="宋体" w:hAnsi="宋体"/>
          <w:color w:val="000000"/>
          <w:szCs w:val="21"/>
        </w:rPr>
      </w:pPr>
      <w:r>
        <w:rPr>
          <w:rFonts w:ascii="宋体" w:hAnsi="宋体"/>
          <w:color w:val="000000"/>
          <w:szCs w:val="21"/>
        </w:rPr>
        <w:t>2）应用业务授权。</w:t>
      </w:r>
    </w:p>
    <w:p w14:paraId="04A03B5D">
      <w:pPr>
        <w:spacing w:line="360" w:lineRule="auto"/>
        <w:ind w:firstLine="420" w:firstLineChars="200"/>
        <w:rPr>
          <w:rFonts w:hint="eastAsia" w:ascii="宋体" w:hAnsi="宋体"/>
          <w:color w:val="000000"/>
          <w:szCs w:val="21"/>
        </w:rPr>
      </w:pPr>
      <w:r>
        <w:rPr>
          <w:rFonts w:ascii="宋体" w:hAnsi="宋体"/>
          <w:color w:val="000000"/>
          <w:szCs w:val="21"/>
        </w:rPr>
        <w:t>3）软件升级和下载时进行认证。</w:t>
      </w:r>
    </w:p>
    <w:p w14:paraId="024D79E9">
      <w:pPr>
        <w:spacing w:line="360" w:lineRule="auto"/>
        <w:ind w:firstLine="420" w:firstLineChars="200"/>
        <w:rPr>
          <w:rFonts w:hint="eastAsia" w:ascii="宋体" w:hAnsi="宋体"/>
          <w:color w:val="000000"/>
          <w:szCs w:val="21"/>
        </w:rPr>
      </w:pPr>
      <w:r>
        <w:rPr>
          <w:rFonts w:ascii="宋体" w:hAnsi="宋体"/>
          <w:color w:val="000000"/>
          <w:szCs w:val="21"/>
        </w:rPr>
        <w:t>4）网络安全策略管理。</w:t>
      </w:r>
    </w:p>
    <w:p w14:paraId="7BB11295">
      <w:pPr>
        <w:spacing w:line="360" w:lineRule="auto"/>
        <w:ind w:firstLine="420" w:firstLineChars="200"/>
        <w:rPr>
          <w:rFonts w:hint="eastAsia" w:ascii="宋体" w:hAnsi="宋体"/>
          <w:color w:val="000000"/>
          <w:szCs w:val="21"/>
        </w:rPr>
      </w:pPr>
      <w:r>
        <w:rPr>
          <w:rFonts w:ascii="宋体" w:hAnsi="宋体"/>
          <w:color w:val="000000"/>
          <w:szCs w:val="21"/>
        </w:rPr>
        <w:t>5）密钥、口令字及注册信息管理。</w:t>
      </w:r>
    </w:p>
    <w:p w14:paraId="2BC33D04">
      <w:pPr>
        <w:spacing w:line="360" w:lineRule="auto"/>
        <w:ind w:firstLine="420" w:firstLineChars="200"/>
        <w:rPr>
          <w:rFonts w:hint="eastAsia" w:ascii="宋体" w:hAnsi="宋体"/>
          <w:color w:val="000000"/>
          <w:szCs w:val="21"/>
        </w:rPr>
      </w:pPr>
      <w:r>
        <w:rPr>
          <w:rFonts w:hint="eastAsia" w:ascii="宋体" w:hAnsi="宋体"/>
          <w:color w:val="000000"/>
          <w:szCs w:val="21"/>
        </w:rPr>
        <w:t>6</w:t>
      </w:r>
      <w:r>
        <w:rPr>
          <w:rFonts w:ascii="宋体" w:hAnsi="宋体"/>
          <w:color w:val="000000"/>
          <w:szCs w:val="21"/>
        </w:rPr>
        <w:t>）内容购买信息管理。</w:t>
      </w:r>
    </w:p>
    <w:p w14:paraId="35C9F17C">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模块集成</w:t>
      </w:r>
    </w:p>
    <w:p w14:paraId="64FAC345">
      <w:pPr>
        <w:spacing w:line="360" w:lineRule="auto"/>
        <w:ind w:firstLine="420" w:firstLineChars="200"/>
        <w:rPr>
          <w:rFonts w:hint="eastAsia" w:ascii="宋体" w:hAnsi="宋体"/>
          <w:color w:val="000000"/>
          <w:szCs w:val="21"/>
        </w:rPr>
      </w:pPr>
      <w:r>
        <w:rPr>
          <w:rFonts w:ascii="宋体" w:hAnsi="宋体"/>
          <w:color w:val="000000"/>
          <w:szCs w:val="21"/>
        </w:rPr>
        <w:t>本项目终端系统软件内置模块主要如下：</w:t>
      </w:r>
    </w:p>
    <w:p w14:paraId="65A1C604">
      <w:pPr>
        <w:spacing w:line="360" w:lineRule="auto"/>
        <w:ind w:firstLine="420" w:firstLineChars="200"/>
        <w:rPr>
          <w:rFonts w:hint="eastAsia" w:ascii="宋体" w:hAnsi="宋体"/>
          <w:color w:val="000000"/>
          <w:szCs w:val="21"/>
        </w:rPr>
      </w:pPr>
      <w:r>
        <w:rPr>
          <w:rFonts w:ascii="宋体" w:hAnsi="宋体"/>
          <w:color w:val="000000"/>
          <w:szCs w:val="21"/>
        </w:rPr>
        <w:t>内置第三方模块：如 CA库（用于智能卡）、语音文件（用于智能语音）、</w:t>
      </w:r>
      <w:r>
        <w:rPr>
          <w:rFonts w:hint="eastAsia" w:ascii="宋体" w:hAnsi="宋体"/>
          <w:color w:val="000000"/>
          <w:szCs w:val="21"/>
        </w:rPr>
        <w:t>APK、SDK</w:t>
      </w:r>
      <w:r>
        <w:rPr>
          <w:rFonts w:ascii="宋体" w:hAnsi="宋体"/>
          <w:color w:val="000000"/>
          <w:szCs w:val="21"/>
        </w:rPr>
        <w:t>等。</w:t>
      </w:r>
    </w:p>
    <w:p w14:paraId="3A2A3C55">
      <w:pPr>
        <w:spacing w:line="360" w:lineRule="auto"/>
        <w:ind w:firstLine="420" w:firstLineChars="200"/>
        <w:rPr>
          <w:rFonts w:hint="eastAsia" w:ascii="宋体" w:hAnsi="宋体"/>
          <w:color w:val="000000"/>
          <w:szCs w:val="21"/>
        </w:rPr>
      </w:pPr>
      <w:r>
        <w:rPr>
          <w:rFonts w:ascii="宋体" w:hAnsi="宋体"/>
          <w:color w:val="000000"/>
          <w:szCs w:val="21"/>
        </w:rPr>
        <w:t>区域码机制：增加D9区域码机制。</w:t>
      </w:r>
    </w:p>
    <w:p w14:paraId="1B782983">
      <w:pPr>
        <w:spacing w:line="360" w:lineRule="auto"/>
        <w:ind w:firstLine="420" w:firstLineChars="200"/>
        <w:rPr>
          <w:rFonts w:hint="eastAsia" w:ascii="宋体" w:hAnsi="宋体"/>
          <w:color w:val="000000"/>
          <w:szCs w:val="21"/>
        </w:rPr>
      </w:pPr>
      <w:r>
        <w:rPr>
          <w:rFonts w:hint="eastAsia" w:ascii="宋体" w:hAnsi="宋体"/>
          <w:color w:val="000000"/>
          <w:szCs w:val="21"/>
        </w:rPr>
        <w:t>业务对接：</w:t>
      </w:r>
      <w:r>
        <w:rPr>
          <w:rFonts w:ascii="宋体" w:hAnsi="宋体"/>
          <w:color w:val="000000"/>
          <w:szCs w:val="21"/>
        </w:rPr>
        <w:t>在保证全省终端系统软件统一的前提下，对接本地业务平台。</w:t>
      </w:r>
    </w:p>
    <w:p w14:paraId="10FC9CA8">
      <w:pPr>
        <w:spacing w:line="360" w:lineRule="auto"/>
        <w:ind w:firstLine="420" w:firstLineChars="200"/>
        <w:rPr>
          <w:rFonts w:hint="eastAsia" w:ascii="宋体" w:hAnsi="宋体"/>
          <w:color w:val="000000"/>
          <w:szCs w:val="21"/>
        </w:rPr>
      </w:pPr>
      <w:r>
        <w:rPr>
          <w:rFonts w:ascii="宋体" w:hAnsi="宋体"/>
          <w:color w:val="000000"/>
          <w:szCs w:val="21"/>
        </w:rPr>
        <w:t>扩展应用开发接口：通过键值映射、开发JS插件等方式扩展应用开发接口，适配各类智慧城市业务，满足本地化业务需求。</w:t>
      </w:r>
    </w:p>
    <w:p w14:paraId="2D0EEB86">
      <w:pPr>
        <w:spacing w:line="360" w:lineRule="auto"/>
        <w:ind w:firstLine="420" w:firstLineChars="200"/>
        <w:rPr>
          <w:rFonts w:hint="eastAsia" w:ascii="宋体" w:hAnsi="宋体"/>
          <w:color w:val="000000"/>
          <w:szCs w:val="21"/>
        </w:rPr>
      </w:pPr>
      <w:r>
        <w:rPr>
          <w:rFonts w:ascii="宋体" w:hAnsi="宋体"/>
          <w:color w:val="000000"/>
          <w:szCs w:val="21"/>
        </w:rPr>
        <w:t>供应商在机顶盒终端软件中完成采购人需要的第三方功能库的集成开发及基本功能测试，供应商需对机顶盒终端软件的功能完整及稳定性负责。</w:t>
      </w:r>
    </w:p>
    <w:p w14:paraId="7B08869B">
      <w:pPr>
        <w:spacing w:line="360" w:lineRule="auto"/>
        <w:ind w:firstLine="420" w:firstLineChars="200"/>
        <w:rPr>
          <w:rFonts w:hint="eastAsia" w:ascii="宋体" w:hAnsi="宋体"/>
          <w:color w:val="000000"/>
          <w:szCs w:val="21"/>
        </w:rPr>
      </w:pPr>
      <w:r>
        <w:rPr>
          <w:rFonts w:ascii="宋体" w:hAnsi="宋体"/>
          <w:color w:val="000000"/>
          <w:szCs w:val="21"/>
        </w:rPr>
        <w:t>第三方功能需要做独立认证的，由机顶盒生产厂商各自提交，供应商需配合、支持机顶盒生产厂商通过第三方的认证。</w:t>
      </w:r>
    </w:p>
    <w:p w14:paraId="44822D2D">
      <w:pPr>
        <w:pStyle w:val="4"/>
        <w:numPr>
          <w:ilvl w:val="0"/>
          <w:numId w:val="24"/>
        </w:numPr>
        <w:spacing w:line="300" w:lineRule="auto"/>
        <w:ind w:left="357" w:hanging="357"/>
        <w:rPr>
          <w:rFonts w:hint="eastAsia" w:ascii="宋体" w:hAnsi="宋体"/>
          <w:b/>
          <w:bCs w:val="0"/>
          <w:color w:val="000000"/>
          <w:sz w:val="21"/>
          <w:szCs w:val="21"/>
        </w:rPr>
      </w:pPr>
      <w:bookmarkStart w:id="80" w:name="_Toc27177"/>
      <w:bookmarkStart w:id="81" w:name="_Toc171695461"/>
      <w:bookmarkStart w:id="82" w:name="_Toc423426248"/>
      <w:bookmarkStart w:id="83" w:name="_Toc423441668"/>
      <w:r>
        <w:rPr>
          <w:rFonts w:hint="eastAsia" w:ascii="宋体" w:hAnsi="宋体"/>
          <w:b/>
          <w:bCs w:val="0"/>
          <w:color w:val="000000"/>
          <w:sz w:val="21"/>
          <w:szCs w:val="21"/>
        </w:rPr>
        <w:t xml:space="preserve"> ★终端软件</w:t>
      </w:r>
      <w:r>
        <w:rPr>
          <w:rFonts w:ascii="宋体" w:hAnsi="宋体"/>
          <w:b/>
          <w:bCs w:val="0"/>
          <w:color w:val="000000"/>
          <w:sz w:val="21"/>
          <w:szCs w:val="21"/>
        </w:rPr>
        <w:t>升级部署</w:t>
      </w:r>
      <w:bookmarkEnd w:id="80"/>
      <w:bookmarkEnd w:id="81"/>
      <w:bookmarkEnd w:id="82"/>
      <w:bookmarkEnd w:id="83"/>
    </w:p>
    <w:p w14:paraId="7C775CB8">
      <w:pPr>
        <w:pStyle w:val="96"/>
        <w:numPr>
          <w:ilvl w:val="0"/>
          <w:numId w:val="26"/>
        </w:numPr>
        <w:spacing w:before="156" w:beforeLines="50" w:line="300" w:lineRule="auto"/>
        <w:ind w:firstLineChars="0"/>
        <w:outlineLvl w:val="2"/>
        <w:rPr>
          <w:rFonts w:hint="eastAsia" w:ascii="宋体" w:hAnsi="宋体"/>
          <w:b/>
          <w:bCs/>
          <w:vanish/>
          <w:color w:val="000000"/>
          <w:szCs w:val="21"/>
        </w:rPr>
      </w:pPr>
    </w:p>
    <w:p w14:paraId="7DB4A676">
      <w:pPr>
        <w:numPr>
          <w:ilvl w:val="1"/>
          <w:numId w:val="26"/>
        </w:numPr>
        <w:spacing w:before="156" w:beforeLines="50" w:line="300" w:lineRule="auto"/>
        <w:outlineLvl w:val="2"/>
        <w:rPr>
          <w:rFonts w:hint="eastAsia" w:ascii="宋体" w:hAnsi="宋体"/>
          <w:b/>
          <w:bCs/>
          <w:color w:val="000000"/>
          <w:szCs w:val="21"/>
        </w:rPr>
      </w:pPr>
      <w:r>
        <w:rPr>
          <w:rFonts w:ascii="宋体" w:hAnsi="宋体"/>
          <w:b/>
          <w:bCs/>
          <w:color w:val="000000"/>
          <w:szCs w:val="21"/>
        </w:rPr>
        <w:t>升级模块</w:t>
      </w:r>
    </w:p>
    <w:p w14:paraId="17AECE2A">
      <w:pPr>
        <w:spacing w:line="360" w:lineRule="auto"/>
        <w:ind w:firstLine="420" w:firstLineChars="200"/>
        <w:rPr>
          <w:rFonts w:hint="eastAsia" w:ascii="宋体" w:hAnsi="宋体"/>
          <w:color w:val="000000"/>
          <w:szCs w:val="21"/>
        </w:rPr>
      </w:pPr>
      <w:r>
        <w:rPr>
          <w:rFonts w:ascii="宋体" w:hAnsi="宋体"/>
          <w:color w:val="000000"/>
          <w:szCs w:val="21"/>
        </w:rPr>
        <w:t>本项目</w:t>
      </w:r>
      <w:r>
        <w:rPr>
          <w:rFonts w:hint="eastAsia" w:ascii="宋体" w:hAnsi="宋体"/>
          <w:color w:val="000000"/>
          <w:szCs w:val="21"/>
        </w:rPr>
        <w:t>DVB</w:t>
      </w:r>
      <w:r>
        <w:rPr>
          <w:rFonts w:ascii="宋体" w:hAnsi="宋体"/>
          <w:color w:val="000000"/>
          <w:szCs w:val="21"/>
        </w:rPr>
        <w:t>终端系统软件须要同时支持DVB Loader升级模式和IP Loader升级模式，</w:t>
      </w:r>
      <w:r>
        <w:rPr>
          <w:rFonts w:hint="eastAsia" w:ascii="宋体" w:hAnsi="宋体"/>
          <w:color w:val="000000"/>
          <w:szCs w:val="21"/>
        </w:rPr>
        <w:t>IP型</w:t>
      </w:r>
      <w:r>
        <w:rPr>
          <w:rFonts w:ascii="宋体" w:hAnsi="宋体"/>
          <w:color w:val="000000"/>
          <w:szCs w:val="21"/>
        </w:rPr>
        <w:t>终端系统软件须要支持IP Loader升级模式。其中DVB Loader升级模式对接传统的DVB直播系统，由</w:t>
      </w:r>
      <w:r>
        <w:rPr>
          <w:rFonts w:hint="eastAsia" w:ascii="宋体" w:hAnsi="宋体"/>
          <w:color w:val="000000"/>
          <w:szCs w:val="21"/>
        </w:rPr>
        <w:t>单向频道传输升级文件（.ts），</w:t>
      </w:r>
      <w:r>
        <w:rPr>
          <w:rFonts w:ascii="宋体" w:hAnsi="宋体"/>
          <w:color w:val="000000"/>
          <w:szCs w:val="21"/>
        </w:rPr>
        <w:t>通过单向EPG提供升级控制指令触发软件升级，达到升级目的。IP Loader直接对接</w:t>
      </w:r>
      <w:r>
        <w:rPr>
          <w:rFonts w:hint="eastAsia" w:ascii="宋体" w:hAnsi="宋体"/>
          <w:color w:val="000000"/>
          <w:szCs w:val="21"/>
        </w:rPr>
        <w:t>I</w:t>
      </w:r>
      <w:r>
        <w:rPr>
          <w:rFonts w:ascii="宋体" w:hAnsi="宋体"/>
          <w:color w:val="000000"/>
          <w:szCs w:val="21"/>
        </w:rPr>
        <w:t>P运营系统的IP Loader升级平台，由</w:t>
      </w:r>
      <w:r>
        <w:rPr>
          <w:rFonts w:hint="eastAsia" w:ascii="宋体" w:hAnsi="宋体"/>
          <w:color w:val="000000"/>
          <w:szCs w:val="21"/>
        </w:rPr>
        <w:t>IP双向通道传输升级文件（.zip）,</w:t>
      </w:r>
      <w:r>
        <w:rPr>
          <w:rFonts w:ascii="宋体" w:hAnsi="宋体"/>
          <w:color w:val="000000"/>
          <w:szCs w:val="21"/>
        </w:rPr>
        <w:t xml:space="preserve"> 通过</w:t>
      </w:r>
      <w:r>
        <w:rPr>
          <w:rFonts w:hint="eastAsia" w:ascii="宋体" w:hAnsi="宋体"/>
          <w:color w:val="000000"/>
          <w:szCs w:val="21"/>
        </w:rPr>
        <w:t>升级平台配置升级策略</w:t>
      </w:r>
      <w:r>
        <w:rPr>
          <w:rFonts w:ascii="宋体" w:hAnsi="宋体"/>
          <w:color w:val="000000"/>
          <w:szCs w:val="21"/>
        </w:rPr>
        <w:t>触发软件升级。无论哪一种升级模式，都需要对终端升级范围、升级策略、升级方式可管可控。同时，提供</w:t>
      </w:r>
      <w:r>
        <w:rPr>
          <w:rFonts w:hint="eastAsia" w:ascii="宋体" w:hAnsi="宋体"/>
          <w:color w:val="000000"/>
          <w:szCs w:val="21"/>
        </w:rPr>
        <w:t>在线/离线的手动升级方案。</w:t>
      </w:r>
    </w:p>
    <w:p w14:paraId="0A9405C7">
      <w:pPr>
        <w:spacing w:line="360" w:lineRule="auto"/>
        <w:ind w:firstLine="420" w:firstLineChars="200"/>
      </w:pPr>
      <w:r>
        <w:rPr>
          <w:rFonts w:hint="eastAsia" w:ascii="宋体" w:hAnsi="宋体"/>
          <w:color w:val="000000"/>
          <w:szCs w:val="21"/>
        </w:rPr>
        <w:t>供应商需要结合采购人Loader系统平台，给出终端升级实现方案，尤其</w:t>
      </w:r>
      <w:r>
        <w:rPr>
          <w:rFonts w:ascii="宋体" w:hAnsi="宋体"/>
          <w:color w:val="000000"/>
          <w:szCs w:val="21"/>
        </w:rPr>
        <w:t>考虑带高安模块的升级方案。</w:t>
      </w:r>
    </w:p>
    <w:p w14:paraId="2D327749">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升级方案</w:t>
      </w:r>
    </w:p>
    <w:p w14:paraId="20A34AB8">
      <w:pPr>
        <w:spacing w:line="360" w:lineRule="auto"/>
        <w:ind w:firstLine="420" w:firstLineChars="200"/>
        <w:rPr>
          <w:rFonts w:hint="eastAsia" w:ascii="宋体" w:hAnsi="宋体"/>
          <w:color w:val="000000"/>
          <w:szCs w:val="21"/>
        </w:rPr>
      </w:pPr>
      <w:r>
        <w:rPr>
          <w:rFonts w:ascii="宋体" w:hAnsi="宋体"/>
          <w:color w:val="000000"/>
          <w:szCs w:val="21"/>
        </w:rPr>
        <w:t>供应商</w:t>
      </w:r>
      <w:r>
        <w:rPr>
          <w:rFonts w:hint="eastAsia" w:ascii="宋体" w:hAnsi="宋体"/>
          <w:color w:val="000000"/>
          <w:szCs w:val="21"/>
        </w:rPr>
        <w:t>能够</w:t>
      </w:r>
      <w:r>
        <w:rPr>
          <w:rFonts w:ascii="宋体" w:hAnsi="宋体"/>
          <w:color w:val="000000"/>
          <w:szCs w:val="21"/>
        </w:rPr>
        <w:t>根据采购人给出的机顶盒相关信息制定机顶盒大网软件升级方案，方案至少包括以下具体内容：</w:t>
      </w:r>
    </w:p>
    <w:p w14:paraId="0CF31A30">
      <w:pPr>
        <w:numPr>
          <w:ilvl w:val="0"/>
          <w:numId w:val="27"/>
        </w:numPr>
        <w:spacing w:line="360" w:lineRule="auto"/>
        <w:rPr>
          <w:rFonts w:hint="eastAsia" w:ascii="宋体" w:hAnsi="宋体"/>
          <w:color w:val="000000"/>
          <w:szCs w:val="21"/>
        </w:rPr>
      </w:pPr>
      <w:r>
        <w:rPr>
          <w:rFonts w:ascii="宋体" w:hAnsi="宋体"/>
          <w:color w:val="000000"/>
          <w:szCs w:val="21"/>
        </w:rPr>
        <w:t>机顶盒大网软件升级方案需保存机顶盒信息和CA卡信息。</w:t>
      </w:r>
    </w:p>
    <w:p w14:paraId="4765E0BA">
      <w:pPr>
        <w:numPr>
          <w:ilvl w:val="0"/>
          <w:numId w:val="27"/>
        </w:numPr>
        <w:spacing w:line="360" w:lineRule="auto"/>
        <w:rPr>
          <w:rFonts w:hint="eastAsia" w:ascii="宋体" w:hAnsi="宋体"/>
          <w:color w:val="000000"/>
          <w:szCs w:val="21"/>
        </w:rPr>
      </w:pPr>
      <w:r>
        <w:rPr>
          <w:rFonts w:ascii="宋体" w:hAnsi="宋体"/>
          <w:color w:val="000000"/>
          <w:szCs w:val="21"/>
        </w:rPr>
        <w:t>是否需要升级机顶盒Loader，如果需要则需要给出Loader升级方案。</w:t>
      </w:r>
    </w:p>
    <w:p w14:paraId="04568BFC">
      <w:pPr>
        <w:numPr>
          <w:ilvl w:val="0"/>
          <w:numId w:val="27"/>
        </w:numPr>
        <w:spacing w:line="360" w:lineRule="auto"/>
        <w:rPr>
          <w:rFonts w:hint="eastAsia" w:ascii="宋体" w:hAnsi="宋体"/>
          <w:color w:val="000000"/>
          <w:szCs w:val="21"/>
        </w:rPr>
      </w:pPr>
      <w:r>
        <w:rPr>
          <w:rFonts w:ascii="宋体" w:hAnsi="宋体"/>
          <w:color w:val="000000"/>
          <w:szCs w:val="21"/>
        </w:rPr>
        <w:t>在升级码流</w:t>
      </w:r>
      <w:r>
        <w:rPr>
          <w:rFonts w:hint="eastAsia" w:ascii="宋体" w:hAnsi="宋体"/>
          <w:color w:val="000000"/>
          <w:szCs w:val="21"/>
        </w:rPr>
        <w:t>10</w:t>
      </w:r>
      <w:r>
        <w:rPr>
          <w:rFonts w:ascii="宋体" w:hAnsi="宋体"/>
          <w:color w:val="000000"/>
          <w:szCs w:val="21"/>
        </w:rPr>
        <w:t>M以上情况下，机顶盒整机升级时间约5</w:t>
      </w:r>
      <w:r>
        <w:rPr>
          <w:rFonts w:hint="eastAsia" w:ascii="宋体" w:hAnsi="宋体"/>
          <w:color w:val="000000"/>
          <w:szCs w:val="21"/>
        </w:rPr>
        <w:t>-8</w:t>
      </w:r>
      <w:r>
        <w:rPr>
          <w:rFonts w:ascii="宋体" w:hAnsi="宋体"/>
          <w:color w:val="000000"/>
          <w:szCs w:val="21"/>
        </w:rPr>
        <w:t>分钟。</w:t>
      </w:r>
    </w:p>
    <w:p w14:paraId="7DB4DE06">
      <w:pPr>
        <w:numPr>
          <w:ilvl w:val="0"/>
          <w:numId w:val="27"/>
        </w:numPr>
        <w:spacing w:line="360" w:lineRule="auto"/>
        <w:rPr>
          <w:rFonts w:hint="eastAsia" w:ascii="宋体" w:hAnsi="宋体"/>
          <w:color w:val="000000"/>
          <w:szCs w:val="21"/>
        </w:rPr>
      </w:pPr>
      <w:r>
        <w:rPr>
          <w:rFonts w:ascii="宋体" w:hAnsi="宋体"/>
          <w:color w:val="000000"/>
          <w:szCs w:val="21"/>
        </w:rPr>
        <w:t>机顶盒升级过程中如何处理断电、断信号、重启等异常流程。</w:t>
      </w:r>
    </w:p>
    <w:p w14:paraId="46CD9D1E">
      <w:pPr>
        <w:numPr>
          <w:ilvl w:val="0"/>
          <w:numId w:val="27"/>
        </w:numPr>
        <w:spacing w:line="360" w:lineRule="auto"/>
        <w:rPr>
          <w:rFonts w:hint="eastAsia" w:ascii="宋体" w:hAnsi="宋体"/>
          <w:color w:val="000000"/>
          <w:szCs w:val="21"/>
        </w:rPr>
      </w:pPr>
      <w:r>
        <w:rPr>
          <w:rFonts w:ascii="宋体" w:hAnsi="宋体"/>
          <w:color w:val="000000"/>
          <w:szCs w:val="21"/>
        </w:rPr>
        <w:t>如何保障规模性升级时，不出现重大故障，给出解决方案</w:t>
      </w:r>
      <w:r>
        <w:rPr>
          <w:rFonts w:hint="eastAsia" w:ascii="宋体" w:hAnsi="宋体"/>
          <w:color w:val="000000"/>
          <w:szCs w:val="21"/>
        </w:rPr>
        <w:t>。</w:t>
      </w:r>
    </w:p>
    <w:p w14:paraId="3DE4B5BD">
      <w:pPr>
        <w:numPr>
          <w:ilvl w:val="0"/>
          <w:numId w:val="27"/>
        </w:numPr>
        <w:spacing w:line="360" w:lineRule="auto"/>
        <w:rPr>
          <w:rFonts w:hint="eastAsia" w:ascii="宋体" w:hAnsi="宋体"/>
          <w:color w:val="000000"/>
          <w:szCs w:val="21"/>
        </w:rPr>
      </w:pPr>
      <w:r>
        <w:rPr>
          <w:rFonts w:ascii="宋体" w:hAnsi="宋体"/>
          <w:color w:val="000000"/>
          <w:szCs w:val="21"/>
        </w:rPr>
        <w:t>如出现重大故障，请给出相应的应急补救方案</w:t>
      </w:r>
      <w:r>
        <w:rPr>
          <w:rFonts w:hint="eastAsia" w:ascii="宋体" w:hAnsi="宋体"/>
          <w:color w:val="000000"/>
          <w:szCs w:val="21"/>
        </w:rPr>
        <w:t>。</w:t>
      </w:r>
    </w:p>
    <w:p w14:paraId="2EFCDCBB">
      <w:pPr>
        <w:numPr>
          <w:ilvl w:val="1"/>
          <w:numId w:val="26"/>
        </w:numPr>
        <w:spacing w:before="156" w:beforeLines="50" w:line="300" w:lineRule="auto"/>
        <w:outlineLvl w:val="2"/>
        <w:rPr>
          <w:rFonts w:hint="eastAsia" w:ascii="宋体" w:hAnsi="宋体"/>
          <w:b/>
          <w:bCs/>
          <w:color w:val="000000"/>
          <w:szCs w:val="21"/>
        </w:rPr>
      </w:pPr>
      <w:r>
        <w:rPr>
          <w:rFonts w:ascii="宋体" w:hAnsi="宋体"/>
          <w:b/>
          <w:bCs/>
          <w:color w:val="000000"/>
          <w:szCs w:val="21"/>
        </w:rPr>
        <w:t>安全升级</w:t>
      </w:r>
    </w:p>
    <w:p w14:paraId="7F7A27F9">
      <w:pPr>
        <w:spacing w:line="360" w:lineRule="auto"/>
        <w:ind w:firstLine="420" w:firstLineChars="200"/>
        <w:rPr>
          <w:rFonts w:hint="eastAsia" w:ascii="宋体" w:hAnsi="宋体"/>
          <w:color w:val="000000"/>
          <w:szCs w:val="21"/>
        </w:rPr>
      </w:pPr>
      <w:r>
        <w:rPr>
          <w:rFonts w:ascii="宋体" w:hAnsi="宋体"/>
          <w:color w:val="000000"/>
          <w:szCs w:val="21"/>
        </w:rPr>
        <w:t>安全升级包括操作系统的安全升级和应用的安全升级。</w:t>
      </w:r>
    </w:p>
    <w:p w14:paraId="7F042022">
      <w:pPr>
        <w:spacing w:line="360" w:lineRule="auto"/>
        <w:ind w:firstLine="420" w:firstLineChars="200"/>
        <w:rPr>
          <w:rFonts w:hint="eastAsia" w:ascii="宋体" w:hAnsi="宋体"/>
          <w:color w:val="000000"/>
          <w:szCs w:val="21"/>
        </w:rPr>
      </w:pPr>
      <w:r>
        <w:rPr>
          <w:rFonts w:ascii="宋体" w:hAnsi="宋体"/>
          <w:color w:val="000000"/>
          <w:szCs w:val="21"/>
        </w:rPr>
        <w:t>操作系统的安全升级应进行基于安全信任链校验机制的安全校验，只有通过安全校验的操作系统版本才允许进行升级。操作系统的升级禁止回滚。</w:t>
      </w:r>
    </w:p>
    <w:p w14:paraId="636C5ED4">
      <w:pPr>
        <w:spacing w:line="360" w:lineRule="auto"/>
        <w:ind w:firstLine="420" w:firstLineChars="200"/>
        <w:rPr>
          <w:rFonts w:hint="eastAsia" w:ascii="宋体" w:hAnsi="宋体"/>
          <w:color w:val="000000"/>
          <w:szCs w:val="21"/>
        </w:rPr>
      </w:pPr>
      <w:r>
        <w:rPr>
          <w:rFonts w:ascii="宋体" w:hAnsi="宋体"/>
          <w:color w:val="000000"/>
          <w:szCs w:val="21"/>
        </w:rPr>
        <w:t>应用软件的安全升级应进行基于安全信任链校验机制的安全校验，只有通过安全校验的应用软件版本才允许进行升级。安全应用的升级禁止回滚。</w:t>
      </w:r>
    </w:p>
    <w:p w14:paraId="668B3731">
      <w:pPr>
        <w:pStyle w:val="4"/>
        <w:numPr>
          <w:ilvl w:val="0"/>
          <w:numId w:val="24"/>
        </w:numPr>
        <w:spacing w:line="300" w:lineRule="auto"/>
        <w:ind w:left="357" w:hanging="357"/>
        <w:rPr>
          <w:rFonts w:hint="eastAsia" w:ascii="宋体" w:hAnsi="宋体"/>
          <w:b/>
          <w:bCs w:val="0"/>
          <w:color w:val="000000"/>
          <w:sz w:val="21"/>
          <w:szCs w:val="21"/>
        </w:rPr>
      </w:pPr>
      <w:bookmarkStart w:id="84" w:name="_Toc423354189"/>
      <w:bookmarkEnd w:id="84"/>
      <w:bookmarkStart w:id="85" w:name="_Toc423354058"/>
      <w:bookmarkEnd w:id="85"/>
      <w:bookmarkStart w:id="86" w:name="_Toc423354124"/>
      <w:bookmarkEnd w:id="86"/>
      <w:bookmarkStart w:id="87" w:name="_Toc423426251"/>
      <w:bookmarkEnd w:id="87"/>
      <w:bookmarkStart w:id="88" w:name="_Toc423360091"/>
      <w:bookmarkEnd w:id="88"/>
      <w:bookmarkStart w:id="89" w:name="_Toc423426250"/>
      <w:bookmarkEnd w:id="89"/>
      <w:bookmarkStart w:id="90" w:name="_Toc423353443"/>
      <w:bookmarkEnd w:id="90"/>
      <w:bookmarkStart w:id="91" w:name="_Toc423295281"/>
      <w:bookmarkEnd w:id="91"/>
      <w:bookmarkStart w:id="92" w:name="_Toc423441671"/>
      <w:bookmarkEnd w:id="92"/>
      <w:bookmarkStart w:id="93" w:name="_Toc423360092"/>
      <w:bookmarkEnd w:id="93"/>
      <w:bookmarkStart w:id="94" w:name="_Toc423353993"/>
      <w:bookmarkEnd w:id="94"/>
      <w:bookmarkStart w:id="95" w:name="_Toc396598790"/>
      <w:bookmarkEnd w:id="95"/>
      <w:bookmarkStart w:id="96" w:name="_Toc423354059"/>
      <w:bookmarkEnd w:id="96"/>
      <w:bookmarkStart w:id="97" w:name="_Toc423353994"/>
      <w:bookmarkEnd w:id="97"/>
      <w:bookmarkStart w:id="98" w:name="_Toc423354190"/>
      <w:bookmarkEnd w:id="98"/>
      <w:bookmarkStart w:id="99" w:name="_Toc423441670"/>
      <w:bookmarkEnd w:id="99"/>
      <w:bookmarkStart w:id="100" w:name="_Toc423295282"/>
      <w:bookmarkEnd w:id="100"/>
      <w:bookmarkStart w:id="101" w:name="_Toc423354125"/>
      <w:bookmarkEnd w:id="101"/>
      <w:bookmarkStart w:id="102" w:name="_Toc423353442"/>
      <w:bookmarkEnd w:id="102"/>
      <w:bookmarkStart w:id="103" w:name="_Toc423441676"/>
      <w:bookmarkStart w:id="104" w:name="_Toc171695462"/>
      <w:bookmarkStart w:id="105" w:name="_Toc2446"/>
      <w:bookmarkStart w:id="106" w:name="_Toc423426256"/>
      <w:bookmarkStart w:id="107" w:name="_Toc423441672"/>
      <w:bookmarkStart w:id="108" w:name="_Toc423426252"/>
      <w:r>
        <w:rPr>
          <w:rFonts w:hint="eastAsia" w:ascii="宋体" w:hAnsi="宋体"/>
          <w:b/>
          <w:bCs w:val="0"/>
          <w:color w:val="000000"/>
          <w:sz w:val="21"/>
          <w:szCs w:val="21"/>
        </w:rPr>
        <w:t xml:space="preserve"> </w:t>
      </w:r>
      <w:r>
        <w:rPr>
          <w:rFonts w:ascii="宋体" w:hAnsi="宋体"/>
          <w:b/>
          <w:bCs w:val="0"/>
          <w:color w:val="000000"/>
          <w:sz w:val="21"/>
          <w:szCs w:val="21"/>
        </w:rPr>
        <w:t>可交付成果</w:t>
      </w:r>
      <w:bookmarkEnd w:id="103"/>
      <w:bookmarkEnd w:id="104"/>
      <w:bookmarkEnd w:id="105"/>
      <w:bookmarkEnd w:id="106"/>
    </w:p>
    <w:p w14:paraId="4950B06D">
      <w:pPr>
        <w:pStyle w:val="96"/>
        <w:spacing w:line="360" w:lineRule="auto"/>
        <w:rPr>
          <w:rFonts w:hint="eastAsia" w:ascii="宋体" w:hAnsi="宋体"/>
          <w:color w:val="000000"/>
          <w:szCs w:val="21"/>
        </w:rPr>
      </w:pPr>
      <w:r>
        <w:rPr>
          <w:rFonts w:ascii="宋体" w:hAnsi="宋体"/>
          <w:color w:val="000000"/>
          <w:szCs w:val="21"/>
        </w:rPr>
        <w:t>供应商的设计方案及工程样机通过采购人的认可后，需要将所有的输出成果，包括但不限于系统软件、升级方案、软件代码、各类文档交付给采购人。具体要求如下：</w:t>
      </w:r>
    </w:p>
    <w:p w14:paraId="08251327">
      <w:pPr>
        <w:pStyle w:val="96"/>
        <w:numPr>
          <w:ilvl w:val="0"/>
          <w:numId w:val="26"/>
        </w:numPr>
        <w:spacing w:before="156" w:beforeLines="50" w:line="300" w:lineRule="auto"/>
        <w:ind w:firstLineChars="0"/>
        <w:outlineLvl w:val="2"/>
        <w:rPr>
          <w:rFonts w:hint="eastAsia" w:ascii="宋体" w:hAnsi="宋体"/>
          <w:b/>
          <w:bCs/>
          <w:vanish/>
          <w:color w:val="000000"/>
          <w:szCs w:val="21"/>
        </w:rPr>
      </w:pPr>
    </w:p>
    <w:p w14:paraId="40541959">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知识产权</w:t>
      </w:r>
    </w:p>
    <w:p w14:paraId="7BC2834B">
      <w:pPr>
        <w:pStyle w:val="96"/>
        <w:spacing w:line="360" w:lineRule="auto"/>
        <w:rPr>
          <w:rFonts w:hint="eastAsia" w:ascii="宋体" w:hAnsi="宋体"/>
          <w:color w:val="000000"/>
          <w:szCs w:val="21"/>
        </w:rPr>
      </w:pPr>
      <w:r>
        <w:rPr>
          <w:rFonts w:hint="eastAsia" w:ascii="宋体" w:hAnsi="宋体"/>
          <w:color w:val="000000"/>
          <w:szCs w:val="21"/>
        </w:rPr>
        <w:t>★</w:t>
      </w:r>
      <w:r>
        <w:rPr>
          <w:rFonts w:ascii="宋体" w:hAnsi="宋体"/>
          <w:color w:val="000000"/>
          <w:szCs w:val="21"/>
        </w:rPr>
        <w:t>供应商需向采购人提供以下交付成果，所有知识产权由采购人和供应商共享，乙方向甲方完全开放所有软件开发源代码；甲方有权根据自己的规划、方案，或与乙方讨论并修改的规划和方案单独申请国家、省、市或行业的奖项。</w:t>
      </w:r>
    </w:p>
    <w:p w14:paraId="7E2D2A3B">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软件</w:t>
      </w:r>
    </w:p>
    <w:p w14:paraId="76A072B4">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机顶盒软件及备份，</w:t>
      </w:r>
      <w:r>
        <w:rPr>
          <w:rFonts w:hint="eastAsia" w:ascii="宋体" w:hAnsi="宋体"/>
          <w:color w:val="000000"/>
          <w:szCs w:val="21"/>
        </w:rPr>
        <w:t>项目软件包括但不限于开发源代码、接口文档、建设方案、建设图纸、设计方案、模块开发卷宗、测试方案测试记录、系统建设过程中出现的问题及解决方法、操作手册、使用说明书、系统业务规则等;</w:t>
      </w:r>
    </w:p>
    <w:p w14:paraId="68B2178B">
      <w:pPr>
        <w:numPr>
          <w:ilvl w:val="0"/>
          <w:numId w:val="28"/>
        </w:numPr>
        <w:spacing w:line="360" w:lineRule="auto"/>
        <w:rPr>
          <w:rFonts w:hint="eastAsia" w:ascii="宋体" w:hAnsi="宋体"/>
          <w:color w:val="000000"/>
          <w:szCs w:val="21"/>
        </w:rPr>
      </w:pPr>
      <w:r>
        <w:rPr>
          <w:rFonts w:hint="eastAsia" w:ascii="宋体" w:hAnsi="宋体"/>
          <w:color w:val="000000"/>
          <w:szCs w:val="21"/>
        </w:rPr>
        <w:t>提供系统可进行安装和部署的软件包、容器、</w:t>
      </w:r>
      <w:r>
        <w:rPr>
          <w:rFonts w:ascii="宋体" w:hAnsi="宋体"/>
          <w:color w:val="000000"/>
          <w:szCs w:val="21"/>
        </w:rPr>
        <w:t>应用开发API接口规范及相关软件开发工具</w:t>
      </w:r>
      <w:r>
        <w:rPr>
          <w:rFonts w:hint="eastAsia" w:ascii="宋体" w:hAnsi="宋体"/>
          <w:color w:val="000000"/>
          <w:szCs w:val="21"/>
        </w:rPr>
        <w:t>，并且提供详尽的部署文档说明(包括操作系统第三方依赖库、用于系统运行的第三方软件)。</w:t>
      </w:r>
    </w:p>
    <w:p w14:paraId="3688CC9E">
      <w:pPr>
        <w:numPr>
          <w:ilvl w:val="0"/>
          <w:numId w:val="28"/>
        </w:numPr>
        <w:spacing w:line="360" w:lineRule="auto"/>
        <w:rPr>
          <w:rFonts w:hint="eastAsia" w:ascii="宋体" w:hAnsi="宋体"/>
          <w:color w:val="000000"/>
          <w:szCs w:val="21"/>
        </w:rPr>
      </w:pPr>
      <w:r>
        <w:rPr>
          <w:rFonts w:ascii="宋体" w:hAnsi="宋体"/>
          <w:color w:val="000000"/>
          <w:szCs w:val="21"/>
        </w:rPr>
        <w:t>单元测试用例、集成测试用例、可供第三方调用的接口及开发规范。</w:t>
      </w:r>
    </w:p>
    <w:p w14:paraId="71215023">
      <w:pPr>
        <w:pStyle w:val="96"/>
        <w:widowControl/>
        <w:numPr>
          <w:ilvl w:val="0"/>
          <w:numId w:val="28"/>
        </w:numPr>
        <w:spacing w:line="360" w:lineRule="auto"/>
        <w:ind w:firstLineChars="0"/>
        <w:jc w:val="left"/>
        <w:rPr>
          <w:rFonts w:hint="eastAsia" w:ascii="宋体" w:hAnsi="宋体"/>
          <w:color w:val="000000"/>
          <w:szCs w:val="21"/>
        </w:rPr>
      </w:pPr>
      <w:r>
        <w:rPr>
          <w:rFonts w:hint="eastAsia" w:ascii="宋体" w:hAnsi="宋体"/>
          <w:color w:val="000000"/>
          <w:szCs w:val="21"/>
        </w:rPr>
        <w:t>提供可以编译、调试本项目软件源代码工程的环境镜像包或软件包，同时在采购人提供的硬件设备/虚拟机上进行环境部署，并且该环境可以基于软件源代码工程进行正式软件的发布。</w:t>
      </w:r>
    </w:p>
    <w:p w14:paraId="01F5811A">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代码开源及软件工具</w:t>
      </w:r>
    </w:p>
    <w:p w14:paraId="197A61E5">
      <w:pPr>
        <w:pStyle w:val="96"/>
        <w:spacing w:line="360" w:lineRule="auto"/>
        <w:rPr>
          <w:rFonts w:hint="eastAsia" w:ascii="宋体" w:hAnsi="宋体"/>
          <w:color w:val="000000"/>
          <w:szCs w:val="21"/>
        </w:rPr>
      </w:pPr>
      <w:r>
        <w:rPr>
          <w:rFonts w:ascii="宋体" w:hAnsi="宋体"/>
          <w:color w:val="000000"/>
          <w:szCs w:val="21"/>
        </w:rPr>
        <w:t>为解决江苏有线机顶盒终端软件版本管理及发布，供应商需将应用于本次机顶盒升级的软件开源并提供相应软件工具给采购人，相关代码及工具需通过采购人的测试及验证，具体要求如下：</w:t>
      </w:r>
    </w:p>
    <w:p w14:paraId="284A39FD">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供应商中标后需提供整机软件代码给采购人，不能提供的部分代码需阐述详细原因并给出清单，同时以库文件的形式提供给采购人，此外需给出各个库文件的用途、IO、接口等数据。</w:t>
      </w:r>
    </w:p>
    <w:p w14:paraId="1516376E">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供应商中标后需同步提供版本制作工具、版本调试工具、升级文件制作工具等相关工具。</w:t>
      </w:r>
    </w:p>
    <w:p w14:paraId="5ECA9167">
      <w:pPr>
        <w:pStyle w:val="96"/>
        <w:widowControl/>
        <w:numPr>
          <w:ilvl w:val="0"/>
          <w:numId w:val="28"/>
        </w:numPr>
        <w:spacing w:line="360" w:lineRule="auto"/>
        <w:ind w:firstLineChars="0"/>
        <w:jc w:val="left"/>
        <w:rPr>
          <w:rFonts w:hint="eastAsia" w:ascii="宋体" w:hAnsi="宋体"/>
          <w:color w:val="000000"/>
          <w:szCs w:val="21"/>
        </w:rPr>
      </w:pPr>
      <w:r>
        <w:rPr>
          <w:rFonts w:hint="eastAsia" w:ascii="宋体" w:hAnsi="宋体"/>
          <w:color w:val="000000"/>
          <w:szCs w:val="21"/>
        </w:rPr>
        <w:t>软件源代码范围为最终部署的程序源代码，并且以软件源代码工程包的方式提供，涉及支撑软件编译、运行的第三方库/组件、源代码必须一同打包提供，同时提供相应的软件源代码工程目录说明、软件源代码说明，以及第三方库/组件的说明。</w:t>
      </w:r>
    </w:p>
    <w:p w14:paraId="5FF479A4">
      <w:pPr>
        <w:numPr>
          <w:ilvl w:val="1"/>
          <w:numId w:val="26"/>
        </w:numPr>
        <w:spacing w:before="156" w:beforeLines="50" w:line="300" w:lineRule="auto"/>
        <w:outlineLvl w:val="2"/>
        <w:rPr>
          <w:rFonts w:hint="eastAsia" w:ascii="宋体" w:hAnsi="宋体"/>
          <w:b/>
          <w:bCs/>
          <w:color w:val="000000"/>
          <w:szCs w:val="21"/>
        </w:rPr>
      </w:pPr>
      <w:bookmarkStart w:id="109" w:name="_Toc423426247"/>
      <w:bookmarkStart w:id="110" w:name="_Toc423441667"/>
      <w:r>
        <w:rPr>
          <w:rFonts w:hint="eastAsia" w:ascii="宋体" w:hAnsi="宋体"/>
          <w:b/>
          <w:bCs/>
          <w:color w:val="000000"/>
          <w:szCs w:val="21"/>
        </w:rPr>
        <w:t xml:space="preserve"> </w:t>
      </w:r>
      <w:r>
        <w:rPr>
          <w:rFonts w:ascii="宋体" w:hAnsi="宋体"/>
          <w:b/>
          <w:bCs/>
          <w:color w:val="000000"/>
          <w:szCs w:val="21"/>
        </w:rPr>
        <w:t>终端软件授权</w:t>
      </w:r>
      <w:bookmarkEnd w:id="109"/>
      <w:bookmarkEnd w:id="110"/>
    </w:p>
    <w:p w14:paraId="07778083">
      <w:pPr>
        <w:pStyle w:val="96"/>
        <w:spacing w:line="360" w:lineRule="auto"/>
        <w:rPr>
          <w:rFonts w:hint="eastAsia" w:ascii="宋体" w:hAnsi="宋体"/>
          <w:color w:val="000000"/>
          <w:szCs w:val="21"/>
        </w:rPr>
      </w:pPr>
      <w:r>
        <w:rPr>
          <w:rFonts w:ascii="宋体" w:hAnsi="宋体"/>
          <w:color w:val="000000"/>
          <w:szCs w:val="21"/>
        </w:rPr>
        <w:t>为实现江苏有线入网终端的可管可控，采购人拟对终端实现统一授权管理，具体要求如下：</w:t>
      </w:r>
    </w:p>
    <w:p w14:paraId="6CDA7DBA">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供应商中标后不得未经允许在整机软件中私自预埋机顶盒软件授权客户端。</w:t>
      </w:r>
    </w:p>
    <w:p w14:paraId="5978C5BD">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供应商中标后需按照要求集成采购人的机顶盒软件授权客户端。</w:t>
      </w:r>
    </w:p>
    <w:p w14:paraId="17C1ED15">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整机软件支持按照机顶盒MAC地址、SN号、品牌、型号等方式灵活组合授权。</w:t>
      </w:r>
    </w:p>
    <w:p w14:paraId="011E98CC">
      <w:pPr>
        <w:pStyle w:val="96"/>
        <w:widowControl/>
        <w:numPr>
          <w:ilvl w:val="0"/>
          <w:numId w:val="28"/>
        </w:numPr>
        <w:spacing w:line="360" w:lineRule="auto"/>
        <w:ind w:firstLineChars="0"/>
        <w:jc w:val="left"/>
        <w:rPr>
          <w:rFonts w:hint="eastAsia" w:ascii="宋体" w:hAnsi="宋体"/>
          <w:color w:val="000000"/>
          <w:szCs w:val="21"/>
        </w:rPr>
      </w:pPr>
      <w:r>
        <w:rPr>
          <w:rFonts w:ascii="宋体" w:hAnsi="宋体"/>
          <w:color w:val="000000"/>
          <w:szCs w:val="21"/>
        </w:rPr>
        <w:t>采购人和供应商双方通过双方均认可的授权管理系统对机顶盒数量进行确认。</w:t>
      </w:r>
    </w:p>
    <w:p w14:paraId="6CC8B00F">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文档</w:t>
      </w:r>
    </w:p>
    <w:p w14:paraId="0D45E9E7">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供应商提供的所有文档必须同时提供硬拷贝和电子文档。</w:t>
      </w:r>
    </w:p>
    <w:p w14:paraId="5693BC22">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供应商提供项目建议书方案，须具备极强的针对性，可操作，可实施性。项目建议书应包括技术建议书、工程实施计划、技术支持与售后服务方案、其它技术的完整文档。</w:t>
      </w:r>
    </w:p>
    <w:p w14:paraId="410AE578">
      <w:pPr>
        <w:numPr>
          <w:ilvl w:val="0"/>
          <w:numId w:val="28"/>
        </w:numPr>
        <w:spacing w:line="360" w:lineRule="auto"/>
        <w:rPr>
          <w:rFonts w:hint="eastAsia" w:ascii="宋体" w:hAnsi="宋体"/>
          <w:color w:val="000000"/>
          <w:szCs w:val="21"/>
        </w:rPr>
      </w:pPr>
      <w:r>
        <w:rPr>
          <w:rFonts w:ascii="宋体" w:hAnsi="宋体"/>
          <w:color w:val="000000"/>
          <w:szCs w:val="21"/>
        </w:rPr>
        <w:t>根据采购人要求的项目时间节点，提供详细的项目实施计划表，包括：开发计划、进度计划、项目资源及联系表等。</w:t>
      </w:r>
    </w:p>
    <w:p w14:paraId="67AFB6EA">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软件方案设计技术完整文档和代码，设计文档必须完整清晰，包含各种接口、协议、架构和流程文档。</w:t>
      </w:r>
    </w:p>
    <w:p w14:paraId="67E82B9B">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终端软件逻辑设计文档，结构设计文档，接口设计文档，程序详细设计说明书，软件模块设计文档，软件故障处理流程文档。</w:t>
      </w:r>
    </w:p>
    <w:p w14:paraId="613108DB">
      <w:pPr>
        <w:numPr>
          <w:ilvl w:val="0"/>
          <w:numId w:val="28"/>
        </w:numPr>
        <w:spacing w:line="360" w:lineRule="auto"/>
        <w:rPr>
          <w:rFonts w:hint="eastAsia" w:ascii="宋体" w:hAnsi="宋体"/>
          <w:color w:val="000000"/>
          <w:szCs w:val="21"/>
        </w:rPr>
      </w:pPr>
      <w:r>
        <w:rPr>
          <w:rFonts w:ascii="宋体" w:hAnsi="宋体"/>
          <w:color w:val="000000"/>
          <w:szCs w:val="21"/>
        </w:rPr>
        <w:t>软件模块关联图、数据流程图，对模块之间的调用关系和调用接口给出详细说明。</w:t>
      </w:r>
    </w:p>
    <w:p w14:paraId="046A1DE2">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配合采购人完成的机顶盒功能及业务集成需求文档。</w:t>
      </w:r>
    </w:p>
    <w:p w14:paraId="558DD706">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提供业务页面制作规范和第三方CP/SP开发所需的DEMO页面模板。</w:t>
      </w:r>
    </w:p>
    <w:p w14:paraId="421042F4">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配合采购人完成的各类规范文档。</w:t>
      </w:r>
    </w:p>
    <w:p w14:paraId="5FE281EF">
      <w:pPr>
        <w:numPr>
          <w:ilvl w:val="0"/>
          <w:numId w:val="28"/>
        </w:numPr>
        <w:spacing w:line="360" w:lineRule="auto"/>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与采购人共同撰写测试文档，完成测试报告。</w:t>
      </w:r>
    </w:p>
    <w:p w14:paraId="0503D95A">
      <w:pPr>
        <w:numPr>
          <w:ilvl w:val="0"/>
          <w:numId w:val="28"/>
        </w:numPr>
        <w:spacing w:line="360" w:lineRule="auto"/>
        <w:rPr>
          <w:rFonts w:hint="eastAsia" w:ascii="宋体" w:hAnsi="宋体"/>
          <w:color w:val="000000"/>
          <w:szCs w:val="21"/>
        </w:rPr>
      </w:pPr>
      <w:r>
        <w:rPr>
          <w:rFonts w:ascii="宋体" w:hAnsi="宋体"/>
          <w:color w:val="000000"/>
          <w:szCs w:val="21"/>
        </w:rPr>
        <w:t>提供培训相关文档。</w:t>
      </w:r>
    </w:p>
    <w:p w14:paraId="27A58A48">
      <w:pPr>
        <w:numPr>
          <w:ilvl w:val="0"/>
          <w:numId w:val="28"/>
        </w:numPr>
        <w:spacing w:line="360" w:lineRule="auto"/>
        <w:rPr>
          <w:rFonts w:hint="eastAsia" w:ascii="宋体" w:hAnsi="宋体"/>
          <w:color w:val="000000"/>
          <w:szCs w:val="21"/>
        </w:rPr>
      </w:pPr>
      <w:r>
        <w:rPr>
          <w:rFonts w:ascii="宋体" w:hAnsi="宋体"/>
          <w:color w:val="000000"/>
          <w:szCs w:val="21"/>
        </w:rPr>
        <w:t>其他供应商应该提供的技术资料和文档。</w:t>
      </w:r>
    </w:p>
    <w:p w14:paraId="61953BEF">
      <w:pPr>
        <w:pStyle w:val="4"/>
        <w:numPr>
          <w:ilvl w:val="0"/>
          <w:numId w:val="24"/>
        </w:numPr>
        <w:spacing w:line="300" w:lineRule="auto"/>
        <w:ind w:left="357" w:hanging="357"/>
        <w:rPr>
          <w:rFonts w:hint="eastAsia" w:ascii="宋体" w:hAnsi="宋体"/>
          <w:b/>
          <w:bCs w:val="0"/>
          <w:color w:val="000000"/>
          <w:sz w:val="21"/>
          <w:szCs w:val="21"/>
        </w:rPr>
      </w:pPr>
      <w:bookmarkStart w:id="111" w:name="_Toc171695463"/>
      <w:bookmarkStart w:id="112" w:name="_Toc10230"/>
      <w:r>
        <w:rPr>
          <w:rFonts w:hint="eastAsia" w:ascii="宋体" w:hAnsi="宋体"/>
          <w:b/>
          <w:bCs w:val="0"/>
          <w:color w:val="000000"/>
          <w:sz w:val="21"/>
          <w:szCs w:val="21"/>
        </w:rPr>
        <w:t xml:space="preserve"> </w:t>
      </w:r>
      <w:r>
        <w:rPr>
          <w:rFonts w:ascii="宋体" w:hAnsi="宋体"/>
          <w:b/>
          <w:bCs w:val="0"/>
          <w:color w:val="000000"/>
          <w:sz w:val="21"/>
          <w:szCs w:val="21"/>
        </w:rPr>
        <w:t>项目组织</w:t>
      </w:r>
      <w:bookmarkEnd w:id="107"/>
      <w:bookmarkEnd w:id="108"/>
      <w:r>
        <w:rPr>
          <w:rFonts w:ascii="宋体" w:hAnsi="宋体"/>
          <w:b/>
          <w:bCs w:val="0"/>
          <w:color w:val="000000"/>
          <w:sz w:val="21"/>
          <w:szCs w:val="21"/>
        </w:rPr>
        <w:t>与实施</w:t>
      </w:r>
      <w:bookmarkEnd w:id="111"/>
      <w:bookmarkEnd w:id="112"/>
    </w:p>
    <w:p w14:paraId="497CBB31">
      <w:pPr>
        <w:pStyle w:val="96"/>
        <w:numPr>
          <w:ilvl w:val="0"/>
          <w:numId w:val="26"/>
        </w:numPr>
        <w:spacing w:before="156" w:beforeLines="50" w:line="300" w:lineRule="auto"/>
        <w:ind w:firstLineChars="0"/>
        <w:outlineLvl w:val="2"/>
        <w:rPr>
          <w:rFonts w:hint="eastAsia" w:ascii="宋体" w:hAnsi="宋体"/>
          <w:b/>
          <w:bCs/>
          <w:vanish/>
          <w:color w:val="000000"/>
          <w:szCs w:val="21"/>
        </w:rPr>
      </w:pPr>
    </w:p>
    <w:p w14:paraId="34CAD17D">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项目人员</w:t>
      </w:r>
    </w:p>
    <w:p w14:paraId="14632900">
      <w:pPr>
        <w:pStyle w:val="364"/>
        <w:numPr>
          <w:ilvl w:val="1"/>
          <w:numId w:val="0"/>
        </w:numPr>
        <w:spacing w:line="360" w:lineRule="auto"/>
        <w:ind w:firstLine="420" w:firstLineChars="200"/>
        <w:rPr>
          <w:rFonts w:hint="eastAsia" w:hAnsi="宋体"/>
          <w:bCs/>
          <w:color w:val="000000"/>
          <w:szCs w:val="21"/>
        </w:rPr>
      </w:pPr>
      <w:r>
        <w:rPr>
          <w:rFonts w:hint="eastAsia" w:hAnsi="宋体"/>
          <w:color w:val="000000"/>
        </w:rPr>
        <w:t>供应商须提供本项目的详细项目组人员配备方案，在项目开发期内投入不少于10人的研发团队,其中至少有</w:t>
      </w:r>
      <w:r>
        <w:rPr>
          <w:rFonts w:hAnsi="宋体"/>
          <w:color w:val="000000"/>
        </w:rPr>
        <w:t>1</w:t>
      </w:r>
      <w:r>
        <w:rPr>
          <w:rFonts w:hint="eastAsia" w:hAnsi="宋体"/>
          <w:color w:val="000000"/>
        </w:rPr>
        <w:t>名专职项目经理,3名专职技术工程师、6名开发人员。具体要求见</w:t>
      </w:r>
      <w:r>
        <w:rPr>
          <w:rFonts w:hAnsi="宋体"/>
          <w:color w:val="000000"/>
        </w:rPr>
        <w:fldChar w:fldCharType="begin"/>
      </w:r>
      <w:r>
        <w:rPr>
          <w:rFonts w:hAnsi="宋体"/>
          <w:color w:val="000000"/>
        </w:rPr>
        <w:instrText xml:space="preserve"> </w:instrText>
      </w:r>
      <w:r>
        <w:rPr>
          <w:rFonts w:hint="eastAsia" w:hAnsi="宋体"/>
          <w:color w:val="000000"/>
        </w:rPr>
        <w:instrText xml:space="preserve">REF _Ref153213846 \h</w:instrText>
      </w:r>
      <w:r>
        <w:rPr>
          <w:rFonts w:hAnsi="宋体"/>
          <w:color w:val="000000"/>
        </w:rPr>
        <w:instrText xml:space="preserve">  \* MERGEFORMAT </w:instrText>
      </w:r>
      <w:r>
        <w:rPr>
          <w:rFonts w:hAnsi="宋体"/>
          <w:color w:val="000000"/>
        </w:rPr>
        <w:fldChar w:fldCharType="separate"/>
      </w:r>
      <w:r>
        <w:rPr>
          <w:rFonts w:hint="eastAsia" w:hAnsi="宋体"/>
          <w:color w:val="000000"/>
        </w:rPr>
        <w:t>表</w:t>
      </w:r>
      <w:r>
        <w:rPr>
          <w:rFonts w:hAnsi="宋体"/>
          <w:color w:val="000000"/>
        </w:rPr>
        <w:t>10</w:t>
      </w:r>
      <w:r>
        <w:rPr>
          <w:rFonts w:hint="eastAsia" w:hAnsi="宋体"/>
          <w:color w:val="000000"/>
        </w:rPr>
        <w:t>：研发团队要求</w:t>
      </w:r>
      <w:r>
        <w:rPr>
          <w:rFonts w:hAnsi="宋体"/>
          <w:color w:val="000000"/>
        </w:rPr>
        <w:fldChar w:fldCharType="end"/>
      </w:r>
    </w:p>
    <w:p w14:paraId="01CD8374">
      <w:pPr>
        <w:pStyle w:val="16"/>
        <w:keepNext/>
        <w:spacing w:line="360" w:lineRule="auto"/>
        <w:rPr>
          <w:rFonts w:hint="eastAsia" w:ascii="宋体" w:hAnsi="宋体" w:eastAsia="宋体"/>
          <w:color w:val="000000"/>
          <w:kern w:val="0"/>
        </w:rPr>
      </w:pPr>
      <w:bookmarkStart w:id="113" w:name="_Ref153213846"/>
      <w:r>
        <w:rPr>
          <w:rFonts w:hint="eastAsia" w:ascii="宋体" w:hAnsi="宋体" w:eastAsia="宋体"/>
          <w:color w:val="000000"/>
          <w:kern w:val="0"/>
        </w:rPr>
        <w:t>表</w:t>
      </w:r>
      <w:r>
        <w:rPr>
          <w:rFonts w:ascii="宋体" w:hAnsi="宋体" w:eastAsia="宋体"/>
          <w:color w:val="000000"/>
          <w:kern w:val="0"/>
        </w:rPr>
        <w:fldChar w:fldCharType="begin"/>
      </w:r>
      <w:r>
        <w:rPr>
          <w:rFonts w:ascii="宋体" w:hAnsi="宋体" w:eastAsia="宋体"/>
          <w:color w:val="000000"/>
          <w:kern w:val="0"/>
        </w:rPr>
        <w:instrText xml:space="preserve"> </w:instrText>
      </w:r>
      <w:r>
        <w:rPr>
          <w:rFonts w:hint="eastAsia" w:ascii="宋体" w:hAnsi="宋体" w:eastAsia="宋体"/>
          <w:color w:val="000000"/>
          <w:kern w:val="0"/>
        </w:rPr>
        <w:instrText xml:space="preserve">SEQ 表 \* ARABIC</w:instrText>
      </w:r>
      <w:r>
        <w:rPr>
          <w:rFonts w:ascii="宋体" w:hAnsi="宋体" w:eastAsia="宋体"/>
          <w:color w:val="000000"/>
          <w:kern w:val="0"/>
        </w:rPr>
        <w:instrText xml:space="preserve"> </w:instrText>
      </w:r>
      <w:r>
        <w:rPr>
          <w:rFonts w:ascii="宋体" w:hAnsi="宋体" w:eastAsia="宋体"/>
          <w:color w:val="000000"/>
          <w:kern w:val="0"/>
        </w:rPr>
        <w:fldChar w:fldCharType="separate"/>
      </w:r>
      <w:r>
        <w:rPr>
          <w:rFonts w:ascii="宋体" w:hAnsi="宋体" w:eastAsia="宋体"/>
          <w:color w:val="000000"/>
          <w:kern w:val="0"/>
        </w:rPr>
        <w:t>10</w:t>
      </w:r>
      <w:r>
        <w:rPr>
          <w:rFonts w:ascii="宋体" w:hAnsi="宋体" w:eastAsia="宋体"/>
          <w:color w:val="000000"/>
          <w:kern w:val="0"/>
        </w:rPr>
        <w:fldChar w:fldCharType="end"/>
      </w:r>
      <w:r>
        <w:rPr>
          <w:rFonts w:hint="eastAsia" w:ascii="宋体" w:hAnsi="宋体" w:eastAsia="宋体"/>
          <w:color w:val="000000"/>
          <w:kern w:val="0"/>
        </w:rPr>
        <w:t>：研发团队要求</w:t>
      </w:r>
      <w:bookmarkEnd w:id="113"/>
    </w:p>
    <w:tbl>
      <w:tblPr>
        <w:tblStyle w:val="58"/>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2268"/>
        <w:gridCol w:w="1701"/>
        <w:gridCol w:w="1134"/>
        <w:gridCol w:w="1268"/>
      </w:tblGrid>
      <w:tr w14:paraId="1445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9" w:type="dxa"/>
            <w:shd w:val="clear" w:color="auto" w:fill="D9D9D9"/>
            <w:vAlign w:val="center"/>
          </w:tcPr>
          <w:p w14:paraId="5E53D9B4">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岗位</w:t>
            </w:r>
          </w:p>
        </w:tc>
        <w:tc>
          <w:tcPr>
            <w:tcW w:w="1276" w:type="dxa"/>
            <w:shd w:val="clear" w:color="auto" w:fill="D9D9D9"/>
            <w:vAlign w:val="center"/>
          </w:tcPr>
          <w:p w14:paraId="1F3562A6">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人数</w:t>
            </w:r>
          </w:p>
        </w:tc>
        <w:tc>
          <w:tcPr>
            <w:tcW w:w="2268" w:type="dxa"/>
            <w:shd w:val="clear" w:color="auto" w:fill="D9D9D9"/>
            <w:vAlign w:val="center"/>
          </w:tcPr>
          <w:p w14:paraId="7CBCC35D">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学历/经验/资质</w:t>
            </w:r>
          </w:p>
        </w:tc>
        <w:tc>
          <w:tcPr>
            <w:tcW w:w="1701" w:type="dxa"/>
            <w:shd w:val="clear" w:color="auto" w:fill="D9D9D9"/>
            <w:vAlign w:val="center"/>
          </w:tcPr>
          <w:p w14:paraId="5A69BCFD">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岗位职责</w:t>
            </w:r>
          </w:p>
        </w:tc>
        <w:tc>
          <w:tcPr>
            <w:tcW w:w="1134" w:type="dxa"/>
            <w:shd w:val="clear" w:color="auto" w:fill="D9D9D9"/>
            <w:vAlign w:val="center"/>
          </w:tcPr>
          <w:p w14:paraId="78AC88C6">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是否驻场</w:t>
            </w:r>
          </w:p>
        </w:tc>
        <w:tc>
          <w:tcPr>
            <w:tcW w:w="1268" w:type="dxa"/>
            <w:shd w:val="clear" w:color="auto" w:fill="D9D9D9"/>
            <w:vAlign w:val="center"/>
          </w:tcPr>
          <w:p w14:paraId="7222AE03">
            <w:pPr>
              <w:widowControl/>
              <w:autoSpaceDE w:val="0"/>
              <w:autoSpaceDN w:val="0"/>
              <w:spacing w:line="360" w:lineRule="auto"/>
              <w:jc w:val="center"/>
              <w:rPr>
                <w:rFonts w:hint="eastAsia" w:ascii="宋体" w:hAnsi="宋体"/>
                <w:b/>
                <w:bCs/>
                <w:color w:val="000000"/>
                <w:kern w:val="0"/>
              </w:rPr>
            </w:pPr>
            <w:r>
              <w:rPr>
                <w:rFonts w:hint="eastAsia" w:ascii="宋体" w:hAnsi="宋体"/>
                <w:b/>
                <w:bCs/>
                <w:color w:val="000000"/>
                <w:kern w:val="0"/>
              </w:rPr>
              <w:t>驻场时间</w:t>
            </w:r>
          </w:p>
        </w:tc>
      </w:tr>
      <w:tr w14:paraId="0A624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0C81F085">
            <w:pPr>
              <w:widowControl/>
              <w:autoSpaceDE w:val="0"/>
              <w:autoSpaceDN w:val="0"/>
              <w:spacing w:line="360" w:lineRule="auto"/>
              <w:jc w:val="center"/>
              <w:rPr>
                <w:rFonts w:hint="eastAsia" w:ascii="宋体" w:hAnsi="宋体"/>
                <w:b/>
                <w:bCs/>
                <w:color w:val="000000"/>
                <w:kern w:val="0"/>
              </w:rPr>
            </w:pPr>
            <w:r>
              <w:rPr>
                <w:rFonts w:hint="eastAsia" w:ascii="宋体" w:hAnsi="宋体"/>
                <w:color w:val="000000"/>
                <w:kern w:val="0"/>
              </w:rPr>
              <w:t>项目经理</w:t>
            </w:r>
          </w:p>
        </w:tc>
        <w:tc>
          <w:tcPr>
            <w:tcW w:w="1276" w:type="dxa"/>
            <w:shd w:val="clear" w:color="auto" w:fill="auto"/>
            <w:vAlign w:val="center"/>
          </w:tcPr>
          <w:p w14:paraId="42E0A7F9">
            <w:pPr>
              <w:widowControl/>
              <w:autoSpaceDE w:val="0"/>
              <w:autoSpaceDN w:val="0"/>
              <w:spacing w:line="360" w:lineRule="auto"/>
              <w:jc w:val="center"/>
              <w:rPr>
                <w:rFonts w:hint="eastAsia" w:ascii="宋体" w:hAnsi="宋体"/>
                <w:color w:val="000000"/>
                <w:kern w:val="0"/>
              </w:rPr>
            </w:pPr>
            <w:r>
              <w:rPr>
                <w:rFonts w:hint="eastAsia" w:ascii="宋体" w:hAnsi="宋体"/>
                <w:color w:val="000000"/>
                <w:kern w:val="0"/>
              </w:rPr>
              <w:t>1</w:t>
            </w:r>
          </w:p>
        </w:tc>
        <w:tc>
          <w:tcPr>
            <w:tcW w:w="2268" w:type="dxa"/>
            <w:shd w:val="clear" w:color="auto" w:fill="auto"/>
            <w:vAlign w:val="center"/>
          </w:tcPr>
          <w:p w14:paraId="52F7250F">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本科及以上学历、3年及以上类似项目工作经验、为供应商正式员工且在该公司入职3年及以上。</w:t>
            </w:r>
          </w:p>
        </w:tc>
        <w:tc>
          <w:tcPr>
            <w:tcW w:w="1701" w:type="dxa"/>
            <w:shd w:val="clear" w:color="auto" w:fill="auto"/>
            <w:vAlign w:val="center"/>
          </w:tcPr>
          <w:p w14:paraId="3456FBC7">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项目管理与资源协调、把控项目进度。</w:t>
            </w:r>
          </w:p>
        </w:tc>
        <w:tc>
          <w:tcPr>
            <w:tcW w:w="1134" w:type="dxa"/>
            <w:shd w:val="clear" w:color="auto" w:fill="auto"/>
            <w:vAlign w:val="center"/>
          </w:tcPr>
          <w:p w14:paraId="698C5881">
            <w:pPr>
              <w:widowControl/>
              <w:autoSpaceDE w:val="0"/>
              <w:autoSpaceDN w:val="0"/>
              <w:spacing w:line="360" w:lineRule="auto"/>
              <w:jc w:val="center"/>
              <w:rPr>
                <w:rFonts w:hint="eastAsia" w:ascii="宋体" w:hAnsi="宋体"/>
                <w:color w:val="000000"/>
                <w:kern w:val="0"/>
              </w:rPr>
            </w:pPr>
            <w:r>
              <w:rPr>
                <w:rFonts w:hint="eastAsia" w:ascii="宋体" w:hAnsi="宋体"/>
                <w:color w:val="000000"/>
                <w:kern w:val="0"/>
              </w:rPr>
              <w:t>按需驻场</w:t>
            </w:r>
          </w:p>
        </w:tc>
        <w:tc>
          <w:tcPr>
            <w:tcW w:w="1268" w:type="dxa"/>
            <w:shd w:val="clear" w:color="auto" w:fill="auto"/>
            <w:vAlign w:val="center"/>
          </w:tcPr>
          <w:p w14:paraId="581A767D">
            <w:pPr>
              <w:widowControl/>
              <w:autoSpaceDE w:val="0"/>
              <w:autoSpaceDN w:val="0"/>
              <w:spacing w:line="360" w:lineRule="auto"/>
              <w:jc w:val="center"/>
              <w:rPr>
                <w:rFonts w:hint="eastAsia" w:ascii="宋体" w:hAnsi="宋体"/>
                <w:color w:val="000000"/>
                <w:kern w:val="0"/>
              </w:rPr>
            </w:pPr>
            <w:r>
              <w:rPr>
                <w:rFonts w:hint="eastAsia" w:ascii="宋体" w:hAnsi="宋体"/>
                <w:color w:val="000000"/>
                <w:kern w:val="0"/>
              </w:rPr>
              <w:t>至少3</w:t>
            </w:r>
            <w:r>
              <w:rPr>
                <w:rFonts w:ascii="宋体" w:hAnsi="宋体"/>
                <w:color w:val="000000"/>
                <w:kern w:val="0"/>
              </w:rPr>
              <w:t>0</w:t>
            </w:r>
            <w:r>
              <w:rPr>
                <w:rFonts w:hint="eastAsia" w:ascii="宋体" w:hAnsi="宋体"/>
                <w:color w:val="000000"/>
                <w:kern w:val="0"/>
              </w:rPr>
              <w:t>天</w:t>
            </w:r>
          </w:p>
        </w:tc>
      </w:tr>
      <w:tr w14:paraId="28666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52E97396">
            <w:pPr>
              <w:widowControl/>
              <w:autoSpaceDE w:val="0"/>
              <w:autoSpaceDN w:val="0"/>
              <w:spacing w:line="360" w:lineRule="auto"/>
              <w:jc w:val="center"/>
              <w:rPr>
                <w:rFonts w:hint="eastAsia" w:ascii="宋体" w:hAnsi="宋体"/>
                <w:color w:val="000000"/>
                <w:kern w:val="0"/>
              </w:rPr>
            </w:pPr>
            <w:r>
              <w:rPr>
                <w:rFonts w:hint="eastAsia" w:ascii="宋体" w:hAnsi="宋体"/>
                <w:color w:val="000000"/>
              </w:rPr>
              <w:t>专职技术工程师</w:t>
            </w:r>
          </w:p>
        </w:tc>
        <w:tc>
          <w:tcPr>
            <w:tcW w:w="1276" w:type="dxa"/>
            <w:shd w:val="clear" w:color="auto" w:fill="auto"/>
            <w:vAlign w:val="center"/>
          </w:tcPr>
          <w:p w14:paraId="2DEE215D">
            <w:pPr>
              <w:widowControl/>
              <w:autoSpaceDE w:val="0"/>
              <w:autoSpaceDN w:val="0"/>
              <w:spacing w:line="360" w:lineRule="auto"/>
              <w:ind w:firstLine="210" w:firstLineChars="100"/>
              <w:rPr>
                <w:rFonts w:hint="eastAsia" w:ascii="宋体" w:hAnsi="宋体"/>
                <w:color w:val="000000"/>
                <w:kern w:val="0"/>
              </w:rPr>
            </w:pPr>
            <w:r>
              <w:rPr>
                <w:rFonts w:hint="eastAsia" w:ascii="宋体" w:hAnsi="宋体"/>
                <w:color w:val="000000"/>
                <w:kern w:val="0"/>
              </w:rPr>
              <w:t>至少3名</w:t>
            </w:r>
          </w:p>
        </w:tc>
        <w:tc>
          <w:tcPr>
            <w:tcW w:w="2268" w:type="dxa"/>
            <w:shd w:val="clear" w:color="auto" w:fill="auto"/>
            <w:vAlign w:val="center"/>
          </w:tcPr>
          <w:p w14:paraId="653FE107">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大专及其以上，3年及以上类似项目工作经验</w:t>
            </w:r>
          </w:p>
        </w:tc>
        <w:tc>
          <w:tcPr>
            <w:tcW w:w="1701" w:type="dxa"/>
            <w:shd w:val="clear" w:color="auto" w:fill="auto"/>
            <w:vAlign w:val="center"/>
          </w:tcPr>
          <w:p w14:paraId="496E831B">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现场安装、调试、测试等</w:t>
            </w:r>
          </w:p>
        </w:tc>
        <w:tc>
          <w:tcPr>
            <w:tcW w:w="1134" w:type="dxa"/>
            <w:shd w:val="clear" w:color="auto" w:fill="auto"/>
            <w:vAlign w:val="center"/>
          </w:tcPr>
          <w:p w14:paraId="3D6DBF84">
            <w:pPr>
              <w:widowControl/>
              <w:autoSpaceDE w:val="0"/>
              <w:autoSpaceDN w:val="0"/>
              <w:spacing w:line="360" w:lineRule="auto"/>
              <w:rPr>
                <w:rFonts w:hint="eastAsia" w:ascii="宋体" w:hAnsi="宋体"/>
                <w:color w:val="000000"/>
                <w:kern w:val="0"/>
              </w:rPr>
            </w:pPr>
            <w:r>
              <w:rPr>
                <w:rFonts w:hint="eastAsia" w:ascii="宋体" w:hAnsi="宋体"/>
                <w:color w:val="000000"/>
                <w:kern w:val="0"/>
              </w:rPr>
              <w:t>驻场</w:t>
            </w:r>
          </w:p>
        </w:tc>
        <w:tc>
          <w:tcPr>
            <w:tcW w:w="1268" w:type="dxa"/>
            <w:shd w:val="clear" w:color="auto" w:fill="auto"/>
            <w:vAlign w:val="center"/>
          </w:tcPr>
          <w:p w14:paraId="545EF563">
            <w:pPr>
              <w:widowControl/>
              <w:autoSpaceDE w:val="0"/>
              <w:autoSpaceDN w:val="0"/>
              <w:spacing w:line="360" w:lineRule="auto"/>
              <w:rPr>
                <w:rFonts w:hint="eastAsia" w:ascii="宋体" w:hAnsi="宋体"/>
                <w:color w:val="000000"/>
                <w:kern w:val="0"/>
              </w:rPr>
            </w:pPr>
            <w:r>
              <w:rPr>
                <w:rFonts w:hint="eastAsia" w:ascii="宋体" w:hAnsi="宋体"/>
                <w:color w:val="000000"/>
                <w:kern w:val="0"/>
              </w:rPr>
              <w:t>项目实施周期内全程驻场</w:t>
            </w:r>
          </w:p>
        </w:tc>
      </w:tr>
      <w:tr w14:paraId="06C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29" w:type="dxa"/>
            <w:shd w:val="clear" w:color="auto" w:fill="auto"/>
            <w:vAlign w:val="center"/>
          </w:tcPr>
          <w:p w14:paraId="10B18772">
            <w:pPr>
              <w:widowControl/>
              <w:autoSpaceDE w:val="0"/>
              <w:autoSpaceDN w:val="0"/>
              <w:spacing w:line="360" w:lineRule="auto"/>
              <w:rPr>
                <w:rFonts w:hint="eastAsia" w:ascii="宋体" w:hAnsi="宋体"/>
                <w:color w:val="000000"/>
                <w:kern w:val="0"/>
              </w:rPr>
            </w:pPr>
            <w:r>
              <w:rPr>
                <w:rFonts w:hint="eastAsia" w:ascii="宋体" w:hAnsi="宋体"/>
                <w:color w:val="000000"/>
              </w:rPr>
              <w:t>开发人员</w:t>
            </w:r>
          </w:p>
        </w:tc>
        <w:tc>
          <w:tcPr>
            <w:tcW w:w="1276" w:type="dxa"/>
            <w:shd w:val="clear" w:color="auto" w:fill="auto"/>
            <w:vAlign w:val="center"/>
          </w:tcPr>
          <w:p w14:paraId="75938F9C">
            <w:pPr>
              <w:widowControl/>
              <w:autoSpaceDE w:val="0"/>
              <w:autoSpaceDN w:val="0"/>
              <w:spacing w:line="360" w:lineRule="auto"/>
              <w:ind w:firstLine="210" w:firstLineChars="100"/>
              <w:rPr>
                <w:rFonts w:hint="eastAsia" w:ascii="宋体" w:hAnsi="宋体"/>
                <w:color w:val="000000"/>
                <w:kern w:val="0"/>
              </w:rPr>
            </w:pPr>
            <w:r>
              <w:rPr>
                <w:rFonts w:hint="eastAsia" w:ascii="宋体" w:hAnsi="宋体"/>
                <w:color w:val="000000"/>
                <w:kern w:val="0"/>
              </w:rPr>
              <w:t>至少</w:t>
            </w:r>
            <w:r>
              <w:rPr>
                <w:rFonts w:ascii="宋体" w:hAnsi="宋体"/>
                <w:color w:val="000000"/>
                <w:kern w:val="0"/>
              </w:rPr>
              <w:t>6</w:t>
            </w:r>
            <w:r>
              <w:rPr>
                <w:rFonts w:hint="eastAsia" w:ascii="宋体" w:hAnsi="宋体"/>
                <w:color w:val="000000"/>
                <w:kern w:val="0"/>
              </w:rPr>
              <w:t>名</w:t>
            </w:r>
          </w:p>
        </w:tc>
        <w:tc>
          <w:tcPr>
            <w:tcW w:w="2268" w:type="dxa"/>
            <w:shd w:val="clear" w:color="auto" w:fill="auto"/>
            <w:vAlign w:val="center"/>
          </w:tcPr>
          <w:p w14:paraId="7122C2E2">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大专及其以上，3年及以上类似项目工作经验</w:t>
            </w:r>
          </w:p>
        </w:tc>
        <w:tc>
          <w:tcPr>
            <w:tcW w:w="1701" w:type="dxa"/>
            <w:shd w:val="clear" w:color="auto" w:fill="auto"/>
            <w:vAlign w:val="center"/>
          </w:tcPr>
          <w:p w14:paraId="72AD16DD">
            <w:pPr>
              <w:widowControl/>
              <w:autoSpaceDE w:val="0"/>
              <w:autoSpaceDN w:val="0"/>
              <w:spacing w:line="360" w:lineRule="auto"/>
              <w:jc w:val="left"/>
              <w:rPr>
                <w:rFonts w:hint="eastAsia" w:ascii="宋体" w:hAnsi="宋体"/>
                <w:color w:val="000000"/>
                <w:kern w:val="0"/>
              </w:rPr>
            </w:pPr>
            <w:r>
              <w:rPr>
                <w:rFonts w:hint="eastAsia" w:ascii="宋体" w:hAnsi="宋体"/>
                <w:color w:val="000000"/>
                <w:kern w:val="0"/>
              </w:rPr>
              <w:t>软件需求的调研、研发、功能集成等</w:t>
            </w:r>
          </w:p>
        </w:tc>
        <w:tc>
          <w:tcPr>
            <w:tcW w:w="1134" w:type="dxa"/>
            <w:shd w:val="clear" w:color="auto" w:fill="auto"/>
            <w:vAlign w:val="center"/>
          </w:tcPr>
          <w:p w14:paraId="328A7E19">
            <w:pPr>
              <w:widowControl/>
              <w:autoSpaceDE w:val="0"/>
              <w:autoSpaceDN w:val="0"/>
              <w:spacing w:line="360" w:lineRule="auto"/>
              <w:rPr>
                <w:rFonts w:hint="eastAsia" w:ascii="宋体" w:hAnsi="宋体"/>
                <w:color w:val="000000"/>
                <w:kern w:val="0"/>
              </w:rPr>
            </w:pPr>
            <w:r>
              <w:rPr>
                <w:rFonts w:hint="eastAsia" w:ascii="宋体" w:hAnsi="宋体"/>
                <w:color w:val="000000"/>
                <w:kern w:val="0"/>
              </w:rPr>
              <w:t>按需驻场</w:t>
            </w:r>
          </w:p>
        </w:tc>
        <w:tc>
          <w:tcPr>
            <w:tcW w:w="1268" w:type="dxa"/>
            <w:shd w:val="clear" w:color="auto" w:fill="auto"/>
            <w:vAlign w:val="center"/>
          </w:tcPr>
          <w:p w14:paraId="5403E79C">
            <w:pPr>
              <w:widowControl/>
              <w:autoSpaceDE w:val="0"/>
              <w:autoSpaceDN w:val="0"/>
              <w:spacing w:line="360" w:lineRule="auto"/>
              <w:rPr>
                <w:rFonts w:hint="eastAsia" w:ascii="宋体" w:hAnsi="宋体"/>
                <w:color w:val="000000"/>
                <w:kern w:val="0"/>
              </w:rPr>
            </w:pPr>
          </w:p>
        </w:tc>
      </w:tr>
    </w:tbl>
    <w:p w14:paraId="0DEA0E30">
      <w:pPr>
        <w:spacing w:line="360" w:lineRule="auto"/>
        <w:ind w:firstLine="630" w:firstLineChars="300"/>
        <w:rPr>
          <w:color w:val="000000"/>
        </w:rPr>
      </w:pPr>
      <w:r>
        <w:rPr>
          <w:rFonts w:hint="eastAsia" w:ascii="宋体" w:hAnsi="宋体"/>
          <w:color w:val="000000"/>
        </w:rPr>
        <w:t>参加项目建设的技术人员必须是供应商正式员工，提供上述人员</w:t>
      </w:r>
      <w:r>
        <w:rPr>
          <w:rFonts w:ascii="宋体" w:hAnsi="宋体" w:cs="宋体"/>
          <w:color w:val="000000"/>
          <w:kern w:val="0"/>
          <w:szCs w:val="21"/>
        </w:rPr>
        <w:t>202</w:t>
      </w:r>
      <w:r>
        <w:rPr>
          <w:rFonts w:hint="eastAsia" w:ascii="宋体" w:hAnsi="宋体" w:cs="宋体"/>
          <w:color w:val="000000"/>
          <w:kern w:val="0"/>
          <w:szCs w:val="21"/>
        </w:rPr>
        <w:t>4</w:t>
      </w:r>
      <w:r>
        <w:rPr>
          <w:rFonts w:ascii="宋体" w:hAnsi="宋体" w:cs="宋体"/>
          <w:color w:val="000000"/>
          <w:kern w:val="0"/>
          <w:szCs w:val="21"/>
        </w:rPr>
        <w:t>年1月以来</w:t>
      </w:r>
      <w:r>
        <w:rPr>
          <w:rFonts w:hint="eastAsia" w:ascii="宋体" w:hAnsi="宋体" w:cs="宋体"/>
          <w:color w:val="000000"/>
          <w:kern w:val="0"/>
          <w:szCs w:val="21"/>
        </w:rPr>
        <w:t>任意连续三个月</w:t>
      </w:r>
      <w:r>
        <w:rPr>
          <w:rFonts w:hint="eastAsia" w:ascii="宋体" w:hAnsi="宋体"/>
          <w:color w:val="000000"/>
        </w:rPr>
        <w:t>在供应商单位的社保证明。（若在项目中标签订合同后一个月内，上述人员未按要求到位，采购人有权立即终止合同执行，中标方并应承担相应的赔偿责任。）</w:t>
      </w:r>
    </w:p>
    <w:p w14:paraId="6997CBAE">
      <w:pPr>
        <w:spacing w:line="360" w:lineRule="auto"/>
        <w:ind w:firstLine="630" w:firstLineChars="300"/>
        <w:rPr>
          <w:rFonts w:hint="eastAsia" w:ascii="宋体" w:hAnsi="宋体"/>
          <w:color w:val="000000"/>
        </w:rPr>
      </w:pPr>
      <w:r>
        <w:rPr>
          <w:rFonts w:hint="eastAsia" w:ascii="宋体" w:hAnsi="宋体"/>
          <w:color w:val="000000"/>
        </w:rPr>
        <w:t>供应商不得缩小项目组人员或者其他资源。核心人员（项目经理,专职技术工程师））在项目结束前未经允许，不得中途更换或者退出。如需更换，须将变更人、替换人资历等情况以书面材料报告项目采购人审核，经同意后方可更换，项目人员变更超过总人数的30%，采购人有权中止合同执行。因供应商人员变更原因所造成的任何项目质量、进度滞后的后果，由供应商承担一切责任。</w:t>
      </w:r>
    </w:p>
    <w:p w14:paraId="69524BC8">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项目组织</w:t>
      </w:r>
    </w:p>
    <w:p w14:paraId="0030DB5D">
      <w:pPr>
        <w:spacing w:line="360" w:lineRule="auto"/>
        <w:ind w:firstLine="420" w:firstLineChars="200"/>
        <w:rPr>
          <w:rFonts w:hint="eastAsia" w:ascii="宋体" w:hAnsi="宋体"/>
          <w:color w:val="000000"/>
          <w:szCs w:val="21"/>
        </w:rPr>
      </w:pPr>
      <w:r>
        <w:rPr>
          <w:rFonts w:ascii="宋体" w:hAnsi="宋体"/>
          <w:color w:val="000000"/>
          <w:szCs w:val="21"/>
        </w:rPr>
        <w:t>供应商必须根据整个项目的实施要求制定具体项目实施计划和完善的人员管理制度。在项目组织上要求供应商针对重要工作内容成立专职工作组，要求至少包括以下几个方面：</w:t>
      </w:r>
    </w:p>
    <w:p w14:paraId="25170314">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项目管理：负责整个项目的启动、运行、验收、技术支撑等工作。</w:t>
      </w:r>
    </w:p>
    <w:p w14:paraId="3A8A0D25">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关系协调：负责协调各方关系。</w:t>
      </w:r>
    </w:p>
    <w:p w14:paraId="1662DB8F">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业务集成：负责完成采购人要求的业务系统进行集成。</w:t>
      </w:r>
    </w:p>
    <w:p w14:paraId="321FE4BC">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移植支持：负责为采购人指定的终端生产商提供移植技术支持。</w:t>
      </w:r>
    </w:p>
    <w:p w14:paraId="70055A96">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系统测试：负责终端软件功能、性能测试及平台联调测试，要求提供详细的测试报告。</w:t>
      </w:r>
    </w:p>
    <w:p w14:paraId="11596D27">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配合验收：负责配合采购人制定机顶盒验收方案，并协助采购人完成验收工作。</w:t>
      </w:r>
    </w:p>
    <w:p w14:paraId="12184BCC">
      <w:pPr>
        <w:numPr>
          <w:ilvl w:val="0"/>
          <w:numId w:val="29"/>
        </w:numPr>
        <w:tabs>
          <w:tab w:val="left" w:pos="0"/>
        </w:tabs>
        <w:spacing w:line="360" w:lineRule="auto"/>
        <w:ind w:left="851" w:hanging="419"/>
        <w:rPr>
          <w:rFonts w:hint="eastAsia" w:ascii="宋体" w:hAnsi="宋体"/>
          <w:color w:val="000000"/>
          <w:szCs w:val="21"/>
        </w:rPr>
      </w:pPr>
      <w:r>
        <w:rPr>
          <w:rFonts w:ascii="宋体" w:hAnsi="宋体"/>
          <w:color w:val="000000"/>
          <w:szCs w:val="21"/>
        </w:rPr>
        <w:t>供应商必须按照上述要求确定各工作组的组成人数、技术能力、负责的工作内容以及各个小组之间的组织关系。</w:t>
      </w:r>
    </w:p>
    <w:p w14:paraId="02473F62">
      <w:pPr>
        <w:numPr>
          <w:ilvl w:val="1"/>
          <w:numId w:val="26"/>
        </w:numPr>
        <w:spacing w:before="156" w:beforeLines="50" w:line="300" w:lineRule="auto"/>
        <w:outlineLvl w:val="2"/>
        <w:rPr>
          <w:rFonts w:hint="eastAsia" w:ascii="宋体" w:hAnsi="宋体"/>
          <w:b/>
          <w:bCs/>
          <w:color w:val="000000"/>
          <w:szCs w:val="21"/>
        </w:rPr>
      </w:pPr>
      <w:bookmarkStart w:id="114" w:name="_Toc423426254"/>
      <w:bookmarkStart w:id="115" w:name="_Toc423441674"/>
      <w:r>
        <w:rPr>
          <w:rFonts w:hint="eastAsia" w:ascii="宋体" w:hAnsi="宋体"/>
          <w:b/>
          <w:bCs/>
          <w:color w:val="000000"/>
          <w:szCs w:val="21"/>
        </w:rPr>
        <w:t xml:space="preserve"> ★</w:t>
      </w:r>
      <w:r>
        <w:rPr>
          <w:rFonts w:ascii="宋体" w:hAnsi="宋体"/>
          <w:b/>
          <w:bCs/>
          <w:color w:val="000000"/>
          <w:szCs w:val="21"/>
        </w:rPr>
        <w:t>项目实施</w:t>
      </w:r>
      <w:bookmarkEnd w:id="114"/>
      <w:bookmarkEnd w:id="115"/>
    </w:p>
    <w:p w14:paraId="49DB6E89">
      <w:pPr>
        <w:spacing w:line="360" w:lineRule="auto"/>
        <w:ind w:firstLine="420" w:firstLineChars="200"/>
        <w:rPr>
          <w:rFonts w:hint="eastAsia" w:ascii="宋体" w:hAnsi="宋体"/>
          <w:color w:val="000000"/>
          <w:szCs w:val="21"/>
        </w:rPr>
      </w:pPr>
      <w:r>
        <w:rPr>
          <w:rFonts w:ascii="宋体" w:hAnsi="宋体"/>
          <w:color w:val="000000"/>
          <w:szCs w:val="21"/>
        </w:rPr>
        <w:t>供应商在采购响应文件中须包含供货周期进度表、项目进度表、项目总负责人/项目实施人员名单,项目实施人员需注明南京本部以及各分公司实际联调部署研发人员名单。</w:t>
      </w:r>
    </w:p>
    <w:p w14:paraId="67E7EBFB">
      <w:pPr>
        <w:spacing w:line="360" w:lineRule="auto"/>
        <w:ind w:firstLine="420" w:firstLineChars="200"/>
        <w:rPr>
          <w:rFonts w:hint="eastAsia" w:ascii="宋体" w:hAnsi="宋体"/>
          <w:color w:val="000000"/>
          <w:szCs w:val="21"/>
        </w:rPr>
      </w:pPr>
      <w:r>
        <w:rPr>
          <w:rFonts w:ascii="宋体" w:hAnsi="宋体"/>
          <w:color w:val="000000"/>
          <w:szCs w:val="21"/>
        </w:rPr>
        <w:t>供应商应根据采购人的业务需求及相关的技术规划要求，提出完整的项目管理、系统设计、项目培训、项目施工、项目验收、技术支持方案以及供应商人力资源供给方案（包括人员数量、资质经历、项目背景等介绍，从合同执行之日到终验结束前人员变动情况不得大于</w:t>
      </w:r>
      <w:r>
        <w:rPr>
          <w:rFonts w:hint="eastAsia" w:ascii="宋体" w:hAnsi="宋体"/>
          <w:color w:val="000000"/>
          <w:szCs w:val="21"/>
        </w:rPr>
        <w:t>3</w:t>
      </w:r>
      <w:r>
        <w:rPr>
          <w:rFonts w:ascii="宋体" w:hAnsi="宋体"/>
          <w:color w:val="000000"/>
          <w:szCs w:val="21"/>
        </w:rPr>
        <w:t>0%），并且给出现场服务人员工作量估算。</w:t>
      </w:r>
    </w:p>
    <w:p w14:paraId="5517DE98">
      <w:pPr>
        <w:spacing w:line="360" w:lineRule="auto"/>
        <w:ind w:firstLine="420" w:firstLineChars="200"/>
        <w:rPr>
          <w:rFonts w:hint="eastAsia" w:ascii="宋体" w:hAnsi="宋体"/>
          <w:color w:val="000000"/>
          <w:szCs w:val="21"/>
        </w:rPr>
      </w:pPr>
      <w:r>
        <w:rPr>
          <w:rFonts w:ascii="宋体" w:hAnsi="宋体"/>
          <w:color w:val="000000"/>
          <w:szCs w:val="21"/>
        </w:rPr>
        <w:t>供应商必须根据采购人项目时间要求制定实施方案。如果供应商中标，必须根据该方案组织项目实施。在项目实施的过程中，采购人有对项目进度进行监督控制的职责和权力，供应商应全面配合，每周向采购人提交一份最新项目进度报告。采购人有对软件质量进行监督控制的职责和权力，供应商应全面配合，各阶段都应提交相应的设计、开发技术文档，并经采购人认可。</w:t>
      </w:r>
    </w:p>
    <w:p w14:paraId="455D0DB8">
      <w:pPr>
        <w:spacing w:line="360" w:lineRule="auto"/>
        <w:ind w:firstLine="420" w:firstLineChars="200"/>
        <w:rPr>
          <w:rFonts w:hint="eastAsia" w:ascii="宋体" w:hAnsi="宋体"/>
          <w:color w:val="000000"/>
          <w:szCs w:val="21"/>
        </w:rPr>
      </w:pPr>
      <w:r>
        <w:rPr>
          <w:rFonts w:ascii="宋体" w:hAnsi="宋体"/>
          <w:color w:val="000000"/>
          <w:szCs w:val="21"/>
        </w:rPr>
        <w:t>根据采购人要求，本期项目要求在合同签订后</w:t>
      </w:r>
      <w:r>
        <w:rPr>
          <w:rFonts w:hint="eastAsia" w:ascii="宋体" w:hAnsi="宋体"/>
          <w:color w:val="000000"/>
          <w:szCs w:val="21"/>
        </w:rPr>
        <w:t>90</w:t>
      </w:r>
      <w:r>
        <w:rPr>
          <w:rFonts w:ascii="宋体" w:hAnsi="宋体"/>
          <w:color w:val="000000"/>
          <w:szCs w:val="21"/>
        </w:rPr>
        <w:t>天内能够实现大网小规模升级。</w:t>
      </w:r>
    </w:p>
    <w:p w14:paraId="135C1E1B">
      <w:pPr>
        <w:spacing w:line="360" w:lineRule="auto"/>
        <w:ind w:firstLine="420" w:firstLineChars="200"/>
        <w:rPr>
          <w:rFonts w:hint="eastAsia" w:ascii="宋体" w:hAnsi="宋体"/>
          <w:color w:val="000000"/>
          <w:szCs w:val="21"/>
        </w:rPr>
      </w:pPr>
      <w:r>
        <w:rPr>
          <w:rFonts w:ascii="宋体" w:hAnsi="宋体"/>
          <w:color w:val="000000"/>
          <w:szCs w:val="21"/>
        </w:rPr>
        <w:t>实施方案需包括以下几方面内容：</w:t>
      </w:r>
    </w:p>
    <w:p w14:paraId="58FD3557">
      <w:pPr>
        <w:numPr>
          <w:ilvl w:val="0"/>
          <w:numId w:val="29"/>
        </w:numPr>
        <w:tabs>
          <w:tab w:val="left" w:pos="0"/>
        </w:tabs>
        <w:spacing w:line="360" w:lineRule="auto"/>
        <w:ind w:left="851" w:hanging="419"/>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需求分析</w:t>
      </w:r>
    </w:p>
    <w:p w14:paraId="1DF04F66">
      <w:pPr>
        <w:spacing w:line="360" w:lineRule="auto"/>
        <w:ind w:firstLine="420" w:firstLineChars="200"/>
        <w:rPr>
          <w:rFonts w:hint="eastAsia" w:ascii="宋体" w:hAnsi="宋体"/>
          <w:color w:val="000000"/>
          <w:szCs w:val="21"/>
        </w:rPr>
      </w:pPr>
      <w:r>
        <w:rPr>
          <w:rFonts w:ascii="宋体" w:hAnsi="宋体"/>
          <w:color w:val="000000"/>
          <w:szCs w:val="21"/>
        </w:rPr>
        <w:t>供应商须对软件设计要求，终端功能、性能，业务功能，与前端系统对接，系统构架、软件代码统一管理等方面进行详尽的需求分析，并编写需求规格说明书，同时需细化功能、流程、接口等。</w:t>
      </w:r>
    </w:p>
    <w:p w14:paraId="615E457B">
      <w:pPr>
        <w:numPr>
          <w:ilvl w:val="0"/>
          <w:numId w:val="29"/>
        </w:numPr>
        <w:tabs>
          <w:tab w:val="left" w:pos="0"/>
        </w:tabs>
        <w:spacing w:line="360" w:lineRule="auto"/>
        <w:ind w:left="851" w:hanging="419"/>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开发</w:t>
      </w:r>
    </w:p>
    <w:p w14:paraId="29A74CC8">
      <w:pPr>
        <w:spacing w:line="360" w:lineRule="auto"/>
        <w:ind w:firstLine="420" w:firstLineChars="200"/>
        <w:rPr>
          <w:rFonts w:hint="eastAsia" w:ascii="宋体" w:hAnsi="宋体"/>
          <w:color w:val="000000"/>
          <w:szCs w:val="21"/>
        </w:rPr>
      </w:pPr>
      <w:r>
        <w:rPr>
          <w:rFonts w:ascii="宋体" w:hAnsi="宋体"/>
          <w:color w:val="000000"/>
          <w:szCs w:val="21"/>
        </w:rPr>
        <w:t>供应商须根据需求分析成果，组织优秀的项目实施团队按照采购人需求进行软件方案设计、代码开发、样机开发、与前端系统集成等工作，并编写详尽的设计文档，代码需要有清晰的注释。</w:t>
      </w:r>
    </w:p>
    <w:p w14:paraId="21FEF8E4">
      <w:pPr>
        <w:numPr>
          <w:ilvl w:val="0"/>
          <w:numId w:val="29"/>
        </w:numPr>
        <w:tabs>
          <w:tab w:val="left" w:pos="0"/>
        </w:tabs>
        <w:spacing w:line="360" w:lineRule="auto"/>
        <w:ind w:left="851" w:hanging="419"/>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测试</w:t>
      </w:r>
    </w:p>
    <w:p w14:paraId="7F262263">
      <w:pPr>
        <w:spacing w:line="360" w:lineRule="auto"/>
        <w:ind w:firstLine="420" w:firstLineChars="200"/>
        <w:rPr>
          <w:rFonts w:hint="eastAsia" w:ascii="宋体" w:hAnsi="宋体"/>
          <w:color w:val="000000"/>
          <w:szCs w:val="21"/>
        </w:rPr>
      </w:pPr>
      <w:r>
        <w:rPr>
          <w:rFonts w:ascii="宋体" w:hAnsi="宋体"/>
          <w:color w:val="000000"/>
          <w:szCs w:val="21"/>
        </w:rPr>
        <w:t>供应商在完成终端集成工作后，需要对产品进行模块测试、集成测试、联调测试，并输出测试用例、测试规范、测试报告等文档。</w:t>
      </w:r>
    </w:p>
    <w:p w14:paraId="7AD81EB3">
      <w:pPr>
        <w:numPr>
          <w:ilvl w:val="0"/>
          <w:numId w:val="29"/>
        </w:numPr>
        <w:tabs>
          <w:tab w:val="left" w:pos="0"/>
        </w:tabs>
        <w:spacing w:line="360" w:lineRule="auto"/>
        <w:ind w:left="851" w:hanging="419"/>
        <w:rPr>
          <w:rFonts w:hint="eastAsia" w:ascii="宋体" w:hAnsi="宋体"/>
          <w:color w:val="000000"/>
          <w:szCs w:val="21"/>
        </w:rPr>
      </w:pPr>
      <w:r>
        <w:rPr>
          <w:rFonts w:hint="eastAsia" w:ascii="宋体" w:hAnsi="宋体" w:cs="宋体"/>
          <w:color w:val="000000"/>
          <w:szCs w:val="21"/>
        </w:rPr>
        <w:t>★软件版本</w:t>
      </w:r>
    </w:p>
    <w:p w14:paraId="38FC0D8C">
      <w:pPr>
        <w:spacing w:line="360" w:lineRule="auto"/>
        <w:ind w:firstLine="420" w:firstLineChars="200"/>
        <w:rPr>
          <w:rFonts w:hint="eastAsia" w:ascii="宋体" w:hAnsi="宋体"/>
          <w:color w:val="000000"/>
          <w:szCs w:val="21"/>
        </w:rPr>
      </w:pPr>
      <w:r>
        <w:rPr>
          <w:rFonts w:ascii="宋体" w:hAnsi="宋体"/>
          <w:color w:val="000000"/>
          <w:szCs w:val="21"/>
        </w:rPr>
        <w:t>针对存量机顶盒，供应商须向采购人提供满足本项目覆盖待改造机顶盒大网升级系统软件版本，并编制维修指导手册、升级策略和升级方案等，确保大网升级顺利进行。</w:t>
      </w:r>
    </w:p>
    <w:p w14:paraId="07891699">
      <w:pPr>
        <w:spacing w:line="360" w:lineRule="auto"/>
        <w:ind w:firstLine="420" w:firstLineChars="200"/>
        <w:rPr>
          <w:rFonts w:hint="eastAsia" w:ascii="宋体" w:hAnsi="宋体"/>
          <w:color w:val="000000"/>
          <w:szCs w:val="21"/>
        </w:rPr>
      </w:pPr>
      <w:r>
        <w:rPr>
          <w:rFonts w:hint="eastAsia" w:ascii="宋体" w:hAnsi="宋体"/>
          <w:color w:val="000000"/>
          <w:szCs w:val="21"/>
        </w:rPr>
        <w:t>针对新研发的机顶盒，在发机顶盒，须提供生产软件版本，生产手册，测试验证列表等。</w:t>
      </w:r>
    </w:p>
    <w:p w14:paraId="7F9C0527">
      <w:pPr>
        <w:numPr>
          <w:ilvl w:val="0"/>
          <w:numId w:val="29"/>
        </w:numPr>
        <w:tabs>
          <w:tab w:val="left" w:pos="0"/>
        </w:tabs>
        <w:spacing w:line="360" w:lineRule="auto"/>
        <w:ind w:left="851" w:hanging="419"/>
        <w:rPr>
          <w:rFonts w:hint="eastAsia" w:ascii="宋体" w:hAnsi="宋体"/>
          <w:color w:val="000000"/>
          <w:szCs w:val="21"/>
        </w:rPr>
      </w:pPr>
      <w:r>
        <w:rPr>
          <w:rFonts w:hint="eastAsia" w:ascii="宋体" w:hAnsi="宋体" w:cs="宋体"/>
          <w:color w:val="000000"/>
          <w:szCs w:val="21"/>
        </w:rPr>
        <w:t>★</w:t>
      </w:r>
      <w:r>
        <w:rPr>
          <w:rFonts w:ascii="宋体" w:hAnsi="宋体"/>
          <w:color w:val="000000"/>
          <w:szCs w:val="21"/>
        </w:rPr>
        <w:t>验收</w:t>
      </w:r>
    </w:p>
    <w:p w14:paraId="36468DA5">
      <w:pPr>
        <w:spacing w:line="360" w:lineRule="auto"/>
        <w:ind w:left="420"/>
        <w:rPr>
          <w:rFonts w:hint="eastAsia" w:ascii="宋体" w:hAnsi="宋体"/>
          <w:color w:val="000000"/>
          <w:szCs w:val="21"/>
        </w:rPr>
      </w:pPr>
      <w:r>
        <w:rPr>
          <w:rFonts w:ascii="宋体" w:hAnsi="宋体"/>
          <w:color w:val="000000"/>
          <w:szCs w:val="21"/>
        </w:rPr>
        <w:t>供应商须配合采购人组织本次软件升级项目验收工作。</w:t>
      </w:r>
    </w:p>
    <w:p w14:paraId="33646EDA">
      <w:pPr>
        <w:pStyle w:val="4"/>
        <w:numPr>
          <w:ilvl w:val="0"/>
          <w:numId w:val="24"/>
        </w:numPr>
        <w:spacing w:line="300" w:lineRule="auto"/>
        <w:ind w:left="357" w:hanging="357"/>
        <w:rPr>
          <w:rFonts w:hint="eastAsia" w:ascii="宋体" w:hAnsi="宋体"/>
          <w:b/>
          <w:bCs w:val="0"/>
          <w:color w:val="000000"/>
          <w:sz w:val="21"/>
          <w:szCs w:val="21"/>
        </w:rPr>
      </w:pPr>
      <w:bookmarkStart w:id="116" w:name="_Toc171695464"/>
      <w:bookmarkStart w:id="117" w:name="_Toc423426257"/>
      <w:bookmarkStart w:id="118" w:name="_Toc2667"/>
      <w:bookmarkStart w:id="119" w:name="_Toc423441677"/>
      <w:r>
        <w:rPr>
          <w:rFonts w:hint="eastAsia" w:ascii="宋体" w:hAnsi="宋体"/>
          <w:b/>
          <w:bCs w:val="0"/>
          <w:color w:val="000000"/>
          <w:sz w:val="21"/>
          <w:szCs w:val="21"/>
        </w:rPr>
        <w:t xml:space="preserve"> ★</w:t>
      </w:r>
      <w:r>
        <w:rPr>
          <w:rFonts w:ascii="宋体" w:hAnsi="宋体"/>
          <w:b/>
          <w:bCs w:val="0"/>
          <w:color w:val="000000"/>
          <w:sz w:val="21"/>
          <w:szCs w:val="21"/>
        </w:rPr>
        <w:t>售后服务</w:t>
      </w:r>
      <w:bookmarkEnd w:id="116"/>
      <w:bookmarkEnd w:id="117"/>
      <w:bookmarkEnd w:id="118"/>
      <w:bookmarkEnd w:id="119"/>
    </w:p>
    <w:p w14:paraId="7F8D3AEB">
      <w:pPr>
        <w:pStyle w:val="96"/>
        <w:numPr>
          <w:ilvl w:val="0"/>
          <w:numId w:val="26"/>
        </w:numPr>
        <w:spacing w:before="156" w:beforeLines="50" w:line="300" w:lineRule="auto"/>
        <w:ind w:firstLineChars="0"/>
        <w:outlineLvl w:val="2"/>
        <w:rPr>
          <w:rFonts w:hint="eastAsia" w:ascii="宋体" w:hAnsi="宋体"/>
          <w:b/>
          <w:bCs/>
          <w:vanish/>
          <w:color w:val="000000"/>
          <w:szCs w:val="21"/>
        </w:rPr>
      </w:pPr>
    </w:p>
    <w:p w14:paraId="56AB4A65">
      <w:pPr>
        <w:numPr>
          <w:ilvl w:val="1"/>
          <w:numId w:val="26"/>
        </w:numPr>
        <w:spacing w:before="156" w:beforeLines="50" w:line="300" w:lineRule="auto"/>
        <w:outlineLvl w:val="2"/>
        <w:rPr>
          <w:rFonts w:hint="eastAsia" w:ascii="宋体" w:hAnsi="宋体"/>
          <w:b/>
          <w:bCs/>
          <w:color w:val="000000"/>
          <w:szCs w:val="21"/>
        </w:rPr>
      </w:pPr>
      <w:r>
        <w:rPr>
          <w:rFonts w:ascii="宋体" w:hAnsi="宋体"/>
          <w:b/>
          <w:bCs/>
          <w:color w:val="000000"/>
          <w:szCs w:val="21"/>
        </w:rPr>
        <w:t>售后服务</w:t>
      </w:r>
    </w:p>
    <w:p w14:paraId="50745EE6">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供应商说明项目技术维护队伍和机构情况，服务模式。</w:t>
      </w:r>
    </w:p>
    <w:p w14:paraId="6F2789EA">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供应商有责任在保证安全和质量的前提下提供技术服务,包括：技术咨询、技术资料、技术说明书、使用说明书、维护说明书、应急手册等。</w:t>
      </w:r>
    </w:p>
    <w:p w14:paraId="07EA3B76">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在网络安装和系统调测期间,采购人有权派出技术人员参加,供应商有义务对其进行指导。</w:t>
      </w:r>
    </w:p>
    <w:p w14:paraId="53E6F060">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供应商应根将要安装和调试资料提前7天单独发往安装现场,资料应一式两份。</w:t>
      </w:r>
    </w:p>
    <w:p w14:paraId="2E68F73B">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应提供实用齐全的全套随机技术资料,包括:维护命令手册、测试手册、软件资料。如发生软件升级、扩展等有关情况，供应商应向采购人提供必要的技术资料（纸介和电子介质）。供应商应向采购人在公司内部各使用部门终端使用人提供软件操作手册。</w:t>
      </w:r>
    </w:p>
    <w:p w14:paraId="0E05262B">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采购人在软件系统运营后，如系统软件有所改进，增加新功能以及适应新建议所做修改的最新版本，均应免费提供给采购人使用。</w:t>
      </w:r>
    </w:p>
    <w:p w14:paraId="02E2A4D0">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对于目前为止尚未形成最终建议的规范，供应商应在标准化组织发表一定时期内免费修改及更新软件版本。</w:t>
      </w:r>
    </w:p>
    <w:p w14:paraId="1152587D">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当采购人增加新功能满足业务需要时，供应商应该及时提供软件升级。</w:t>
      </w:r>
    </w:p>
    <w:p w14:paraId="33A03647">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供应商提供的统一软件方案，承诺提供自通过终验起免费质保期内提供免费维护和系统升级；供应商提供的第三方软件系统，承诺提供自通过终验起免费质保期内提供免费软件升级（小版本）和维护服务。</w:t>
      </w:r>
    </w:p>
    <w:p w14:paraId="574EEDA7">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在软件升级时，供应商应派技术人员到场指导。</w:t>
      </w:r>
    </w:p>
    <w:p w14:paraId="6460A06D">
      <w:pPr>
        <w:pStyle w:val="96"/>
        <w:numPr>
          <w:ilvl w:val="0"/>
          <w:numId w:val="30"/>
        </w:numPr>
        <w:spacing w:line="360" w:lineRule="auto"/>
        <w:ind w:left="210" w:leftChars="100" w:firstLineChars="0"/>
        <w:rPr>
          <w:rFonts w:hint="eastAsia" w:ascii="宋体" w:hAnsi="宋体"/>
          <w:color w:val="000000"/>
          <w:szCs w:val="21"/>
        </w:rPr>
      </w:pPr>
      <w:r>
        <w:rPr>
          <w:rFonts w:ascii="宋体" w:hAnsi="宋体"/>
          <w:color w:val="000000"/>
          <w:szCs w:val="21"/>
        </w:rPr>
        <w:t>供应商应对其售后服务、技术支持方面的情况作出说明。供应商应对采购人提供7×24小时的热线支持，及时解决终端问题。具体故障类型响应要求见</w:t>
      </w:r>
      <w:r>
        <w:rPr>
          <w:rFonts w:ascii="宋体" w:hAnsi="宋体"/>
          <w:color w:val="000000"/>
          <w:szCs w:val="21"/>
        </w:rPr>
        <w:fldChar w:fldCharType="begin"/>
      </w:r>
      <w:r>
        <w:rPr>
          <w:rFonts w:ascii="宋体" w:hAnsi="宋体"/>
          <w:color w:val="000000"/>
          <w:szCs w:val="21"/>
        </w:rPr>
        <w:instrText xml:space="preserve"> REF _Ref153215069 \h  \* MERGEFORMAT </w:instrText>
      </w:r>
      <w:r>
        <w:rPr>
          <w:rFonts w:ascii="宋体" w:hAnsi="宋体"/>
          <w:color w:val="000000"/>
          <w:szCs w:val="21"/>
        </w:rPr>
        <w:fldChar w:fldCharType="separate"/>
      </w:r>
      <w:r>
        <w:rPr>
          <w:rFonts w:ascii="宋体" w:hAnsi="宋体"/>
          <w:color w:val="000000"/>
          <w:szCs w:val="21"/>
        </w:rPr>
        <w:t>表11：故障类型响应要求</w:t>
      </w:r>
      <w:r>
        <w:rPr>
          <w:rFonts w:ascii="宋体" w:hAnsi="宋体"/>
          <w:color w:val="000000"/>
          <w:szCs w:val="21"/>
        </w:rPr>
        <w:fldChar w:fldCharType="end"/>
      </w:r>
      <w:r>
        <w:rPr>
          <w:rFonts w:ascii="宋体" w:hAnsi="宋体"/>
          <w:color w:val="000000"/>
          <w:szCs w:val="21"/>
        </w:rPr>
        <w:t>。</w:t>
      </w:r>
    </w:p>
    <w:p w14:paraId="05FCA696">
      <w:pPr>
        <w:pStyle w:val="304"/>
        <w:adjustRightInd/>
        <w:spacing w:after="0" w:line="360" w:lineRule="auto"/>
        <w:jc w:val="center"/>
        <w:rPr>
          <w:rFonts w:hint="eastAsia" w:ascii="宋体" w:hAnsi="宋体"/>
          <w:color w:val="000000"/>
          <w:sz w:val="21"/>
          <w:szCs w:val="21"/>
        </w:rPr>
      </w:pPr>
      <w:bookmarkStart w:id="120" w:name="_Ref153215069"/>
      <w:r>
        <w:rPr>
          <w:rFonts w:ascii="宋体" w:hAnsi="宋体"/>
          <w:color w:val="000000"/>
          <w:sz w:val="21"/>
          <w:szCs w:val="21"/>
        </w:rPr>
        <w:t>表</w:t>
      </w:r>
      <w:r>
        <w:rPr>
          <w:rFonts w:ascii="宋体" w:hAnsi="宋体"/>
          <w:color w:val="000000"/>
          <w:sz w:val="21"/>
          <w:szCs w:val="21"/>
        </w:rPr>
        <w:fldChar w:fldCharType="begin"/>
      </w:r>
      <w:r>
        <w:rPr>
          <w:rFonts w:ascii="宋体" w:hAnsi="宋体"/>
          <w:color w:val="000000"/>
          <w:sz w:val="21"/>
          <w:szCs w:val="21"/>
        </w:rPr>
        <w:instrText xml:space="preserve"> SEQ 表 \* ARABIC </w:instrText>
      </w:r>
      <w:r>
        <w:rPr>
          <w:rFonts w:ascii="宋体" w:hAnsi="宋体"/>
          <w:color w:val="000000"/>
          <w:sz w:val="21"/>
          <w:szCs w:val="21"/>
        </w:rPr>
        <w:fldChar w:fldCharType="separate"/>
      </w:r>
      <w:r>
        <w:rPr>
          <w:rFonts w:ascii="宋体" w:hAnsi="宋体"/>
          <w:color w:val="000000"/>
          <w:sz w:val="21"/>
          <w:szCs w:val="21"/>
        </w:rPr>
        <w:t>11</w:t>
      </w:r>
      <w:r>
        <w:rPr>
          <w:rFonts w:ascii="宋体" w:hAnsi="宋体"/>
          <w:color w:val="000000"/>
          <w:sz w:val="21"/>
          <w:szCs w:val="21"/>
        </w:rPr>
        <w:fldChar w:fldCharType="end"/>
      </w:r>
      <w:r>
        <w:rPr>
          <w:rFonts w:ascii="宋体" w:hAnsi="宋体"/>
          <w:color w:val="000000"/>
          <w:sz w:val="21"/>
          <w:szCs w:val="21"/>
        </w:rPr>
        <w:t>：故障类型响应要求</w:t>
      </w:r>
      <w:bookmarkEnd w:id="120"/>
    </w:p>
    <w:tbl>
      <w:tblPr>
        <w:tblStyle w:val="58"/>
        <w:tblW w:w="963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81"/>
        <w:gridCol w:w="1809"/>
        <w:gridCol w:w="2331"/>
        <w:gridCol w:w="2612"/>
      </w:tblGrid>
      <w:tr w14:paraId="47EC9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jc w:val="center"/>
        </w:trPr>
        <w:tc>
          <w:tcPr>
            <w:tcW w:w="2881" w:type="dxa"/>
          </w:tcPr>
          <w:p w14:paraId="0FDE96EB">
            <w:pPr>
              <w:tabs>
                <w:tab w:val="left" w:pos="1260"/>
              </w:tabs>
              <w:spacing w:line="360" w:lineRule="auto"/>
              <w:jc w:val="center"/>
              <w:rPr>
                <w:rFonts w:hint="eastAsia" w:ascii="宋体" w:hAnsi="宋体"/>
                <w:color w:val="000000"/>
                <w:szCs w:val="21"/>
              </w:rPr>
            </w:pPr>
            <w:r>
              <w:rPr>
                <w:rFonts w:ascii="宋体" w:hAnsi="宋体"/>
                <w:color w:val="000000"/>
                <w:szCs w:val="21"/>
              </w:rPr>
              <w:t>故障类型</w:t>
            </w:r>
          </w:p>
        </w:tc>
        <w:tc>
          <w:tcPr>
            <w:tcW w:w="1809" w:type="dxa"/>
          </w:tcPr>
          <w:p w14:paraId="716AB98C">
            <w:pPr>
              <w:tabs>
                <w:tab w:val="left" w:pos="1260"/>
              </w:tabs>
              <w:spacing w:line="360" w:lineRule="auto"/>
              <w:jc w:val="center"/>
              <w:rPr>
                <w:rFonts w:hint="eastAsia" w:ascii="宋体" w:hAnsi="宋体"/>
                <w:color w:val="000000"/>
                <w:szCs w:val="21"/>
              </w:rPr>
            </w:pPr>
            <w:r>
              <w:rPr>
                <w:rFonts w:ascii="宋体" w:hAnsi="宋体"/>
                <w:color w:val="000000"/>
                <w:szCs w:val="21"/>
              </w:rPr>
              <w:t>支持方式</w:t>
            </w:r>
          </w:p>
        </w:tc>
        <w:tc>
          <w:tcPr>
            <w:tcW w:w="2331" w:type="dxa"/>
          </w:tcPr>
          <w:p w14:paraId="6B14843D">
            <w:pPr>
              <w:tabs>
                <w:tab w:val="left" w:pos="1260"/>
              </w:tabs>
              <w:spacing w:line="360" w:lineRule="auto"/>
              <w:jc w:val="center"/>
              <w:rPr>
                <w:rFonts w:hint="eastAsia" w:ascii="宋体" w:hAnsi="宋体"/>
                <w:color w:val="000000"/>
                <w:szCs w:val="21"/>
              </w:rPr>
            </w:pPr>
            <w:r>
              <w:rPr>
                <w:rFonts w:ascii="宋体" w:hAnsi="宋体"/>
                <w:color w:val="000000"/>
                <w:szCs w:val="21"/>
              </w:rPr>
              <w:t>响应要求</w:t>
            </w:r>
          </w:p>
        </w:tc>
        <w:tc>
          <w:tcPr>
            <w:tcW w:w="2612" w:type="dxa"/>
          </w:tcPr>
          <w:p w14:paraId="71AFB2FD">
            <w:pPr>
              <w:tabs>
                <w:tab w:val="left" w:pos="1260"/>
              </w:tabs>
              <w:spacing w:line="360" w:lineRule="auto"/>
              <w:jc w:val="center"/>
              <w:rPr>
                <w:rFonts w:hint="eastAsia" w:ascii="宋体" w:hAnsi="宋体"/>
                <w:color w:val="000000"/>
                <w:szCs w:val="21"/>
              </w:rPr>
            </w:pPr>
            <w:r>
              <w:rPr>
                <w:rFonts w:ascii="宋体" w:hAnsi="宋体"/>
                <w:color w:val="000000"/>
                <w:szCs w:val="21"/>
              </w:rPr>
              <w:t>修复时间</w:t>
            </w:r>
          </w:p>
        </w:tc>
      </w:tr>
      <w:tr w14:paraId="4CB45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2881" w:type="dxa"/>
          </w:tcPr>
          <w:p w14:paraId="558F9185">
            <w:pPr>
              <w:tabs>
                <w:tab w:val="left" w:pos="1260"/>
              </w:tabs>
              <w:spacing w:line="360" w:lineRule="auto"/>
              <w:rPr>
                <w:rFonts w:hint="eastAsia" w:ascii="宋体" w:hAnsi="宋体"/>
                <w:color w:val="000000"/>
                <w:szCs w:val="21"/>
              </w:rPr>
            </w:pPr>
            <w:r>
              <w:rPr>
                <w:rFonts w:ascii="宋体" w:hAnsi="宋体"/>
                <w:color w:val="000000"/>
                <w:szCs w:val="21"/>
              </w:rPr>
              <w:t>系统严重故障、部分重要服务不正常</w:t>
            </w:r>
          </w:p>
        </w:tc>
        <w:tc>
          <w:tcPr>
            <w:tcW w:w="1809" w:type="dxa"/>
          </w:tcPr>
          <w:p w14:paraId="21ADB6A7">
            <w:pPr>
              <w:tabs>
                <w:tab w:val="left" w:pos="1260"/>
              </w:tabs>
              <w:spacing w:line="360" w:lineRule="auto"/>
              <w:rPr>
                <w:rFonts w:hint="eastAsia" w:ascii="宋体" w:hAnsi="宋体"/>
                <w:color w:val="000000"/>
                <w:szCs w:val="21"/>
              </w:rPr>
            </w:pPr>
            <w:r>
              <w:rPr>
                <w:rFonts w:ascii="宋体" w:hAnsi="宋体"/>
                <w:color w:val="000000"/>
                <w:szCs w:val="21"/>
              </w:rPr>
              <w:t>立刻专人应答及处理</w:t>
            </w:r>
          </w:p>
        </w:tc>
        <w:tc>
          <w:tcPr>
            <w:tcW w:w="2331" w:type="dxa"/>
          </w:tcPr>
          <w:p w14:paraId="7E772B04">
            <w:pPr>
              <w:tabs>
                <w:tab w:val="left" w:pos="1260"/>
              </w:tabs>
              <w:spacing w:line="360" w:lineRule="auto"/>
              <w:rPr>
                <w:rFonts w:hint="eastAsia" w:ascii="宋体" w:hAnsi="宋体"/>
                <w:color w:val="000000"/>
                <w:szCs w:val="21"/>
              </w:rPr>
            </w:pPr>
            <w:r>
              <w:rPr>
                <w:rFonts w:ascii="宋体" w:hAnsi="宋体"/>
                <w:color w:val="000000"/>
                <w:szCs w:val="21"/>
              </w:rPr>
              <w:t>保持远程技术支持，1天内到达。</w:t>
            </w:r>
          </w:p>
        </w:tc>
        <w:tc>
          <w:tcPr>
            <w:tcW w:w="2612" w:type="dxa"/>
          </w:tcPr>
          <w:p w14:paraId="0CC59147">
            <w:pPr>
              <w:tabs>
                <w:tab w:val="left" w:pos="1260"/>
              </w:tabs>
              <w:spacing w:line="360" w:lineRule="auto"/>
              <w:rPr>
                <w:rFonts w:hint="eastAsia" w:ascii="宋体" w:hAnsi="宋体"/>
                <w:color w:val="000000"/>
                <w:szCs w:val="21"/>
              </w:rPr>
            </w:pPr>
            <w:r>
              <w:rPr>
                <w:rFonts w:ascii="宋体" w:hAnsi="宋体"/>
                <w:color w:val="000000"/>
                <w:szCs w:val="21"/>
              </w:rPr>
              <w:t>到达后4小时内服务恢复运行，2天内系统全部恢复正常</w:t>
            </w:r>
          </w:p>
        </w:tc>
      </w:tr>
      <w:tr w14:paraId="5A3CF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4" w:hRule="atLeast"/>
          <w:jc w:val="center"/>
        </w:trPr>
        <w:tc>
          <w:tcPr>
            <w:tcW w:w="2881" w:type="dxa"/>
          </w:tcPr>
          <w:p w14:paraId="42E4AF39">
            <w:pPr>
              <w:tabs>
                <w:tab w:val="left" w:pos="1260"/>
              </w:tabs>
              <w:spacing w:line="360" w:lineRule="auto"/>
              <w:rPr>
                <w:rFonts w:hint="eastAsia" w:ascii="宋体" w:hAnsi="宋体"/>
                <w:color w:val="000000"/>
                <w:szCs w:val="21"/>
              </w:rPr>
            </w:pPr>
            <w:r>
              <w:rPr>
                <w:rFonts w:ascii="宋体" w:hAnsi="宋体"/>
                <w:color w:val="000000"/>
                <w:szCs w:val="21"/>
              </w:rPr>
              <w:t>系统个别服务不正常</w:t>
            </w:r>
          </w:p>
        </w:tc>
        <w:tc>
          <w:tcPr>
            <w:tcW w:w="1809" w:type="dxa"/>
          </w:tcPr>
          <w:p w14:paraId="1EAEAD6A">
            <w:pPr>
              <w:tabs>
                <w:tab w:val="left" w:pos="1260"/>
              </w:tabs>
              <w:spacing w:line="360" w:lineRule="auto"/>
              <w:rPr>
                <w:rFonts w:hint="eastAsia" w:ascii="宋体" w:hAnsi="宋体"/>
                <w:color w:val="000000"/>
                <w:szCs w:val="21"/>
              </w:rPr>
            </w:pPr>
            <w:r>
              <w:rPr>
                <w:rFonts w:ascii="宋体" w:hAnsi="宋体"/>
                <w:color w:val="000000"/>
                <w:szCs w:val="21"/>
              </w:rPr>
              <w:t>保持电话联系，远程技术支持</w:t>
            </w:r>
          </w:p>
        </w:tc>
        <w:tc>
          <w:tcPr>
            <w:tcW w:w="2331" w:type="dxa"/>
          </w:tcPr>
          <w:p w14:paraId="7AE88E01">
            <w:pPr>
              <w:tabs>
                <w:tab w:val="left" w:pos="1260"/>
              </w:tabs>
              <w:spacing w:line="360" w:lineRule="auto"/>
              <w:rPr>
                <w:rFonts w:hint="eastAsia" w:ascii="宋体" w:hAnsi="宋体"/>
                <w:color w:val="000000"/>
                <w:szCs w:val="21"/>
              </w:rPr>
            </w:pPr>
            <w:r>
              <w:rPr>
                <w:rFonts w:ascii="宋体" w:hAnsi="宋体"/>
                <w:color w:val="000000"/>
                <w:szCs w:val="21"/>
              </w:rPr>
              <w:t>6小时内作出修复方案</w:t>
            </w:r>
          </w:p>
        </w:tc>
        <w:tc>
          <w:tcPr>
            <w:tcW w:w="2612" w:type="dxa"/>
          </w:tcPr>
          <w:p w14:paraId="09F70688">
            <w:pPr>
              <w:tabs>
                <w:tab w:val="left" w:pos="1260"/>
              </w:tabs>
              <w:spacing w:line="360" w:lineRule="auto"/>
              <w:rPr>
                <w:rFonts w:hint="eastAsia" w:ascii="宋体" w:hAnsi="宋体"/>
                <w:color w:val="000000"/>
                <w:szCs w:val="21"/>
              </w:rPr>
            </w:pPr>
            <w:r>
              <w:rPr>
                <w:rFonts w:ascii="宋体" w:hAnsi="宋体"/>
                <w:color w:val="000000"/>
                <w:szCs w:val="21"/>
              </w:rPr>
              <w:t>2个工作日内修复</w:t>
            </w:r>
          </w:p>
        </w:tc>
      </w:tr>
    </w:tbl>
    <w:p w14:paraId="002B0BE0">
      <w:pPr>
        <w:spacing w:line="360" w:lineRule="auto"/>
        <w:ind w:firstLine="420" w:firstLineChars="200"/>
        <w:rPr>
          <w:rFonts w:hint="eastAsia" w:ascii="宋体" w:hAnsi="宋体"/>
          <w:color w:val="000000"/>
          <w:szCs w:val="21"/>
        </w:rPr>
      </w:pPr>
      <w:r>
        <w:rPr>
          <w:rFonts w:ascii="宋体" w:hAnsi="宋体"/>
          <w:color w:val="000000"/>
          <w:szCs w:val="21"/>
        </w:rPr>
        <w:t>供应商应在采购响应文件中说明技术服务和技术支持的范围和程度。</w:t>
      </w:r>
    </w:p>
    <w:p w14:paraId="4F15ACD9">
      <w:pPr>
        <w:numPr>
          <w:ilvl w:val="1"/>
          <w:numId w:val="26"/>
        </w:numPr>
        <w:spacing w:before="156" w:beforeLines="50" w:line="300" w:lineRule="auto"/>
        <w:outlineLvl w:val="2"/>
        <w:rPr>
          <w:rFonts w:hint="eastAsia" w:ascii="宋体" w:hAnsi="宋体"/>
          <w:b/>
          <w:bCs/>
          <w:color w:val="000000"/>
          <w:szCs w:val="21"/>
        </w:rPr>
      </w:pPr>
      <w:r>
        <w:rPr>
          <w:rFonts w:ascii="宋体" w:hAnsi="宋体"/>
          <w:b/>
          <w:bCs/>
          <w:color w:val="000000"/>
          <w:szCs w:val="21"/>
        </w:rPr>
        <w:t>售后服务要求</w:t>
      </w:r>
    </w:p>
    <w:p w14:paraId="66AAE58D">
      <w:pPr>
        <w:pStyle w:val="96"/>
        <w:numPr>
          <w:ilvl w:val="0"/>
          <w:numId w:val="31"/>
        </w:numPr>
        <w:spacing w:line="360" w:lineRule="auto"/>
        <w:ind w:left="567" w:leftChars="100" w:hanging="357" w:firstLineChars="0"/>
        <w:rPr>
          <w:rFonts w:hint="eastAsia" w:ascii="宋体" w:hAnsi="宋体"/>
          <w:color w:val="000000"/>
          <w:szCs w:val="21"/>
        </w:rPr>
      </w:pPr>
      <w:r>
        <w:rPr>
          <w:rFonts w:ascii="宋体" w:hAnsi="宋体"/>
          <w:color w:val="000000"/>
          <w:szCs w:val="21"/>
        </w:rPr>
        <w:t>供应商须具有优秀的技术支持团队，保证提供7×24小时售后服务响应支持。</w:t>
      </w:r>
    </w:p>
    <w:p w14:paraId="09DD6775">
      <w:pPr>
        <w:pStyle w:val="96"/>
        <w:numPr>
          <w:ilvl w:val="0"/>
          <w:numId w:val="31"/>
        </w:numPr>
        <w:spacing w:line="360" w:lineRule="auto"/>
        <w:ind w:left="567" w:leftChars="100" w:hanging="357" w:firstLineChars="0"/>
        <w:rPr>
          <w:rFonts w:hint="eastAsia" w:ascii="宋体" w:hAnsi="宋体"/>
          <w:color w:val="000000"/>
          <w:szCs w:val="21"/>
        </w:rPr>
      </w:pPr>
      <w:r>
        <w:rPr>
          <w:rFonts w:ascii="宋体" w:hAnsi="宋体"/>
          <w:color w:val="000000"/>
          <w:szCs w:val="21"/>
        </w:rPr>
        <w:t>由本项目终端软件导致机顶盒出现故障的，供应商应在采购人提出维修要求30分钟内做出响应并提供技术和软件支持，1小时内到达故障现场。如对终端功能使用造成明显影响的软件BUG和功能缺陷，供应商必须在3天内（含3天）提供改进版本。如因供应商响应不及时造成的损失，由供应商承担责任，采购人保留追究的权利。</w:t>
      </w:r>
    </w:p>
    <w:p w14:paraId="5920BA4F">
      <w:pPr>
        <w:pStyle w:val="96"/>
        <w:numPr>
          <w:ilvl w:val="0"/>
          <w:numId w:val="31"/>
        </w:numPr>
        <w:spacing w:line="360" w:lineRule="auto"/>
        <w:ind w:left="567" w:leftChars="100" w:hanging="357" w:firstLineChars="0"/>
        <w:rPr>
          <w:rFonts w:hint="eastAsia" w:ascii="宋体" w:hAnsi="宋体"/>
          <w:color w:val="000000"/>
          <w:szCs w:val="21"/>
        </w:rPr>
      </w:pPr>
      <w:r>
        <w:rPr>
          <w:rFonts w:ascii="宋体" w:hAnsi="宋体"/>
          <w:color w:val="000000"/>
          <w:szCs w:val="21"/>
        </w:rPr>
        <w:t>供应商承诺支持采购人终端软件升级和软件版本管理，承诺支持采购人后续设计方案的优化调整，积极配合与采购人第三方业务系统对接等需求。</w:t>
      </w:r>
    </w:p>
    <w:p w14:paraId="1C547FAA">
      <w:pPr>
        <w:pStyle w:val="96"/>
        <w:numPr>
          <w:ilvl w:val="0"/>
          <w:numId w:val="31"/>
        </w:numPr>
        <w:spacing w:line="360" w:lineRule="auto"/>
        <w:ind w:left="567" w:leftChars="100" w:hanging="357" w:firstLineChars="0"/>
        <w:rPr>
          <w:rFonts w:hint="eastAsia" w:ascii="宋体" w:hAnsi="宋体"/>
          <w:color w:val="000000"/>
          <w:szCs w:val="21"/>
        </w:rPr>
      </w:pPr>
      <w:r>
        <w:rPr>
          <w:rFonts w:ascii="宋体" w:hAnsi="宋体"/>
          <w:color w:val="000000"/>
          <w:szCs w:val="21"/>
        </w:rPr>
        <w:t>在重点时期、重点时段、重点节目保障期间，供应商必须设计特别的售后服务措施，为采购人提供更加有力的支持与服务，做好终端的保障工作。</w:t>
      </w:r>
    </w:p>
    <w:p w14:paraId="27660C0B">
      <w:pPr>
        <w:pStyle w:val="4"/>
        <w:numPr>
          <w:ilvl w:val="0"/>
          <w:numId w:val="24"/>
        </w:numPr>
        <w:spacing w:line="300" w:lineRule="auto"/>
        <w:ind w:left="357" w:hanging="357"/>
        <w:rPr>
          <w:rFonts w:hint="eastAsia" w:ascii="宋体" w:hAnsi="宋体"/>
          <w:b/>
          <w:bCs w:val="0"/>
          <w:color w:val="000000"/>
          <w:sz w:val="21"/>
          <w:szCs w:val="21"/>
        </w:rPr>
      </w:pPr>
      <w:bookmarkStart w:id="121" w:name="_Toc171695465"/>
      <w:bookmarkStart w:id="122" w:name="_Toc20404"/>
      <w:r>
        <w:rPr>
          <w:rFonts w:hint="eastAsia" w:ascii="宋体" w:hAnsi="宋体"/>
          <w:b/>
          <w:bCs w:val="0"/>
          <w:color w:val="000000"/>
          <w:sz w:val="21"/>
          <w:szCs w:val="21"/>
        </w:rPr>
        <w:t xml:space="preserve"> </w:t>
      </w:r>
      <w:r>
        <w:rPr>
          <w:rFonts w:ascii="宋体" w:hAnsi="宋体"/>
          <w:b/>
          <w:bCs w:val="0"/>
          <w:color w:val="000000"/>
          <w:sz w:val="21"/>
          <w:szCs w:val="21"/>
        </w:rPr>
        <w:t>技术培训原则及要求</w:t>
      </w:r>
      <w:bookmarkEnd w:id="121"/>
      <w:bookmarkEnd w:id="122"/>
    </w:p>
    <w:p w14:paraId="27B5D71F">
      <w:pPr>
        <w:pStyle w:val="96"/>
        <w:numPr>
          <w:ilvl w:val="0"/>
          <w:numId w:val="26"/>
        </w:numPr>
        <w:spacing w:before="156" w:beforeLines="50" w:line="300" w:lineRule="auto"/>
        <w:ind w:firstLineChars="0"/>
        <w:outlineLvl w:val="2"/>
        <w:rPr>
          <w:rFonts w:hint="eastAsia" w:ascii="宋体" w:hAnsi="宋体"/>
          <w:b/>
          <w:bCs/>
          <w:vanish/>
          <w:color w:val="000000"/>
          <w:szCs w:val="21"/>
        </w:rPr>
      </w:pPr>
    </w:p>
    <w:p w14:paraId="12019E1D">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 xml:space="preserve"> </w:t>
      </w:r>
      <w:r>
        <w:rPr>
          <w:rFonts w:ascii="宋体" w:hAnsi="宋体"/>
          <w:b/>
          <w:bCs/>
          <w:color w:val="000000"/>
          <w:szCs w:val="21"/>
        </w:rPr>
        <w:t>技术培训</w:t>
      </w:r>
    </w:p>
    <w:p w14:paraId="2B9A1F8B">
      <w:pPr>
        <w:spacing w:line="360" w:lineRule="auto"/>
        <w:ind w:firstLine="420" w:firstLineChars="200"/>
        <w:jc w:val="left"/>
        <w:rPr>
          <w:rFonts w:hint="eastAsia" w:ascii="宋体" w:hAnsi="宋体"/>
          <w:color w:val="000000"/>
          <w:szCs w:val="21"/>
        </w:rPr>
      </w:pPr>
      <w:r>
        <w:rPr>
          <w:rFonts w:ascii="宋体" w:hAnsi="宋体"/>
          <w:color w:val="000000"/>
          <w:szCs w:val="21"/>
        </w:rPr>
        <w:t>为使维护人员能独立进行软件的升级、部署、测试、运营、维护以及元部件的修理等。要求供应商负责对维护人员进行现场培训。现场培训可在安装调测阶段及移交后进行。</w:t>
      </w:r>
    </w:p>
    <w:p w14:paraId="094BD1C3">
      <w:pPr>
        <w:numPr>
          <w:ilvl w:val="1"/>
          <w:numId w:val="26"/>
        </w:numPr>
        <w:spacing w:before="156" w:beforeLines="50" w:line="300" w:lineRule="auto"/>
        <w:outlineLvl w:val="2"/>
        <w:rPr>
          <w:rFonts w:hint="eastAsia" w:ascii="宋体" w:hAnsi="宋体"/>
          <w:b/>
          <w:bCs/>
          <w:color w:val="000000"/>
          <w:szCs w:val="21"/>
        </w:rPr>
      </w:pPr>
      <w:r>
        <w:rPr>
          <w:rFonts w:ascii="宋体" w:hAnsi="宋体"/>
          <w:b/>
          <w:bCs/>
          <w:color w:val="000000"/>
          <w:szCs w:val="21"/>
        </w:rPr>
        <w:t>培训教材</w:t>
      </w:r>
    </w:p>
    <w:p w14:paraId="4981DF0B">
      <w:pPr>
        <w:numPr>
          <w:ilvl w:val="0"/>
          <w:numId w:val="28"/>
        </w:numPr>
        <w:spacing w:line="360" w:lineRule="auto"/>
        <w:jc w:val="left"/>
        <w:rPr>
          <w:rFonts w:hint="eastAsia" w:ascii="宋体" w:hAnsi="宋体"/>
          <w:color w:val="000000"/>
          <w:szCs w:val="21"/>
        </w:rPr>
      </w:pPr>
      <w:r>
        <w:rPr>
          <w:rFonts w:ascii="宋体" w:hAnsi="宋体"/>
          <w:color w:val="000000"/>
          <w:szCs w:val="21"/>
        </w:rPr>
        <w:t>供应商应提供全套培训教材。</w:t>
      </w:r>
    </w:p>
    <w:p w14:paraId="437BB693">
      <w:pPr>
        <w:numPr>
          <w:ilvl w:val="0"/>
          <w:numId w:val="28"/>
        </w:numPr>
        <w:spacing w:line="360" w:lineRule="auto"/>
        <w:jc w:val="left"/>
        <w:rPr>
          <w:rFonts w:hint="eastAsia" w:ascii="宋体" w:hAnsi="宋体"/>
          <w:color w:val="000000"/>
          <w:szCs w:val="21"/>
        </w:rPr>
      </w:pPr>
      <w:r>
        <w:rPr>
          <w:rFonts w:ascii="宋体" w:hAnsi="宋体"/>
          <w:color w:val="000000"/>
          <w:szCs w:val="21"/>
        </w:rPr>
        <w:t>培训时，供应商须提供本项目要求相适应且必要的软/硬件工具、开发调试环境、仿真工具等培训环境，保证每个学员方便使用。</w:t>
      </w:r>
    </w:p>
    <w:p w14:paraId="5600418B">
      <w:pPr>
        <w:numPr>
          <w:ilvl w:val="1"/>
          <w:numId w:val="26"/>
        </w:numPr>
        <w:spacing w:before="156" w:beforeLines="50" w:line="300" w:lineRule="auto"/>
        <w:outlineLvl w:val="2"/>
        <w:rPr>
          <w:rFonts w:hint="eastAsia" w:ascii="宋体" w:hAnsi="宋体"/>
          <w:b/>
          <w:bCs/>
          <w:color w:val="000000"/>
          <w:szCs w:val="21"/>
        </w:rPr>
      </w:pPr>
      <w:r>
        <w:rPr>
          <w:rFonts w:hint="eastAsia" w:ascii="宋体" w:hAnsi="宋体"/>
          <w:b/>
          <w:bCs/>
          <w:color w:val="000000"/>
          <w:szCs w:val="21"/>
        </w:rPr>
        <w:t>★</w:t>
      </w:r>
      <w:r>
        <w:rPr>
          <w:rFonts w:ascii="宋体" w:hAnsi="宋体"/>
          <w:b/>
          <w:bCs/>
          <w:color w:val="000000"/>
          <w:szCs w:val="21"/>
        </w:rPr>
        <w:t>培训要求</w:t>
      </w:r>
    </w:p>
    <w:p w14:paraId="5E6FDA78">
      <w:pPr>
        <w:numPr>
          <w:ilvl w:val="0"/>
          <w:numId w:val="28"/>
        </w:numPr>
        <w:spacing w:line="360" w:lineRule="auto"/>
        <w:jc w:val="left"/>
        <w:rPr>
          <w:rFonts w:hint="eastAsia" w:ascii="宋体" w:hAnsi="宋体"/>
          <w:color w:val="000000"/>
          <w:szCs w:val="21"/>
        </w:rPr>
      </w:pPr>
      <w:r>
        <w:rPr>
          <w:rFonts w:ascii="宋体" w:hAnsi="宋体"/>
          <w:color w:val="000000"/>
          <w:szCs w:val="21"/>
        </w:rPr>
        <w:t>供应商提供的培训人员应熟悉本次采购中的方案设计、系统架构及软件代码细节并具有丰富的经验。</w:t>
      </w:r>
    </w:p>
    <w:p w14:paraId="5559C761">
      <w:pPr>
        <w:numPr>
          <w:ilvl w:val="0"/>
          <w:numId w:val="28"/>
        </w:numPr>
        <w:spacing w:line="360" w:lineRule="auto"/>
        <w:jc w:val="left"/>
        <w:rPr>
          <w:rFonts w:hint="eastAsia" w:ascii="宋体" w:hAnsi="宋体"/>
          <w:color w:val="000000"/>
          <w:szCs w:val="21"/>
        </w:rPr>
      </w:pPr>
      <w:r>
        <w:rPr>
          <w:rFonts w:ascii="宋体" w:hAnsi="宋体"/>
          <w:color w:val="000000"/>
          <w:szCs w:val="21"/>
        </w:rPr>
        <w:t>操作维护培训和高级培训应包括所提供设备的架构原理和技术性能、操作维护方法、软件生产、系统编译、开发调试、安装验证、故障排除、业务开发等各个方面。</w:t>
      </w:r>
    </w:p>
    <w:p w14:paraId="2034531C">
      <w:pPr>
        <w:numPr>
          <w:ilvl w:val="0"/>
          <w:numId w:val="28"/>
        </w:numPr>
        <w:spacing w:line="360" w:lineRule="auto"/>
        <w:jc w:val="left"/>
        <w:rPr>
          <w:rFonts w:hint="eastAsia" w:ascii="宋体" w:hAnsi="宋体"/>
          <w:color w:val="000000"/>
          <w:szCs w:val="21"/>
        </w:rPr>
      </w:pPr>
      <w:r>
        <w:rPr>
          <w:rFonts w:ascii="宋体" w:hAnsi="宋体"/>
          <w:color w:val="000000"/>
          <w:szCs w:val="21"/>
        </w:rPr>
        <w:t>供应商应该保证采购人相关人员接受培训后能熟练掌握系统的使用、维护以及二次开发。供应商应详细开列各种培训费用,如对合同中确定的培训地点、时间等项目,如果供应商提出变更,应提出书面通知,并承担变更中发生的全部费用。</w:t>
      </w:r>
    </w:p>
    <w:p w14:paraId="36D92A73">
      <w:pPr>
        <w:spacing w:line="360" w:lineRule="auto"/>
        <w:ind w:firstLine="420" w:firstLineChars="200"/>
        <w:jc w:val="left"/>
        <w:rPr>
          <w:rFonts w:hint="eastAsia" w:ascii="宋体" w:hAnsi="宋体"/>
          <w:color w:val="000000"/>
          <w:szCs w:val="21"/>
        </w:rPr>
      </w:pPr>
      <w:r>
        <w:rPr>
          <w:rFonts w:ascii="宋体" w:hAnsi="宋体"/>
          <w:color w:val="000000"/>
          <w:szCs w:val="21"/>
        </w:rPr>
        <w:t>供应商应提供良好的技术培训条件，使采购人能独立、熟悉的管理、测试和维护机顶盒硬件和软件版本，并具备业务原型开发能力。</w:t>
      </w:r>
    </w:p>
    <w:p w14:paraId="38B636C4">
      <w:pPr>
        <w:spacing w:line="360" w:lineRule="auto"/>
        <w:ind w:firstLine="420" w:firstLineChars="200"/>
        <w:jc w:val="left"/>
        <w:rPr>
          <w:rFonts w:hint="eastAsia" w:ascii="黑体" w:hAnsi="黑体" w:eastAsia="黑体"/>
        </w:rPr>
      </w:pPr>
      <w:r>
        <w:rPr>
          <w:rFonts w:hint="eastAsia"/>
        </w:rPr>
        <w:br w:type="page"/>
      </w:r>
    </w:p>
    <w:bookmarkEnd w:id="67"/>
    <w:p w14:paraId="08C75C18">
      <w:pPr>
        <w:pStyle w:val="3"/>
        <w:numPr>
          <w:ilvl w:val="0"/>
          <w:numId w:val="0"/>
        </w:numPr>
        <w:spacing w:before="0" w:after="0" w:line="360" w:lineRule="auto"/>
        <w:rPr>
          <w:b/>
          <w:color w:val="000000"/>
          <w:sz w:val="36"/>
          <w:szCs w:val="36"/>
        </w:rPr>
      </w:pPr>
      <w:r>
        <w:rPr>
          <w:rFonts w:hint="eastAsia"/>
          <w:b/>
          <w:color w:val="000000"/>
          <w:sz w:val="36"/>
          <w:szCs w:val="36"/>
        </w:rPr>
        <w:t>第六章 竞争性谈判响应文件格式</w:t>
      </w:r>
      <w:bookmarkEnd w:id="68"/>
    </w:p>
    <w:p w14:paraId="28882F46">
      <w:pPr>
        <w:rPr>
          <w:color w:val="000000"/>
        </w:rPr>
      </w:pPr>
    </w:p>
    <w:p w14:paraId="68DA00CC">
      <w:pPr>
        <w:rPr>
          <w:color w:val="000000"/>
        </w:rPr>
      </w:pPr>
    </w:p>
    <w:p w14:paraId="3CD7E666">
      <w:pPr>
        <w:spacing w:after="120" w:line="360" w:lineRule="auto"/>
        <w:jc w:val="center"/>
        <w:rPr>
          <w:rFonts w:hint="eastAsia" w:ascii="黑体" w:hAnsi="宋体" w:eastAsia="黑体"/>
          <w:color w:val="000000"/>
          <w:sz w:val="48"/>
          <w:szCs w:val="48"/>
        </w:rPr>
      </w:pPr>
      <w:bookmarkStart w:id="123" w:name="_Toc26259736"/>
      <w:r>
        <w:rPr>
          <w:rFonts w:hint="eastAsia" w:ascii="黑体" w:hAnsi="宋体" w:eastAsia="黑体"/>
          <w:color w:val="000000"/>
          <w:sz w:val="48"/>
          <w:szCs w:val="48"/>
        </w:rPr>
        <w:t>江苏省广电有线信息网络股份有限公司</w:t>
      </w:r>
    </w:p>
    <w:bookmarkEnd w:id="123"/>
    <w:p w14:paraId="1D63EFBC">
      <w:pPr>
        <w:spacing w:after="120"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加密定向传送经批准落地境外卫星频道平台建设（终端配套集成）</w:t>
      </w:r>
    </w:p>
    <w:p w14:paraId="751A7FB9">
      <w:pPr>
        <w:spacing w:after="120" w:line="360" w:lineRule="auto"/>
        <w:jc w:val="center"/>
        <w:rPr>
          <w:rFonts w:hint="eastAsia" w:ascii="黑体" w:hAnsi="宋体" w:eastAsia="黑体"/>
          <w:color w:val="000000"/>
          <w:sz w:val="48"/>
          <w:szCs w:val="48"/>
        </w:rPr>
      </w:pPr>
    </w:p>
    <w:p w14:paraId="1FB6EFD2">
      <w:pPr>
        <w:spacing w:after="120"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竞争性谈判响应文件</w:t>
      </w:r>
    </w:p>
    <w:p w14:paraId="469B2991">
      <w:pPr>
        <w:pStyle w:val="22"/>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6AF7C6A5">
      <w:pPr>
        <w:pStyle w:val="22"/>
        <w:kinsoku w:val="0"/>
        <w:overflowPunct w:val="0"/>
        <w:adjustRightInd w:val="0"/>
        <w:snapToGrid w:val="0"/>
        <w:spacing w:before="312" w:beforeLines="100" w:after="312" w:afterLines="100"/>
        <w:ind w:right="210" w:rightChars="100"/>
        <w:jc w:val="left"/>
        <w:rPr>
          <w:color w:val="000000"/>
          <w:sz w:val="44"/>
          <w:szCs w:val="44"/>
        </w:rPr>
      </w:pPr>
    </w:p>
    <w:p w14:paraId="51B014F8">
      <w:pPr>
        <w:pStyle w:val="22"/>
        <w:kinsoku w:val="0"/>
        <w:overflowPunct w:val="0"/>
        <w:adjustRightInd w:val="0"/>
        <w:snapToGrid w:val="0"/>
        <w:spacing w:before="312" w:beforeLines="100" w:after="312" w:afterLines="100"/>
        <w:ind w:right="210" w:rightChars="100"/>
        <w:jc w:val="left"/>
        <w:rPr>
          <w:color w:val="000000"/>
          <w:sz w:val="44"/>
          <w:szCs w:val="44"/>
        </w:rPr>
      </w:pPr>
    </w:p>
    <w:p w14:paraId="760AF90A">
      <w:pPr>
        <w:pStyle w:val="22"/>
        <w:kinsoku w:val="0"/>
        <w:overflowPunct w:val="0"/>
        <w:adjustRightInd w:val="0"/>
        <w:snapToGrid w:val="0"/>
        <w:spacing w:before="312" w:beforeLines="100" w:after="312" w:afterLines="100"/>
        <w:ind w:right="210" w:rightChars="100"/>
        <w:jc w:val="left"/>
        <w:rPr>
          <w:color w:val="000000"/>
          <w:sz w:val="44"/>
          <w:szCs w:val="44"/>
        </w:rPr>
      </w:pPr>
    </w:p>
    <w:p w14:paraId="3546F0B1">
      <w:pPr>
        <w:pStyle w:val="22"/>
        <w:kinsoku w:val="0"/>
        <w:overflowPunct w:val="0"/>
        <w:adjustRightInd w:val="0"/>
        <w:snapToGrid w:val="0"/>
        <w:spacing w:before="312" w:beforeLines="100" w:after="312" w:afterLines="100"/>
        <w:ind w:right="210" w:rightChars="100"/>
        <w:jc w:val="left"/>
        <w:rPr>
          <w:color w:val="000000"/>
          <w:sz w:val="44"/>
          <w:szCs w:val="44"/>
        </w:rPr>
      </w:pPr>
    </w:p>
    <w:p w14:paraId="12326A9B">
      <w:pPr>
        <w:pStyle w:val="22"/>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797551D5">
      <w:pPr>
        <w:pStyle w:val="2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14:paraId="30E491CC">
      <w:pPr>
        <w:pStyle w:val="2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14:paraId="133A5D2B">
      <w:pPr>
        <w:pStyle w:val="22"/>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年</w:t>
      </w:r>
      <w:r>
        <w:rPr>
          <w:rFonts w:hint="eastAsia"/>
          <w:color w:val="000000"/>
          <w:spacing w:val="-3"/>
          <w:szCs w:val="28"/>
        </w:rPr>
        <w:t>月</w:t>
      </w:r>
      <w:r>
        <w:rPr>
          <w:rFonts w:hint="eastAsia"/>
          <w:color w:val="000000"/>
          <w:szCs w:val="28"/>
        </w:rPr>
        <w:t>日</w:t>
      </w:r>
    </w:p>
    <w:p w14:paraId="654BC4AA">
      <w:pPr>
        <w:pStyle w:val="2"/>
      </w:pPr>
      <w:r>
        <w:br w:type="page"/>
      </w:r>
    </w:p>
    <w:p w14:paraId="73A6E644">
      <w:pPr>
        <w:pStyle w:val="4"/>
        <w:numPr>
          <w:ilvl w:val="0"/>
          <w:numId w:val="0"/>
        </w:numPr>
        <w:jc w:val="center"/>
        <w:rPr>
          <w:color w:val="000000"/>
        </w:rPr>
      </w:pPr>
      <w:bookmarkStart w:id="124" w:name="_Toc472689687"/>
      <w:bookmarkStart w:id="125" w:name="_Toc26259737"/>
      <w:bookmarkStart w:id="126" w:name="_Toc529538374"/>
      <w:bookmarkStart w:id="127" w:name="_Toc26260030"/>
      <w:bookmarkStart w:id="128" w:name="_Toc69378658"/>
      <w:bookmarkStart w:id="129" w:name="_Toc438052118"/>
      <w:bookmarkStart w:id="130" w:name="_Toc447265317"/>
      <w:bookmarkStart w:id="131" w:name="_Toc447265603"/>
      <w:r>
        <w:rPr>
          <w:rFonts w:hint="eastAsia"/>
          <w:color w:val="000000"/>
        </w:rPr>
        <w:t>评审索引表</w:t>
      </w:r>
      <w:bookmarkEnd w:id="124"/>
      <w:bookmarkEnd w:id="125"/>
      <w:bookmarkEnd w:id="126"/>
      <w:bookmarkEnd w:id="127"/>
      <w:bookmarkEnd w:id="128"/>
    </w:p>
    <w:p w14:paraId="31F3026D">
      <w:pPr>
        <w:spacing w:line="360" w:lineRule="auto"/>
        <w:ind w:firstLine="420" w:firstLineChars="200"/>
        <w:jc w:val="left"/>
        <w:rPr>
          <w:rFonts w:hint="eastAsia" w:ascii="宋体" w:hAnsi="宋体"/>
          <w:color w:val="000000"/>
          <w:szCs w:val="21"/>
        </w:rPr>
      </w:pPr>
      <w:r>
        <w:rPr>
          <w:rFonts w:hint="eastAsia" w:ascii="宋体" w:hAnsi="宋体"/>
          <w:color w:val="000000"/>
          <w:szCs w:val="21"/>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65A1025D">
      <w:pPr>
        <w:pStyle w:val="15"/>
        <w:rPr>
          <w:rFonts w:hint="eastAsia" w:ascii="宋体" w:hAnsi="宋体" w:eastAsia="宋体"/>
          <w:b/>
          <w:color w:val="000000"/>
          <w:sz w:val="24"/>
        </w:rPr>
      </w:pPr>
      <w:bookmarkStart w:id="132" w:name="_Toc26259738"/>
      <w:bookmarkStart w:id="133" w:name="_Toc401216443"/>
      <w:bookmarkStart w:id="134" w:name="_Toc485737092"/>
      <w:bookmarkStart w:id="135" w:name="_Toc401151285"/>
      <w:bookmarkStart w:id="136" w:name="_Toc529538375"/>
      <w:bookmarkStart w:id="137" w:name="_Toc26260031"/>
      <w:bookmarkStart w:id="138" w:name="_Toc401133270"/>
      <w:bookmarkStart w:id="139" w:name="_Toc427071030"/>
      <w:bookmarkStart w:id="140" w:name="_Toc429954241"/>
    </w:p>
    <w:p w14:paraId="607F9BE4">
      <w:pPr>
        <w:pStyle w:val="5"/>
        <w:spacing w:before="260" w:after="260" w:line="416" w:lineRule="auto"/>
        <w:jc w:val="center"/>
        <w:rPr>
          <w:rFonts w:hint="eastAsia" w:ascii="宋体" w:hAnsi="宋体" w:eastAsia="宋体"/>
          <w:b/>
          <w:bCs/>
          <w:color w:val="000000"/>
          <w:sz w:val="22"/>
          <w:szCs w:val="28"/>
        </w:rPr>
      </w:pPr>
      <w:bookmarkStart w:id="141" w:name="_Toc69378659"/>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132"/>
      <w:bookmarkEnd w:id="133"/>
      <w:bookmarkEnd w:id="134"/>
      <w:bookmarkEnd w:id="135"/>
      <w:bookmarkEnd w:id="136"/>
      <w:bookmarkEnd w:id="137"/>
      <w:bookmarkEnd w:id="138"/>
      <w:bookmarkEnd w:id="139"/>
      <w:bookmarkEnd w:id="140"/>
      <w:bookmarkEnd w:id="141"/>
    </w:p>
    <w:tbl>
      <w:tblPr>
        <w:tblStyle w:val="5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4293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224481A">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30F495AD">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6B999A4F">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7DBE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7C80D98">
            <w:pPr>
              <w:widowControl/>
              <w:jc w:val="center"/>
              <w:rPr>
                <w:rFonts w:hint="eastAsia" w:ascii="宋体" w:hAnsi="宋体"/>
                <w:color w:val="000000"/>
              </w:rPr>
            </w:pPr>
            <w:r>
              <w:rPr>
                <w:rFonts w:hint="eastAsia" w:ascii="宋体" w:hAnsi="宋体"/>
                <w:color w:val="000000"/>
              </w:rPr>
              <w:t>1</w:t>
            </w:r>
          </w:p>
        </w:tc>
        <w:tc>
          <w:tcPr>
            <w:tcW w:w="3771" w:type="pct"/>
            <w:vAlign w:val="center"/>
          </w:tcPr>
          <w:p w14:paraId="7AA1BFB4">
            <w:pPr>
              <w:widowControl/>
              <w:spacing w:line="300" w:lineRule="auto"/>
              <w:jc w:val="left"/>
              <w:rPr>
                <w:rFonts w:hint="eastAsia" w:ascii="宋体" w:hAnsi="宋体"/>
                <w:color w:val="000000"/>
                <w:kern w:val="0"/>
              </w:rPr>
            </w:pPr>
          </w:p>
        </w:tc>
        <w:tc>
          <w:tcPr>
            <w:tcW w:w="650" w:type="pct"/>
            <w:vAlign w:val="center"/>
          </w:tcPr>
          <w:p w14:paraId="21696B64">
            <w:pPr>
              <w:widowControl/>
              <w:rPr>
                <w:rFonts w:hint="eastAsia" w:ascii="宋体" w:hAnsi="宋体" w:cs="宋体"/>
                <w:color w:val="000000"/>
                <w:kern w:val="0"/>
                <w:szCs w:val="21"/>
              </w:rPr>
            </w:pPr>
          </w:p>
        </w:tc>
      </w:tr>
      <w:tr w14:paraId="3CD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5CCB338">
            <w:pPr>
              <w:widowControl/>
              <w:jc w:val="center"/>
              <w:rPr>
                <w:rFonts w:hint="eastAsia" w:ascii="宋体" w:hAnsi="宋体"/>
                <w:color w:val="000000"/>
              </w:rPr>
            </w:pPr>
            <w:r>
              <w:rPr>
                <w:rFonts w:hint="eastAsia" w:ascii="宋体" w:hAnsi="宋体"/>
                <w:color w:val="000000"/>
              </w:rPr>
              <w:t>2</w:t>
            </w:r>
          </w:p>
        </w:tc>
        <w:tc>
          <w:tcPr>
            <w:tcW w:w="3771" w:type="pct"/>
            <w:vAlign w:val="center"/>
          </w:tcPr>
          <w:p w14:paraId="2184D68E">
            <w:pPr>
              <w:widowControl/>
              <w:spacing w:line="300" w:lineRule="auto"/>
              <w:jc w:val="left"/>
              <w:rPr>
                <w:rFonts w:hint="eastAsia" w:ascii="宋体" w:hAnsi="宋体"/>
                <w:color w:val="000000"/>
                <w:kern w:val="0"/>
              </w:rPr>
            </w:pPr>
          </w:p>
        </w:tc>
        <w:tc>
          <w:tcPr>
            <w:tcW w:w="650" w:type="pct"/>
            <w:vAlign w:val="center"/>
          </w:tcPr>
          <w:p w14:paraId="055F6AB3">
            <w:pPr>
              <w:widowControl/>
              <w:rPr>
                <w:rFonts w:hint="eastAsia" w:ascii="宋体" w:hAnsi="宋体" w:cs="宋体"/>
                <w:color w:val="000000"/>
                <w:kern w:val="0"/>
                <w:szCs w:val="21"/>
              </w:rPr>
            </w:pPr>
          </w:p>
        </w:tc>
      </w:tr>
      <w:tr w14:paraId="0DD3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F93A501">
            <w:pPr>
              <w:widowControl/>
              <w:jc w:val="center"/>
              <w:rPr>
                <w:rFonts w:hint="eastAsia" w:ascii="宋体" w:hAnsi="宋体"/>
                <w:color w:val="000000"/>
              </w:rPr>
            </w:pPr>
            <w:r>
              <w:rPr>
                <w:rFonts w:hint="eastAsia" w:ascii="宋体" w:hAnsi="宋体"/>
                <w:color w:val="000000"/>
              </w:rPr>
              <w:t>3</w:t>
            </w:r>
          </w:p>
        </w:tc>
        <w:tc>
          <w:tcPr>
            <w:tcW w:w="3771" w:type="pct"/>
            <w:vAlign w:val="center"/>
          </w:tcPr>
          <w:p w14:paraId="3A9864A4">
            <w:pPr>
              <w:widowControl/>
              <w:spacing w:line="300" w:lineRule="auto"/>
              <w:jc w:val="left"/>
              <w:rPr>
                <w:rFonts w:hint="eastAsia" w:ascii="宋体" w:hAnsi="宋体"/>
                <w:color w:val="000000"/>
                <w:kern w:val="0"/>
              </w:rPr>
            </w:pPr>
          </w:p>
        </w:tc>
        <w:tc>
          <w:tcPr>
            <w:tcW w:w="650" w:type="pct"/>
            <w:vAlign w:val="center"/>
          </w:tcPr>
          <w:p w14:paraId="2307111A">
            <w:pPr>
              <w:widowControl/>
              <w:jc w:val="center"/>
              <w:rPr>
                <w:rFonts w:hint="eastAsia" w:ascii="宋体" w:hAnsi="宋体" w:cs="宋体"/>
                <w:b/>
                <w:color w:val="000000"/>
                <w:kern w:val="0"/>
                <w:szCs w:val="21"/>
              </w:rPr>
            </w:pPr>
          </w:p>
        </w:tc>
      </w:tr>
      <w:tr w14:paraId="7446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067DDFA">
            <w:pPr>
              <w:widowControl/>
              <w:jc w:val="center"/>
              <w:rPr>
                <w:rFonts w:hint="eastAsia" w:ascii="宋体" w:hAnsi="宋体"/>
                <w:color w:val="000000"/>
              </w:rPr>
            </w:pPr>
            <w:r>
              <w:rPr>
                <w:rFonts w:hint="eastAsia" w:ascii="宋体" w:hAnsi="宋体"/>
                <w:color w:val="000000"/>
              </w:rPr>
              <w:t>4</w:t>
            </w:r>
          </w:p>
        </w:tc>
        <w:tc>
          <w:tcPr>
            <w:tcW w:w="3771" w:type="pct"/>
            <w:vAlign w:val="center"/>
          </w:tcPr>
          <w:p w14:paraId="4FFF7F2B">
            <w:pPr>
              <w:widowControl/>
              <w:spacing w:line="300" w:lineRule="auto"/>
              <w:jc w:val="left"/>
              <w:rPr>
                <w:rFonts w:hint="eastAsia" w:ascii="宋体" w:hAnsi="宋体"/>
                <w:color w:val="000000"/>
                <w:kern w:val="0"/>
              </w:rPr>
            </w:pPr>
          </w:p>
        </w:tc>
        <w:tc>
          <w:tcPr>
            <w:tcW w:w="650" w:type="pct"/>
            <w:vAlign w:val="center"/>
          </w:tcPr>
          <w:p w14:paraId="3AE490B7">
            <w:pPr>
              <w:widowControl/>
              <w:rPr>
                <w:rFonts w:hint="eastAsia" w:ascii="宋体" w:hAnsi="宋体" w:cs="宋体"/>
                <w:color w:val="000000"/>
                <w:kern w:val="0"/>
                <w:szCs w:val="21"/>
              </w:rPr>
            </w:pPr>
          </w:p>
        </w:tc>
      </w:tr>
      <w:tr w14:paraId="4410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3BA34FB">
            <w:pPr>
              <w:widowControl/>
              <w:jc w:val="center"/>
              <w:rPr>
                <w:rFonts w:hint="eastAsia" w:ascii="宋体" w:hAnsi="宋体"/>
                <w:color w:val="000000"/>
              </w:rPr>
            </w:pPr>
            <w:r>
              <w:rPr>
                <w:rFonts w:hint="eastAsia" w:ascii="宋体" w:hAnsi="宋体"/>
                <w:color w:val="000000"/>
              </w:rPr>
              <w:t>5</w:t>
            </w:r>
          </w:p>
        </w:tc>
        <w:tc>
          <w:tcPr>
            <w:tcW w:w="3771" w:type="pct"/>
            <w:vAlign w:val="center"/>
          </w:tcPr>
          <w:p w14:paraId="11527A6B">
            <w:pPr>
              <w:widowControl/>
              <w:spacing w:line="300" w:lineRule="auto"/>
              <w:jc w:val="left"/>
              <w:rPr>
                <w:rFonts w:hint="eastAsia" w:ascii="宋体" w:hAnsi="宋体"/>
                <w:color w:val="000000"/>
                <w:kern w:val="0"/>
              </w:rPr>
            </w:pPr>
          </w:p>
        </w:tc>
        <w:tc>
          <w:tcPr>
            <w:tcW w:w="650" w:type="pct"/>
            <w:vAlign w:val="center"/>
          </w:tcPr>
          <w:p w14:paraId="10D375ED">
            <w:pPr>
              <w:widowControl/>
              <w:rPr>
                <w:rFonts w:hint="eastAsia" w:ascii="宋体" w:hAnsi="宋体" w:cs="宋体"/>
                <w:color w:val="000000"/>
                <w:kern w:val="0"/>
                <w:szCs w:val="21"/>
              </w:rPr>
            </w:pPr>
          </w:p>
        </w:tc>
      </w:tr>
      <w:tr w14:paraId="063F3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9EFA6D9">
            <w:pPr>
              <w:widowControl/>
              <w:jc w:val="center"/>
              <w:rPr>
                <w:rFonts w:hint="eastAsia" w:ascii="宋体" w:hAnsi="宋体"/>
                <w:color w:val="000000"/>
              </w:rPr>
            </w:pPr>
            <w:r>
              <w:rPr>
                <w:rFonts w:hint="eastAsia" w:ascii="宋体" w:hAnsi="宋体"/>
                <w:color w:val="000000"/>
              </w:rPr>
              <w:t>6</w:t>
            </w:r>
          </w:p>
        </w:tc>
        <w:tc>
          <w:tcPr>
            <w:tcW w:w="3771" w:type="pct"/>
            <w:vAlign w:val="center"/>
          </w:tcPr>
          <w:p w14:paraId="479296B7">
            <w:pPr>
              <w:widowControl/>
              <w:spacing w:line="300" w:lineRule="auto"/>
              <w:jc w:val="left"/>
              <w:rPr>
                <w:rFonts w:hint="eastAsia" w:ascii="宋体" w:hAnsi="宋体"/>
                <w:color w:val="000000"/>
                <w:kern w:val="0"/>
              </w:rPr>
            </w:pPr>
          </w:p>
        </w:tc>
        <w:tc>
          <w:tcPr>
            <w:tcW w:w="650" w:type="pct"/>
            <w:vAlign w:val="center"/>
          </w:tcPr>
          <w:p w14:paraId="328C88B6">
            <w:pPr>
              <w:widowControl/>
              <w:rPr>
                <w:rFonts w:hint="eastAsia" w:ascii="宋体" w:hAnsi="宋体" w:cs="宋体"/>
                <w:color w:val="000000"/>
                <w:kern w:val="0"/>
                <w:szCs w:val="21"/>
              </w:rPr>
            </w:pPr>
          </w:p>
        </w:tc>
      </w:tr>
      <w:tr w14:paraId="69A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BE7790">
            <w:pPr>
              <w:widowControl/>
              <w:jc w:val="center"/>
              <w:rPr>
                <w:rFonts w:hint="eastAsia" w:ascii="宋体" w:hAnsi="宋体"/>
                <w:color w:val="000000"/>
              </w:rPr>
            </w:pPr>
            <w:r>
              <w:rPr>
                <w:rFonts w:hint="eastAsia" w:ascii="宋体" w:hAnsi="宋体"/>
                <w:color w:val="000000"/>
              </w:rPr>
              <w:t>7</w:t>
            </w:r>
          </w:p>
        </w:tc>
        <w:tc>
          <w:tcPr>
            <w:tcW w:w="3771" w:type="pct"/>
            <w:vAlign w:val="center"/>
          </w:tcPr>
          <w:p w14:paraId="0BD15268">
            <w:pPr>
              <w:widowControl/>
              <w:spacing w:line="300" w:lineRule="auto"/>
              <w:jc w:val="left"/>
              <w:rPr>
                <w:rFonts w:hint="eastAsia" w:ascii="宋体" w:hAnsi="宋体"/>
                <w:color w:val="000000"/>
                <w:kern w:val="0"/>
              </w:rPr>
            </w:pPr>
          </w:p>
        </w:tc>
        <w:tc>
          <w:tcPr>
            <w:tcW w:w="650" w:type="pct"/>
            <w:vAlign w:val="center"/>
          </w:tcPr>
          <w:p w14:paraId="220CE468">
            <w:pPr>
              <w:widowControl/>
              <w:rPr>
                <w:rFonts w:hint="eastAsia" w:ascii="宋体" w:hAnsi="宋体" w:cs="宋体"/>
                <w:color w:val="000000"/>
                <w:kern w:val="0"/>
                <w:szCs w:val="21"/>
              </w:rPr>
            </w:pPr>
          </w:p>
        </w:tc>
      </w:tr>
      <w:tr w14:paraId="58E7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FB760AC">
            <w:pPr>
              <w:widowControl/>
              <w:jc w:val="center"/>
              <w:rPr>
                <w:rFonts w:hint="eastAsia" w:ascii="宋体" w:hAnsi="宋体"/>
                <w:color w:val="000000"/>
              </w:rPr>
            </w:pPr>
            <w:r>
              <w:rPr>
                <w:rFonts w:hint="eastAsia" w:ascii="宋体" w:hAnsi="宋体"/>
                <w:color w:val="000000"/>
              </w:rPr>
              <w:t>8</w:t>
            </w:r>
          </w:p>
        </w:tc>
        <w:tc>
          <w:tcPr>
            <w:tcW w:w="3771" w:type="pct"/>
            <w:vAlign w:val="center"/>
          </w:tcPr>
          <w:p w14:paraId="2492DFA0">
            <w:pPr>
              <w:widowControl/>
              <w:spacing w:line="300" w:lineRule="auto"/>
              <w:jc w:val="left"/>
              <w:rPr>
                <w:rFonts w:hint="eastAsia" w:ascii="宋体" w:hAnsi="宋体"/>
                <w:color w:val="000000"/>
                <w:kern w:val="0"/>
              </w:rPr>
            </w:pPr>
          </w:p>
        </w:tc>
        <w:tc>
          <w:tcPr>
            <w:tcW w:w="650" w:type="pct"/>
            <w:vAlign w:val="center"/>
          </w:tcPr>
          <w:p w14:paraId="621DEE9B">
            <w:pPr>
              <w:widowControl/>
              <w:rPr>
                <w:rFonts w:hint="eastAsia" w:ascii="宋体" w:hAnsi="宋体" w:cs="宋体"/>
                <w:color w:val="000000"/>
                <w:kern w:val="0"/>
                <w:szCs w:val="21"/>
              </w:rPr>
            </w:pPr>
          </w:p>
        </w:tc>
      </w:tr>
      <w:tr w14:paraId="67493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84B091C">
            <w:pPr>
              <w:widowControl/>
              <w:jc w:val="center"/>
              <w:rPr>
                <w:rFonts w:hint="eastAsia" w:ascii="宋体" w:hAnsi="宋体"/>
                <w:color w:val="000000"/>
              </w:rPr>
            </w:pPr>
            <w:r>
              <w:rPr>
                <w:rFonts w:hint="eastAsia" w:ascii="宋体" w:hAnsi="宋体"/>
                <w:color w:val="000000"/>
              </w:rPr>
              <w:t>9</w:t>
            </w:r>
          </w:p>
        </w:tc>
        <w:tc>
          <w:tcPr>
            <w:tcW w:w="3771" w:type="pct"/>
            <w:vAlign w:val="center"/>
          </w:tcPr>
          <w:p w14:paraId="583989BC">
            <w:pPr>
              <w:widowControl/>
              <w:spacing w:line="300" w:lineRule="auto"/>
              <w:jc w:val="left"/>
              <w:rPr>
                <w:rFonts w:hint="eastAsia" w:ascii="宋体" w:hAnsi="宋体"/>
                <w:color w:val="000000"/>
                <w:kern w:val="0"/>
              </w:rPr>
            </w:pPr>
          </w:p>
        </w:tc>
        <w:tc>
          <w:tcPr>
            <w:tcW w:w="650" w:type="pct"/>
            <w:vAlign w:val="center"/>
          </w:tcPr>
          <w:p w14:paraId="55CF75A2">
            <w:pPr>
              <w:widowControl/>
              <w:rPr>
                <w:rFonts w:hint="eastAsia" w:ascii="宋体" w:hAnsi="宋体" w:cs="宋体"/>
                <w:color w:val="000000"/>
                <w:kern w:val="0"/>
                <w:szCs w:val="21"/>
              </w:rPr>
            </w:pPr>
          </w:p>
        </w:tc>
      </w:tr>
      <w:tr w14:paraId="16EF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FE36E54">
            <w:pPr>
              <w:widowControl/>
              <w:jc w:val="center"/>
              <w:rPr>
                <w:rFonts w:hint="eastAsia" w:ascii="宋体" w:hAnsi="宋体"/>
                <w:color w:val="000000"/>
              </w:rPr>
            </w:pPr>
            <w:r>
              <w:rPr>
                <w:rFonts w:hint="eastAsia" w:ascii="宋体" w:hAnsi="宋体"/>
                <w:color w:val="000000"/>
              </w:rPr>
              <w:t>10</w:t>
            </w:r>
          </w:p>
        </w:tc>
        <w:tc>
          <w:tcPr>
            <w:tcW w:w="3771" w:type="pct"/>
            <w:vAlign w:val="center"/>
          </w:tcPr>
          <w:p w14:paraId="1F681D96">
            <w:pPr>
              <w:widowControl/>
              <w:spacing w:line="300" w:lineRule="auto"/>
              <w:jc w:val="left"/>
              <w:rPr>
                <w:rFonts w:hint="eastAsia" w:ascii="宋体" w:hAnsi="宋体"/>
                <w:color w:val="000000"/>
                <w:kern w:val="0"/>
              </w:rPr>
            </w:pPr>
          </w:p>
        </w:tc>
        <w:tc>
          <w:tcPr>
            <w:tcW w:w="650" w:type="pct"/>
            <w:vAlign w:val="center"/>
          </w:tcPr>
          <w:p w14:paraId="1541A3FF">
            <w:pPr>
              <w:widowControl/>
              <w:rPr>
                <w:rFonts w:hint="eastAsia" w:ascii="宋体" w:hAnsi="宋体" w:cs="宋体"/>
                <w:color w:val="000000"/>
                <w:kern w:val="0"/>
                <w:szCs w:val="21"/>
              </w:rPr>
            </w:pPr>
          </w:p>
        </w:tc>
      </w:tr>
      <w:tr w14:paraId="3BAE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A1A4910">
            <w:pPr>
              <w:widowControl/>
              <w:jc w:val="center"/>
              <w:rPr>
                <w:rFonts w:hint="eastAsia" w:ascii="宋体" w:hAnsi="宋体"/>
                <w:color w:val="000000"/>
              </w:rPr>
            </w:pPr>
            <w:r>
              <w:rPr>
                <w:rFonts w:hint="eastAsia" w:ascii="宋体" w:hAnsi="宋体"/>
                <w:color w:val="000000"/>
              </w:rPr>
              <w:t>11</w:t>
            </w:r>
          </w:p>
        </w:tc>
        <w:tc>
          <w:tcPr>
            <w:tcW w:w="3771" w:type="pct"/>
            <w:vAlign w:val="center"/>
          </w:tcPr>
          <w:p w14:paraId="6174D68B">
            <w:pPr>
              <w:widowControl/>
              <w:spacing w:line="300" w:lineRule="auto"/>
              <w:jc w:val="left"/>
              <w:rPr>
                <w:rFonts w:hint="eastAsia" w:ascii="宋体" w:hAnsi="宋体"/>
                <w:color w:val="000000"/>
                <w:kern w:val="0"/>
              </w:rPr>
            </w:pPr>
          </w:p>
        </w:tc>
        <w:tc>
          <w:tcPr>
            <w:tcW w:w="650" w:type="pct"/>
            <w:vAlign w:val="center"/>
          </w:tcPr>
          <w:p w14:paraId="779DC985">
            <w:pPr>
              <w:widowControl/>
              <w:rPr>
                <w:rFonts w:hint="eastAsia" w:ascii="宋体" w:hAnsi="宋体" w:cs="宋体"/>
                <w:color w:val="000000"/>
                <w:kern w:val="0"/>
                <w:szCs w:val="21"/>
              </w:rPr>
            </w:pPr>
          </w:p>
        </w:tc>
      </w:tr>
      <w:tr w14:paraId="0C1BD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DE00018">
            <w:pPr>
              <w:widowControl/>
              <w:jc w:val="center"/>
              <w:rPr>
                <w:rFonts w:hint="eastAsia"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4E7271B4">
            <w:pPr>
              <w:widowControl/>
              <w:spacing w:line="300" w:lineRule="auto"/>
              <w:jc w:val="left"/>
              <w:rPr>
                <w:rFonts w:hint="eastAsia" w:ascii="宋体" w:hAnsi="宋体"/>
                <w:color w:val="000000"/>
                <w:kern w:val="0"/>
              </w:rPr>
            </w:pPr>
          </w:p>
        </w:tc>
        <w:tc>
          <w:tcPr>
            <w:tcW w:w="650" w:type="pct"/>
            <w:vAlign w:val="center"/>
          </w:tcPr>
          <w:p w14:paraId="37E35890">
            <w:pPr>
              <w:widowControl/>
              <w:rPr>
                <w:rFonts w:hint="eastAsia" w:ascii="宋体" w:hAnsi="宋体" w:cs="宋体"/>
                <w:color w:val="000000"/>
                <w:kern w:val="0"/>
                <w:szCs w:val="21"/>
              </w:rPr>
            </w:pPr>
          </w:p>
        </w:tc>
      </w:tr>
      <w:tr w14:paraId="6E09F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CC63D4B">
            <w:pPr>
              <w:widowControl/>
              <w:jc w:val="center"/>
              <w:rPr>
                <w:rFonts w:hint="eastAsia"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239B3145">
            <w:pPr>
              <w:widowControl/>
              <w:spacing w:line="300" w:lineRule="auto"/>
              <w:jc w:val="left"/>
              <w:rPr>
                <w:rFonts w:hint="eastAsia" w:ascii="宋体" w:hAnsi="宋体"/>
                <w:color w:val="000000"/>
                <w:kern w:val="0"/>
              </w:rPr>
            </w:pPr>
          </w:p>
        </w:tc>
        <w:tc>
          <w:tcPr>
            <w:tcW w:w="650" w:type="pct"/>
            <w:vAlign w:val="center"/>
          </w:tcPr>
          <w:p w14:paraId="1653CCF1">
            <w:pPr>
              <w:widowControl/>
              <w:rPr>
                <w:rFonts w:hint="eastAsia" w:ascii="宋体" w:hAnsi="宋体" w:cs="宋体"/>
                <w:color w:val="000000"/>
                <w:kern w:val="0"/>
                <w:szCs w:val="21"/>
              </w:rPr>
            </w:pPr>
          </w:p>
        </w:tc>
      </w:tr>
      <w:tr w14:paraId="05F3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9451B39">
            <w:pPr>
              <w:widowControl/>
              <w:jc w:val="center"/>
              <w:rPr>
                <w:rFonts w:hint="eastAsia"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6A9BC981">
            <w:pPr>
              <w:widowControl/>
              <w:spacing w:line="300" w:lineRule="auto"/>
              <w:jc w:val="left"/>
              <w:rPr>
                <w:rFonts w:hint="eastAsia" w:ascii="宋体" w:hAnsi="宋体"/>
                <w:color w:val="000000"/>
                <w:kern w:val="0"/>
              </w:rPr>
            </w:pPr>
          </w:p>
        </w:tc>
        <w:tc>
          <w:tcPr>
            <w:tcW w:w="650" w:type="pct"/>
            <w:vAlign w:val="center"/>
          </w:tcPr>
          <w:p w14:paraId="5F86718A">
            <w:pPr>
              <w:widowControl/>
              <w:rPr>
                <w:rFonts w:hint="eastAsia" w:ascii="宋体" w:hAnsi="宋体" w:cs="宋体"/>
                <w:color w:val="000000"/>
                <w:kern w:val="0"/>
                <w:szCs w:val="21"/>
              </w:rPr>
            </w:pPr>
          </w:p>
        </w:tc>
      </w:tr>
      <w:tr w14:paraId="3E897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D253FE6">
            <w:pPr>
              <w:widowControl/>
              <w:jc w:val="center"/>
              <w:rPr>
                <w:rFonts w:hint="eastAsia" w:ascii="宋体" w:hAnsi="宋体"/>
                <w:color w:val="000000"/>
              </w:rPr>
            </w:pPr>
          </w:p>
        </w:tc>
        <w:tc>
          <w:tcPr>
            <w:tcW w:w="3771" w:type="pct"/>
            <w:vAlign w:val="center"/>
          </w:tcPr>
          <w:p w14:paraId="4922E49B">
            <w:pPr>
              <w:widowControl/>
              <w:spacing w:line="300" w:lineRule="auto"/>
              <w:jc w:val="left"/>
              <w:rPr>
                <w:rFonts w:hint="eastAsia" w:ascii="宋体" w:hAnsi="宋体"/>
                <w:color w:val="000000"/>
                <w:kern w:val="0"/>
              </w:rPr>
            </w:pPr>
          </w:p>
        </w:tc>
        <w:tc>
          <w:tcPr>
            <w:tcW w:w="650" w:type="pct"/>
            <w:vAlign w:val="center"/>
          </w:tcPr>
          <w:p w14:paraId="6D029A1C">
            <w:pPr>
              <w:widowControl/>
              <w:rPr>
                <w:rFonts w:hint="eastAsia" w:ascii="宋体" w:hAnsi="宋体" w:cs="宋体"/>
                <w:color w:val="000000"/>
                <w:kern w:val="0"/>
                <w:szCs w:val="21"/>
              </w:rPr>
            </w:pPr>
          </w:p>
        </w:tc>
      </w:tr>
    </w:tbl>
    <w:p w14:paraId="0B6F6596">
      <w:pPr>
        <w:rPr>
          <w:color w:val="000000"/>
        </w:rPr>
      </w:pPr>
    </w:p>
    <w:p w14:paraId="0F060FC0">
      <w:pPr>
        <w:pStyle w:val="57"/>
        <w:ind w:firstLine="560"/>
        <w:rPr>
          <w:color w:val="000000"/>
        </w:rPr>
      </w:pPr>
    </w:p>
    <w:p w14:paraId="07C77DFA">
      <w:pPr>
        <w:pStyle w:val="57"/>
        <w:ind w:firstLine="560"/>
        <w:rPr>
          <w:color w:val="000000"/>
        </w:rPr>
      </w:pPr>
    </w:p>
    <w:p w14:paraId="4C2C1219">
      <w:pPr>
        <w:pStyle w:val="57"/>
        <w:ind w:firstLine="560"/>
        <w:rPr>
          <w:color w:val="000000"/>
        </w:rPr>
      </w:pPr>
    </w:p>
    <w:p w14:paraId="474BDD12">
      <w:pPr>
        <w:pStyle w:val="5"/>
        <w:spacing w:before="260" w:after="260" w:line="416" w:lineRule="auto"/>
        <w:jc w:val="center"/>
        <w:rPr>
          <w:rFonts w:hint="eastAsia" w:ascii="宋体" w:hAnsi="宋体" w:eastAsia="宋体"/>
          <w:b/>
          <w:bCs/>
          <w:color w:val="000000"/>
          <w:sz w:val="22"/>
          <w:szCs w:val="28"/>
        </w:rPr>
      </w:pPr>
      <w:bookmarkStart w:id="142" w:name="_Toc26260032"/>
      <w:bookmarkStart w:id="143" w:name="_Toc69378660"/>
      <w:bookmarkStart w:id="144" w:name="_Toc26259739"/>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142"/>
      <w:bookmarkEnd w:id="143"/>
      <w:bookmarkEnd w:id="144"/>
    </w:p>
    <w:tbl>
      <w:tblPr>
        <w:tblStyle w:val="58"/>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7BA4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09949815">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2556AD2F">
            <w:pPr>
              <w:jc w:val="center"/>
              <w:rPr>
                <w:b/>
                <w:color w:val="000000"/>
              </w:rPr>
            </w:pPr>
            <w:r>
              <w:rPr>
                <w:b/>
                <w:color w:val="000000"/>
                <w:kern w:val="0"/>
                <w:szCs w:val="21"/>
              </w:rPr>
              <w:t>评分要求</w:t>
            </w:r>
          </w:p>
        </w:tc>
        <w:tc>
          <w:tcPr>
            <w:tcW w:w="1141" w:type="dxa"/>
            <w:vAlign w:val="center"/>
          </w:tcPr>
          <w:p w14:paraId="011406F8">
            <w:pPr>
              <w:jc w:val="center"/>
              <w:rPr>
                <w:b/>
                <w:color w:val="000000"/>
              </w:rPr>
            </w:pPr>
            <w:r>
              <w:rPr>
                <w:rFonts w:hint="eastAsia"/>
                <w:b/>
                <w:color w:val="000000"/>
                <w:kern w:val="0"/>
                <w:szCs w:val="21"/>
              </w:rPr>
              <w:t>响应文件响应的页码</w:t>
            </w:r>
          </w:p>
        </w:tc>
      </w:tr>
      <w:tr w14:paraId="2F760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14:paraId="524D5DBC">
            <w:pPr>
              <w:widowControl/>
              <w:spacing w:line="300" w:lineRule="auto"/>
              <w:jc w:val="center"/>
              <w:rPr>
                <w:color w:val="000000"/>
                <w:kern w:val="0"/>
                <w:szCs w:val="21"/>
              </w:rPr>
            </w:pPr>
            <w:r>
              <w:rPr>
                <w:color w:val="000000"/>
                <w:kern w:val="0"/>
                <w:szCs w:val="21"/>
              </w:rPr>
              <w:t>1</w:t>
            </w:r>
          </w:p>
        </w:tc>
        <w:tc>
          <w:tcPr>
            <w:tcW w:w="1211" w:type="dxa"/>
            <w:vAlign w:val="center"/>
          </w:tcPr>
          <w:p w14:paraId="6D60F90E">
            <w:pPr>
              <w:widowControl/>
              <w:spacing w:line="300" w:lineRule="auto"/>
              <w:jc w:val="center"/>
              <w:rPr>
                <w:color w:val="000000"/>
                <w:kern w:val="0"/>
                <w:szCs w:val="21"/>
              </w:rPr>
            </w:pPr>
          </w:p>
        </w:tc>
        <w:tc>
          <w:tcPr>
            <w:tcW w:w="6778" w:type="dxa"/>
          </w:tcPr>
          <w:p w14:paraId="7E393BED">
            <w:pPr>
              <w:widowControl/>
              <w:tabs>
                <w:tab w:val="left" w:pos="402"/>
              </w:tabs>
              <w:ind w:left="420"/>
              <w:rPr>
                <w:color w:val="000000"/>
                <w:kern w:val="0"/>
                <w:szCs w:val="21"/>
              </w:rPr>
            </w:pPr>
          </w:p>
        </w:tc>
        <w:tc>
          <w:tcPr>
            <w:tcW w:w="1141" w:type="dxa"/>
          </w:tcPr>
          <w:p w14:paraId="01339AAE">
            <w:pPr>
              <w:widowControl/>
              <w:tabs>
                <w:tab w:val="left" w:pos="0"/>
                <w:tab w:val="left" w:pos="402"/>
              </w:tabs>
              <w:spacing w:line="300" w:lineRule="auto"/>
              <w:rPr>
                <w:color w:val="000000"/>
                <w:kern w:val="0"/>
                <w:szCs w:val="21"/>
              </w:rPr>
            </w:pPr>
          </w:p>
        </w:tc>
      </w:tr>
      <w:tr w14:paraId="5025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140FEA37">
            <w:pPr>
              <w:jc w:val="center"/>
              <w:rPr>
                <w:color w:val="000000"/>
              </w:rPr>
            </w:pPr>
            <w:r>
              <w:rPr>
                <w:rFonts w:hint="eastAsia"/>
                <w:color w:val="000000"/>
                <w:kern w:val="0"/>
                <w:szCs w:val="21"/>
              </w:rPr>
              <w:t>2</w:t>
            </w:r>
          </w:p>
        </w:tc>
        <w:tc>
          <w:tcPr>
            <w:tcW w:w="1211" w:type="dxa"/>
            <w:vAlign w:val="center"/>
          </w:tcPr>
          <w:p w14:paraId="0EAA9AA3">
            <w:pPr>
              <w:jc w:val="center"/>
              <w:rPr>
                <w:color w:val="000000"/>
                <w:kern w:val="0"/>
                <w:szCs w:val="21"/>
              </w:rPr>
            </w:pPr>
          </w:p>
        </w:tc>
        <w:tc>
          <w:tcPr>
            <w:tcW w:w="6778" w:type="dxa"/>
            <w:vAlign w:val="center"/>
          </w:tcPr>
          <w:p w14:paraId="1B4862B1">
            <w:pPr>
              <w:widowControl/>
              <w:jc w:val="left"/>
              <w:rPr>
                <w:color w:val="000000"/>
                <w:kern w:val="0"/>
                <w:szCs w:val="21"/>
              </w:rPr>
            </w:pPr>
          </w:p>
        </w:tc>
        <w:tc>
          <w:tcPr>
            <w:tcW w:w="1141" w:type="dxa"/>
          </w:tcPr>
          <w:p w14:paraId="71490BE3">
            <w:pPr>
              <w:widowControl/>
              <w:jc w:val="left"/>
              <w:rPr>
                <w:color w:val="000000"/>
                <w:kern w:val="0"/>
                <w:szCs w:val="21"/>
              </w:rPr>
            </w:pPr>
          </w:p>
        </w:tc>
      </w:tr>
      <w:tr w14:paraId="56EC9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33C3677B">
            <w:pPr>
              <w:jc w:val="center"/>
              <w:rPr>
                <w:color w:val="000000"/>
                <w:kern w:val="0"/>
                <w:szCs w:val="21"/>
              </w:rPr>
            </w:pPr>
            <w:r>
              <w:rPr>
                <w:rFonts w:hint="eastAsia"/>
                <w:color w:val="000000"/>
                <w:kern w:val="0"/>
                <w:szCs w:val="21"/>
              </w:rPr>
              <w:t>3</w:t>
            </w:r>
          </w:p>
        </w:tc>
        <w:tc>
          <w:tcPr>
            <w:tcW w:w="1211" w:type="dxa"/>
            <w:vAlign w:val="center"/>
          </w:tcPr>
          <w:p w14:paraId="45FD2AEA">
            <w:pPr>
              <w:jc w:val="center"/>
              <w:rPr>
                <w:rFonts w:hint="eastAsia" w:ascii="宋体" w:hAnsi="宋体"/>
                <w:b/>
                <w:color w:val="000000"/>
              </w:rPr>
            </w:pPr>
          </w:p>
        </w:tc>
        <w:tc>
          <w:tcPr>
            <w:tcW w:w="6778" w:type="dxa"/>
            <w:vAlign w:val="center"/>
          </w:tcPr>
          <w:p w14:paraId="07001B82">
            <w:pPr>
              <w:widowControl/>
              <w:jc w:val="left"/>
              <w:rPr>
                <w:rFonts w:hint="eastAsia" w:ascii="宋体" w:hAnsi="宋体"/>
                <w:color w:val="000000"/>
                <w:szCs w:val="21"/>
              </w:rPr>
            </w:pPr>
          </w:p>
        </w:tc>
        <w:tc>
          <w:tcPr>
            <w:tcW w:w="1141" w:type="dxa"/>
          </w:tcPr>
          <w:p w14:paraId="47508346">
            <w:pPr>
              <w:widowControl/>
              <w:jc w:val="left"/>
              <w:rPr>
                <w:color w:val="000000"/>
                <w:kern w:val="0"/>
                <w:szCs w:val="21"/>
              </w:rPr>
            </w:pPr>
          </w:p>
        </w:tc>
      </w:tr>
      <w:tr w14:paraId="3B0F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53704845">
            <w:pPr>
              <w:jc w:val="center"/>
              <w:rPr>
                <w:color w:val="000000"/>
              </w:rPr>
            </w:pPr>
            <w:r>
              <w:rPr>
                <w:rFonts w:hint="eastAsia"/>
                <w:color w:val="000000"/>
              </w:rPr>
              <w:t>4</w:t>
            </w:r>
          </w:p>
        </w:tc>
        <w:tc>
          <w:tcPr>
            <w:tcW w:w="1211" w:type="dxa"/>
            <w:vAlign w:val="center"/>
          </w:tcPr>
          <w:p w14:paraId="507FEF44">
            <w:pPr>
              <w:jc w:val="center"/>
              <w:rPr>
                <w:color w:val="000000"/>
                <w:kern w:val="0"/>
                <w:szCs w:val="21"/>
              </w:rPr>
            </w:pPr>
          </w:p>
        </w:tc>
        <w:tc>
          <w:tcPr>
            <w:tcW w:w="6778" w:type="dxa"/>
          </w:tcPr>
          <w:p w14:paraId="0E141BF5">
            <w:pPr>
              <w:widowControl/>
              <w:jc w:val="left"/>
              <w:rPr>
                <w:color w:val="000000"/>
                <w:kern w:val="0"/>
                <w:szCs w:val="21"/>
              </w:rPr>
            </w:pPr>
          </w:p>
        </w:tc>
        <w:tc>
          <w:tcPr>
            <w:tcW w:w="1141" w:type="dxa"/>
          </w:tcPr>
          <w:p w14:paraId="42CD47DE">
            <w:pPr>
              <w:widowControl/>
              <w:jc w:val="left"/>
              <w:rPr>
                <w:color w:val="000000"/>
                <w:kern w:val="0"/>
                <w:szCs w:val="21"/>
              </w:rPr>
            </w:pPr>
          </w:p>
        </w:tc>
      </w:tr>
      <w:tr w14:paraId="7386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26E0D8D">
            <w:pPr>
              <w:widowControl/>
              <w:jc w:val="center"/>
              <w:rPr>
                <w:color w:val="000000"/>
                <w:kern w:val="0"/>
                <w:szCs w:val="21"/>
              </w:rPr>
            </w:pPr>
            <w:r>
              <w:rPr>
                <w:rFonts w:hint="eastAsia"/>
                <w:color w:val="000000"/>
                <w:kern w:val="0"/>
                <w:szCs w:val="21"/>
              </w:rPr>
              <w:t>5</w:t>
            </w:r>
          </w:p>
        </w:tc>
        <w:tc>
          <w:tcPr>
            <w:tcW w:w="1211" w:type="dxa"/>
            <w:vAlign w:val="center"/>
          </w:tcPr>
          <w:p w14:paraId="6F8C6565">
            <w:pPr>
              <w:jc w:val="center"/>
              <w:rPr>
                <w:color w:val="000000"/>
                <w:kern w:val="0"/>
                <w:szCs w:val="21"/>
              </w:rPr>
            </w:pPr>
          </w:p>
        </w:tc>
        <w:tc>
          <w:tcPr>
            <w:tcW w:w="6778" w:type="dxa"/>
            <w:vAlign w:val="center"/>
          </w:tcPr>
          <w:p w14:paraId="71DEAA3A">
            <w:pPr>
              <w:widowControl/>
              <w:jc w:val="left"/>
              <w:rPr>
                <w:color w:val="000000"/>
                <w:kern w:val="0"/>
                <w:szCs w:val="21"/>
              </w:rPr>
            </w:pPr>
          </w:p>
        </w:tc>
        <w:tc>
          <w:tcPr>
            <w:tcW w:w="1141" w:type="dxa"/>
          </w:tcPr>
          <w:p w14:paraId="79E9CC20">
            <w:pPr>
              <w:widowControl/>
              <w:jc w:val="left"/>
              <w:rPr>
                <w:color w:val="000000"/>
                <w:kern w:val="0"/>
                <w:szCs w:val="21"/>
              </w:rPr>
            </w:pPr>
          </w:p>
        </w:tc>
      </w:tr>
      <w:tr w14:paraId="7133F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3E7CFE3D">
            <w:pPr>
              <w:jc w:val="center"/>
              <w:rPr>
                <w:color w:val="000000"/>
                <w:kern w:val="0"/>
                <w:szCs w:val="21"/>
              </w:rPr>
            </w:pPr>
            <w:r>
              <w:rPr>
                <w:rFonts w:hint="eastAsia"/>
                <w:color w:val="000000"/>
                <w:kern w:val="0"/>
                <w:szCs w:val="21"/>
              </w:rPr>
              <w:t>6</w:t>
            </w:r>
          </w:p>
        </w:tc>
        <w:tc>
          <w:tcPr>
            <w:tcW w:w="1211" w:type="dxa"/>
            <w:vAlign w:val="center"/>
          </w:tcPr>
          <w:p w14:paraId="1734D3DE">
            <w:pPr>
              <w:jc w:val="center"/>
              <w:rPr>
                <w:color w:val="000000"/>
                <w:kern w:val="0"/>
                <w:szCs w:val="21"/>
              </w:rPr>
            </w:pPr>
          </w:p>
        </w:tc>
        <w:tc>
          <w:tcPr>
            <w:tcW w:w="6778" w:type="dxa"/>
            <w:vAlign w:val="center"/>
          </w:tcPr>
          <w:p w14:paraId="09EF7269">
            <w:pPr>
              <w:widowControl/>
              <w:rPr>
                <w:rFonts w:eastAsia="仿宋_GB2312"/>
                <w:b/>
                <w:bCs/>
                <w:color w:val="000000"/>
                <w:kern w:val="0"/>
                <w:sz w:val="24"/>
              </w:rPr>
            </w:pPr>
          </w:p>
        </w:tc>
        <w:tc>
          <w:tcPr>
            <w:tcW w:w="1141" w:type="dxa"/>
            <w:vAlign w:val="center"/>
          </w:tcPr>
          <w:p w14:paraId="6B1F1551">
            <w:pPr>
              <w:widowControl/>
              <w:jc w:val="left"/>
              <w:rPr>
                <w:rFonts w:eastAsia="仿宋_GB2312"/>
                <w:b/>
                <w:bCs/>
                <w:color w:val="000000"/>
                <w:kern w:val="0"/>
                <w:sz w:val="24"/>
              </w:rPr>
            </w:pPr>
          </w:p>
        </w:tc>
      </w:tr>
      <w:tr w14:paraId="2D4E2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796684A5">
            <w:pPr>
              <w:jc w:val="center"/>
              <w:rPr>
                <w:color w:val="000000"/>
                <w:kern w:val="0"/>
                <w:szCs w:val="21"/>
              </w:rPr>
            </w:pPr>
            <w:r>
              <w:rPr>
                <w:rFonts w:hint="eastAsia"/>
                <w:color w:val="000000"/>
                <w:kern w:val="0"/>
                <w:szCs w:val="21"/>
              </w:rPr>
              <w:t>7</w:t>
            </w:r>
          </w:p>
        </w:tc>
        <w:tc>
          <w:tcPr>
            <w:tcW w:w="1211" w:type="dxa"/>
            <w:vAlign w:val="center"/>
          </w:tcPr>
          <w:p w14:paraId="402B5BD9">
            <w:pPr>
              <w:jc w:val="center"/>
              <w:rPr>
                <w:color w:val="000000"/>
                <w:kern w:val="0"/>
                <w:szCs w:val="21"/>
              </w:rPr>
            </w:pPr>
          </w:p>
        </w:tc>
        <w:tc>
          <w:tcPr>
            <w:tcW w:w="6778" w:type="dxa"/>
            <w:vAlign w:val="center"/>
          </w:tcPr>
          <w:p w14:paraId="1C0E9209">
            <w:pPr>
              <w:widowControl/>
              <w:rPr>
                <w:rFonts w:eastAsia="仿宋_GB2312"/>
                <w:b/>
                <w:bCs/>
                <w:color w:val="000000"/>
                <w:kern w:val="0"/>
                <w:sz w:val="24"/>
              </w:rPr>
            </w:pPr>
          </w:p>
        </w:tc>
        <w:tc>
          <w:tcPr>
            <w:tcW w:w="1141" w:type="dxa"/>
            <w:vAlign w:val="center"/>
          </w:tcPr>
          <w:p w14:paraId="4878DE2B">
            <w:pPr>
              <w:widowControl/>
              <w:jc w:val="left"/>
              <w:rPr>
                <w:rFonts w:eastAsia="仿宋_GB2312"/>
                <w:b/>
                <w:bCs/>
                <w:color w:val="000000"/>
                <w:kern w:val="0"/>
                <w:sz w:val="24"/>
              </w:rPr>
            </w:pPr>
          </w:p>
        </w:tc>
      </w:tr>
      <w:tr w14:paraId="22B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308F9476">
            <w:pPr>
              <w:jc w:val="center"/>
              <w:rPr>
                <w:color w:val="000000"/>
                <w:kern w:val="0"/>
                <w:szCs w:val="21"/>
              </w:rPr>
            </w:pPr>
            <w:r>
              <w:rPr>
                <w:rFonts w:hint="eastAsia"/>
                <w:color w:val="000000"/>
                <w:kern w:val="0"/>
                <w:szCs w:val="21"/>
              </w:rPr>
              <w:t>8</w:t>
            </w:r>
          </w:p>
        </w:tc>
        <w:tc>
          <w:tcPr>
            <w:tcW w:w="1211" w:type="dxa"/>
            <w:vAlign w:val="center"/>
          </w:tcPr>
          <w:p w14:paraId="303EF194">
            <w:pPr>
              <w:jc w:val="center"/>
              <w:rPr>
                <w:color w:val="000000"/>
                <w:kern w:val="0"/>
                <w:szCs w:val="21"/>
              </w:rPr>
            </w:pPr>
          </w:p>
        </w:tc>
        <w:tc>
          <w:tcPr>
            <w:tcW w:w="6778" w:type="dxa"/>
            <w:vAlign w:val="center"/>
          </w:tcPr>
          <w:p w14:paraId="3BA5AD7B">
            <w:pPr>
              <w:widowControl/>
              <w:rPr>
                <w:rFonts w:eastAsia="仿宋_GB2312"/>
                <w:b/>
                <w:bCs/>
                <w:color w:val="000000"/>
                <w:kern w:val="0"/>
                <w:sz w:val="24"/>
              </w:rPr>
            </w:pPr>
          </w:p>
        </w:tc>
        <w:tc>
          <w:tcPr>
            <w:tcW w:w="1141" w:type="dxa"/>
            <w:vAlign w:val="center"/>
          </w:tcPr>
          <w:p w14:paraId="6B9CC5B7">
            <w:pPr>
              <w:widowControl/>
              <w:jc w:val="left"/>
              <w:rPr>
                <w:rFonts w:eastAsia="仿宋_GB2312"/>
                <w:b/>
                <w:bCs/>
                <w:color w:val="000000"/>
                <w:kern w:val="0"/>
                <w:sz w:val="24"/>
              </w:rPr>
            </w:pPr>
          </w:p>
        </w:tc>
      </w:tr>
      <w:tr w14:paraId="3E1C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14:paraId="27DFBB42">
            <w:pPr>
              <w:jc w:val="center"/>
              <w:rPr>
                <w:color w:val="000000"/>
                <w:kern w:val="0"/>
                <w:szCs w:val="21"/>
              </w:rPr>
            </w:pPr>
            <w:r>
              <w:rPr>
                <w:rFonts w:hint="eastAsia"/>
                <w:color w:val="000000"/>
                <w:kern w:val="0"/>
                <w:szCs w:val="21"/>
              </w:rPr>
              <w:t>9</w:t>
            </w:r>
          </w:p>
        </w:tc>
        <w:tc>
          <w:tcPr>
            <w:tcW w:w="1211" w:type="dxa"/>
            <w:vAlign w:val="center"/>
          </w:tcPr>
          <w:p w14:paraId="65A9DAE5">
            <w:pPr>
              <w:jc w:val="center"/>
              <w:rPr>
                <w:color w:val="000000"/>
                <w:kern w:val="0"/>
                <w:szCs w:val="21"/>
              </w:rPr>
            </w:pPr>
          </w:p>
        </w:tc>
        <w:tc>
          <w:tcPr>
            <w:tcW w:w="6778" w:type="dxa"/>
            <w:vAlign w:val="center"/>
          </w:tcPr>
          <w:p w14:paraId="6FD653A6">
            <w:pPr>
              <w:widowControl/>
              <w:rPr>
                <w:rFonts w:eastAsia="仿宋_GB2312"/>
                <w:b/>
                <w:bCs/>
                <w:color w:val="000000"/>
                <w:kern w:val="0"/>
                <w:sz w:val="24"/>
              </w:rPr>
            </w:pPr>
          </w:p>
        </w:tc>
        <w:tc>
          <w:tcPr>
            <w:tcW w:w="1141" w:type="dxa"/>
            <w:vAlign w:val="center"/>
          </w:tcPr>
          <w:p w14:paraId="2ACCB228">
            <w:pPr>
              <w:widowControl/>
              <w:jc w:val="left"/>
              <w:rPr>
                <w:rFonts w:eastAsia="仿宋_GB2312"/>
                <w:b/>
                <w:bCs/>
                <w:color w:val="000000"/>
                <w:kern w:val="0"/>
                <w:sz w:val="24"/>
              </w:rPr>
            </w:pPr>
          </w:p>
        </w:tc>
      </w:tr>
    </w:tbl>
    <w:p w14:paraId="2173BE20">
      <w:pPr>
        <w:pStyle w:val="15"/>
        <w:rPr>
          <w:color w:val="000000"/>
        </w:rPr>
      </w:pPr>
    </w:p>
    <w:bookmarkEnd w:id="129"/>
    <w:bookmarkEnd w:id="130"/>
    <w:bookmarkEnd w:id="131"/>
    <w:p w14:paraId="71264EF5">
      <w:pPr>
        <w:rPr>
          <w:color w:val="000000"/>
        </w:rPr>
      </w:pPr>
    </w:p>
    <w:p w14:paraId="4CA43159">
      <w:pPr>
        <w:rPr>
          <w:color w:val="000000"/>
        </w:rPr>
        <w:sectPr>
          <w:pgSz w:w="11906" w:h="16838"/>
          <w:pgMar w:top="1440" w:right="1800" w:bottom="1440" w:left="1800" w:header="851" w:footer="992" w:gutter="0"/>
          <w:cols w:space="720" w:num="1"/>
          <w:docGrid w:type="lines" w:linePitch="312" w:charSpace="0"/>
        </w:sectPr>
      </w:pPr>
    </w:p>
    <w:p w14:paraId="1A7699DE">
      <w:pPr>
        <w:pStyle w:val="4"/>
        <w:numPr>
          <w:ilvl w:val="0"/>
          <w:numId w:val="0"/>
        </w:numPr>
        <w:snapToGrid w:val="0"/>
        <w:spacing w:before="312" w:beforeLines="100" w:after="312" w:afterLines="100"/>
        <w:ind w:right="210" w:rightChars="100"/>
        <w:rPr>
          <w:rStyle w:val="113"/>
          <w:rFonts w:hint="eastAsia" w:hAnsi="宋体"/>
          <w:b w:val="0"/>
          <w:bCs w:val="0"/>
          <w:color w:val="000000"/>
          <w:sz w:val="24"/>
          <w:szCs w:val="24"/>
        </w:rPr>
      </w:pPr>
      <w:bookmarkStart w:id="145" w:name="_Toc161767428"/>
      <w:bookmarkStart w:id="146" w:name="_Toc135999006"/>
      <w:bookmarkStart w:id="147" w:name="_Toc69378663"/>
      <w:bookmarkStart w:id="148" w:name="_Toc26260033"/>
      <w:bookmarkStart w:id="149" w:name="_Toc529538377"/>
      <w:bookmarkStart w:id="150" w:name="_Toc438052120"/>
      <w:bookmarkStart w:id="151" w:name="_Toc472689688"/>
      <w:r>
        <w:rPr>
          <w:rStyle w:val="113"/>
          <w:rFonts w:hint="eastAsia" w:hAnsi="宋体"/>
          <w:b w:val="0"/>
          <w:bCs w:val="0"/>
          <w:color w:val="000000"/>
          <w:sz w:val="24"/>
          <w:szCs w:val="24"/>
        </w:rPr>
        <w:t>附件</w:t>
      </w:r>
      <w:r>
        <w:rPr>
          <w:rStyle w:val="113"/>
          <w:rFonts w:hAnsi="宋体"/>
          <w:b w:val="0"/>
          <w:bCs w:val="0"/>
          <w:color w:val="000000"/>
          <w:sz w:val="24"/>
          <w:szCs w:val="24"/>
        </w:rPr>
        <w:t>1</w:t>
      </w:r>
      <w:r>
        <w:rPr>
          <w:rStyle w:val="113"/>
          <w:rFonts w:hint="eastAsia" w:hAnsi="宋体"/>
          <w:b w:val="0"/>
          <w:bCs w:val="0"/>
          <w:color w:val="000000"/>
          <w:sz w:val="24"/>
          <w:szCs w:val="24"/>
        </w:rPr>
        <w:t>：</w:t>
      </w:r>
      <w:bookmarkEnd w:id="145"/>
      <w:bookmarkEnd w:id="146"/>
      <w:r>
        <w:rPr>
          <w:rStyle w:val="113"/>
          <w:rFonts w:hint="eastAsia" w:hAnsi="宋体"/>
          <w:b w:val="0"/>
          <w:bCs w:val="0"/>
          <w:color w:val="000000"/>
          <w:sz w:val="24"/>
          <w:szCs w:val="24"/>
        </w:rPr>
        <w:t>响应函</w:t>
      </w:r>
      <w:bookmarkEnd w:id="147"/>
      <w:bookmarkEnd w:id="148"/>
    </w:p>
    <w:p w14:paraId="6B57D6B1">
      <w:pPr>
        <w:snapToGrid w:val="0"/>
        <w:spacing w:before="312" w:beforeLines="100" w:after="312" w:afterLines="100"/>
        <w:ind w:left="210" w:leftChars="100" w:right="210" w:rightChars="100" w:firstLine="643" w:firstLineChars="200"/>
        <w:jc w:val="center"/>
        <w:rPr>
          <w:rStyle w:val="113"/>
          <w:rFonts w:hint="eastAsia" w:ascii="宋体" w:hAnsi="宋体"/>
          <w:color w:val="000000"/>
        </w:rPr>
      </w:pPr>
      <w:r>
        <w:rPr>
          <w:rStyle w:val="113"/>
          <w:rFonts w:hint="eastAsia" w:ascii="宋体" w:hAnsi="宋体"/>
          <w:color w:val="000000"/>
        </w:rPr>
        <w:t>响应函</w:t>
      </w:r>
    </w:p>
    <w:p w14:paraId="2AB0D02B">
      <w:pPr>
        <w:snapToGrid w:val="0"/>
        <w:spacing w:before="312" w:beforeLines="100" w:after="312" w:afterLines="100"/>
        <w:ind w:left="210" w:leftChars="100" w:right="210" w:rightChars="100" w:firstLine="420" w:firstLineChars="200"/>
        <w:rPr>
          <w:rFonts w:ascii="宋体"/>
          <w:color w:val="000000"/>
          <w:szCs w:val="21"/>
        </w:rPr>
      </w:pPr>
    </w:p>
    <w:p w14:paraId="02E73BE1">
      <w:pPr>
        <w:spacing w:line="360" w:lineRule="auto"/>
        <w:rPr>
          <w:rFonts w:hint="eastAsia" w:ascii="宋体" w:hAnsi="宋体"/>
          <w:color w:val="000000"/>
          <w:sz w:val="24"/>
        </w:rPr>
      </w:pPr>
      <w:r>
        <w:rPr>
          <w:rFonts w:hint="eastAsia" w:ascii="宋体" w:hAnsi="宋体"/>
          <w:color w:val="000000"/>
          <w:sz w:val="24"/>
        </w:rPr>
        <w:t>江苏省广电有线信息网络股份有限公司：</w:t>
      </w:r>
    </w:p>
    <w:p w14:paraId="74DC1654">
      <w:pPr>
        <w:spacing w:line="360" w:lineRule="auto"/>
        <w:rPr>
          <w:rFonts w:hint="eastAsia"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29F7865F">
      <w:pPr>
        <w:spacing w:line="360" w:lineRule="auto"/>
        <w:rPr>
          <w:rFonts w:hint="eastAsia" w:ascii="宋体" w:hAnsi="宋体"/>
          <w:color w:val="000000"/>
          <w:sz w:val="24"/>
        </w:rPr>
      </w:pPr>
      <w:r>
        <w:rPr>
          <w:rFonts w:hint="eastAsia" w:ascii="宋体" w:hAnsi="宋体"/>
          <w:color w:val="000000"/>
          <w:sz w:val="24"/>
        </w:rPr>
        <w:t>（1）提供供应商须知规定的全部响应文件（正本</w:t>
      </w:r>
      <w:r>
        <w:rPr>
          <w:rFonts w:ascii="宋体" w:hAnsi="宋体"/>
          <w:color w:val="000000"/>
          <w:sz w:val="24"/>
        </w:rPr>
        <w:t>[ 1 ]</w:t>
      </w:r>
      <w:r>
        <w:rPr>
          <w:rFonts w:hint="eastAsia" w:ascii="宋体" w:hAnsi="宋体"/>
          <w:color w:val="000000"/>
          <w:sz w:val="24"/>
        </w:rPr>
        <w:t>份，副本</w:t>
      </w:r>
      <w:r>
        <w:rPr>
          <w:rFonts w:ascii="宋体" w:hAnsi="宋体"/>
          <w:color w:val="000000"/>
          <w:sz w:val="24"/>
        </w:rPr>
        <w:t>[</w:t>
      </w:r>
      <w:r>
        <w:rPr>
          <w:rFonts w:hint="eastAsia" w:ascii="宋体" w:hAnsi="宋体"/>
          <w:color w:val="000000"/>
          <w:sz w:val="24"/>
        </w:rPr>
        <w:t>2</w:t>
      </w:r>
      <w:r>
        <w:rPr>
          <w:rFonts w:ascii="宋体" w:hAnsi="宋体"/>
          <w:color w:val="000000"/>
          <w:sz w:val="24"/>
        </w:rPr>
        <w:t>]</w:t>
      </w:r>
      <w:r>
        <w:rPr>
          <w:rFonts w:hint="eastAsia" w:ascii="宋体" w:hAnsi="宋体"/>
          <w:color w:val="000000"/>
          <w:sz w:val="24"/>
        </w:rPr>
        <w:t>份、电子版</w:t>
      </w:r>
      <w:r>
        <w:rPr>
          <w:rFonts w:ascii="宋体" w:hAnsi="宋体"/>
          <w:color w:val="000000"/>
          <w:sz w:val="24"/>
        </w:rPr>
        <w:t>[ 1 ]</w:t>
      </w:r>
      <w:r>
        <w:rPr>
          <w:rFonts w:hint="eastAsia" w:ascii="宋体" w:hAnsi="宋体"/>
          <w:color w:val="000000"/>
          <w:sz w:val="24"/>
        </w:rPr>
        <w:t>份）。</w:t>
      </w:r>
    </w:p>
    <w:p w14:paraId="0D73EDCE">
      <w:pPr>
        <w:spacing w:line="360" w:lineRule="auto"/>
        <w:rPr>
          <w:rFonts w:hint="eastAsia"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03D1185C">
      <w:pPr>
        <w:spacing w:line="360" w:lineRule="auto"/>
        <w:rPr>
          <w:rFonts w:hint="eastAsia" w:ascii="宋体" w:hAnsi="宋体"/>
          <w:color w:val="000000"/>
          <w:sz w:val="24"/>
        </w:rPr>
      </w:pPr>
      <w:r>
        <w:rPr>
          <w:rFonts w:hint="eastAsia" w:ascii="宋体" w:hAnsi="宋体"/>
          <w:color w:val="000000"/>
          <w:sz w:val="24"/>
        </w:rPr>
        <w:t>（3）供应商将按竞争性谈判文件的规定履行全部责任和义务。</w:t>
      </w:r>
    </w:p>
    <w:p w14:paraId="6D88DE95">
      <w:pPr>
        <w:spacing w:line="360" w:lineRule="auto"/>
        <w:rPr>
          <w:rFonts w:hint="eastAsia"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68B3A99A">
      <w:pPr>
        <w:spacing w:line="360" w:lineRule="auto"/>
        <w:rPr>
          <w:rFonts w:hint="eastAsia"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3DB1A698">
      <w:pPr>
        <w:spacing w:line="360" w:lineRule="auto"/>
        <w:rPr>
          <w:rFonts w:hint="eastAsia"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1C976C40">
      <w:pPr>
        <w:spacing w:line="360" w:lineRule="auto"/>
        <w:rPr>
          <w:rFonts w:hint="eastAsia"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4E8DDE3B">
      <w:pPr>
        <w:spacing w:line="360" w:lineRule="auto"/>
        <w:rPr>
          <w:rFonts w:hint="eastAsia"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06C7DE40">
      <w:pPr>
        <w:spacing w:line="360" w:lineRule="auto"/>
        <w:rPr>
          <w:rFonts w:hint="eastAsia" w:ascii="宋体" w:hAnsi="宋体"/>
          <w:color w:val="000000"/>
          <w:sz w:val="24"/>
        </w:rPr>
      </w:pPr>
      <w:r>
        <w:rPr>
          <w:rFonts w:hint="eastAsia" w:ascii="宋体" w:hAnsi="宋体"/>
          <w:color w:val="000000"/>
          <w:sz w:val="24"/>
        </w:rPr>
        <w:t>（9）我方在法律和财务上独立、合法运作并独立于采购人。</w:t>
      </w:r>
    </w:p>
    <w:p w14:paraId="57467896">
      <w:pPr>
        <w:spacing w:line="360" w:lineRule="auto"/>
        <w:rPr>
          <w:rFonts w:hint="eastAsia"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6A16E117">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0E0B8CCC">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59BCA94A">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508BFB34">
      <w:pPr>
        <w:spacing w:line="360" w:lineRule="auto"/>
        <w:rPr>
          <w:rFonts w:hint="eastAsia" w:ascii="宋体" w:hAnsi="宋体"/>
          <w:color w:val="000000"/>
          <w:sz w:val="24"/>
        </w:rPr>
      </w:pPr>
    </w:p>
    <w:p w14:paraId="757EA808">
      <w:pPr>
        <w:spacing w:line="360" w:lineRule="auto"/>
        <w:rPr>
          <w:rFonts w:hint="eastAsia" w:ascii="宋体" w:hAnsi="宋体"/>
          <w:color w:val="000000"/>
          <w:sz w:val="24"/>
        </w:rPr>
      </w:pPr>
      <w:r>
        <w:rPr>
          <w:rFonts w:hint="eastAsia" w:ascii="宋体" w:hAnsi="宋体"/>
          <w:color w:val="000000"/>
          <w:sz w:val="24"/>
        </w:rPr>
        <w:t>地址传真：</w:t>
      </w:r>
    </w:p>
    <w:p w14:paraId="2DDF6766">
      <w:pPr>
        <w:spacing w:line="360" w:lineRule="auto"/>
        <w:rPr>
          <w:rFonts w:hint="eastAsia" w:ascii="宋体" w:hAnsi="宋体"/>
          <w:color w:val="000000"/>
          <w:sz w:val="24"/>
        </w:rPr>
      </w:pPr>
      <w:r>
        <w:rPr>
          <w:rFonts w:hint="eastAsia" w:ascii="宋体" w:hAnsi="宋体"/>
          <w:color w:val="000000"/>
          <w:sz w:val="24"/>
        </w:rPr>
        <w:t>电话电子函件：</w:t>
      </w:r>
    </w:p>
    <w:p w14:paraId="13C0AAA5">
      <w:pPr>
        <w:spacing w:line="360" w:lineRule="auto"/>
        <w:rPr>
          <w:rFonts w:hint="eastAsia" w:ascii="宋体" w:hAnsi="宋体"/>
          <w:color w:val="000000"/>
          <w:sz w:val="24"/>
        </w:rPr>
      </w:pPr>
    </w:p>
    <w:p w14:paraId="3D681E6C">
      <w:pPr>
        <w:spacing w:line="360" w:lineRule="auto"/>
        <w:rPr>
          <w:rFonts w:hint="eastAsia" w:ascii="宋体" w:hAnsi="宋体"/>
          <w:color w:val="000000"/>
          <w:sz w:val="24"/>
        </w:rPr>
      </w:pPr>
      <w:r>
        <w:rPr>
          <w:rFonts w:hint="eastAsia" w:ascii="宋体" w:hAnsi="宋体"/>
          <w:color w:val="000000"/>
          <w:sz w:val="24"/>
        </w:rPr>
        <w:t>供应商名称（盖章）：</w:t>
      </w:r>
    </w:p>
    <w:p w14:paraId="6C78D907">
      <w:pPr>
        <w:spacing w:line="360" w:lineRule="auto"/>
        <w:rPr>
          <w:rFonts w:hint="eastAsia" w:ascii="宋体" w:hAnsi="宋体"/>
          <w:color w:val="000000"/>
          <w:sz w:val="24"/>
        </w:rPr>
      </w:pPr>
      <w:r>
        <w:rPr>
          <w:rFonts w:hint="eastAsia" w:ascii="宋体" w:hAnsi="宋体"/>
          <w:color w:val="000000"/>
          <w:sz w:val="24"/>
        </w:rPr>
        <w:t>供应商代表（签字）：</w:t>
      </w:r>
    </w:p>
    <w:p w14:paraId="5B521ED6">
      <w:pPr>
        <w:spacing w:line="360" w:lineRule="auto"/>
        <w:rPr>
          <w:color w:val="000000"/>
        </w:rPr>
      </w:pPr>
      <w:r>
        <w:rPr>
          <w:rFonts w:hint="eastAsia" w:ascii="宋体" w:hAnsi="宋体"/>
          <w:color w:val="000000"/>
          <w:sz w:val="24"/>
        </w:rPr>
        <w:t>日期：</w:t>
      </w:r>
    </w:p>
    <w:p w14:paraId="51F6CDE2">
      <w:pPr>
        <w:snapToGrid w:val="0"/>
        <w:spacing w:before="312" w:beforeLines="100" w:after="312" w:afterLines="100"/>
        <w:ind w:left="210" w:leftChars="100" w:right="210" w:rightChars="100" w:firstLine="420" w:firstLineChars="200"/>
        <w:rPr>
          <w:color w:val="000000"/>
          <w:u w:val="single"/>
        </w:rPr>
      </w:pPr>
    </w:p>
    <w:p w14:paraId="043845E7">
      <w:pPr>
        <w:snapToGrid w:val="0"/>
        <w:spacing w:before="312" w:beforeLines="100" w:after="312" w:afterLines="100"/>
        <w:ind w:left="210" w:leftChars="100" w:right="210" w:rightChars="100" w:firstLine="420" w:firstLineChars="200"/>
        <w:rPr>
          <w:color w:val="000000"/>
          <w:u w:val="single"/>
        </w:rPr>
      </w:pPr>
    </w:p>
    <w:p w14:paraId="4A1B1651">
      <w:r>
        <w:br w:type="page"/>
      </w:r>
      <w:bookmarkStart w:id="152" w:name="_Toc69378664"/>
      <w:bookmarkStart w:id="153" w:name="_Toc26260034"/>
      <w:bookmarkStart w:id="154" w:name="_Toc26259740"/>
    </w:p>
    <w:p w14:paraId="5B1C78DF">
      <w:pPr>
        <w:pStyle w:val="4"/>
        <w:numPr>
          <w:ilvl w:val="0"/>
          <w:numId w:val="0"/>
        </w:numPr>
        <w:snapToGrid w:val="0"/>
        <w:spacing w:before="312" w:beforeLines="100" w:after="312" w:afterLines="100"/>
        <w:ind w:right="210" w:rightChars="100"/>
        <w:rPr>
          <w:rStyle w:val="113"/>
          <w:rFonts w:hint="eastAsia" w:hAnsi="宋体"/>
          <w:b w:val="0"/>
          <w:bCs w:val="0"/>
          <w:color w:val="000000"/>
          <w:sz w:val="24"/>
          <w:szCs w:val="24"/>
        </w:rPr>
      </w:pPr>
      <w:r>
        <w:rPr>
          <w:rStyle w:val="113"/>
          <w:rFonts w:hint="eastAsia" w:hAnsi="宋体"/>
          <w:b w:val="0"/>
          <w:bCs w:val="0"/>
          <w:color w:val="000000"/>
          <w:sz w:val="24"/>
          <w:szCs w:val="24"/>
        </w:rPr>
        <w:t>附件</w:t>
      </w:r>
      <w:r>
        <w:rPr>
          <w:rStyle w:val="113"/>
          <w:rFonts w:hAnsi="宋体"/>
          <w:b w:val="0"/>
          <w:bCs w:val="0"/>
          <w:color w:val="000000"/>
          <w:sz w:val="24"/>
          <w:szCs w:val="24"/>
        </w:rPr>
        <w:t>2</w:t>
      </w:r>
      <w:r>
        <w:rPr>
          <w:rStyle w:val="113"/>
          <w:rFonts w:hint="eastAsia" w:hAnsi="宋体"/>
          <w:b w:val="0"/>
          <w:bCs w:val="0"/>
          <w:color w:val="000000"/>
          <w:sz w:val="24"/>
          <w:szCs w:val="24"/>
        </w:rPr>
        <w:t>：原厂商的售后服务授权书</w:t>
      </w:r>
    </w:p>
    <w:p w14:paraId="1F022EDA">
      <w:pPr>
        <w:pStyle w:val="4"/>
        <w:numPr>
          <w:ilvl w:val="0"/>
          <w:numId w:val="0"/>
        </w:numPr>
        <w:snapToGrid w:val="0"/>
        <w:spacing w:before="312" w:beforeLines="100" w:after="312" w:afterLines="100"/>
        <w:ind w:right="210" w:rightChars="100"/>
        <w:rPr>
          <w:rStyle w:val="113"/>
          <w:bCs/>
          <w:sz w:val="24"/>
          <w:szCs w:val="24"/>
        </w:rPr>
      </w:pPr>
      <w:r>
        <w:rPr>
          <w:rStyle w:val="113"/>
          <w:rFonts w:hAnsi="宋体"/>
          <w:b w:val="0"/>
          <w:bCs w:val="0"/>
          <w:color w:val="000000"/>
          <w:sz w:val="24"/>
          <w:szCs w:val="24"/>
        </w:rPr>
        <w:br w:type="page"/>
      </w:r>
      <w:r>
        <w:rPr>
          <w:rStyle w:val="113"/>
          <w:rFonts w:hint="eastAsia"/>
          <w:bCs/>
          <w:sz w:val="24"/>
          <w:szCs w:val="24"/>
        </w:rPr>
        <w:t>附件</w:t>
      </w:r>
      <w:r>
        <w:rPr>
          <w:rStyle w:val="113"/>
          <w:bCs/>
          <w:sz w:val="24"/>
          <w:szCs w:val="24"/>
        </w:rPr>
        <w:t>3</w:t>
      </w:r>
      <w:r>
        <w:rPr>
          <w:rStyle w:val="113"/>
          <w:rFonts w:hint="eastAsia"/>
          <w:bCs/>
          <w:sz w:val="24"/>
          <w:szCs w:val="24"/>
        </w:rPr>
        <w:t>：报价表</w:t>
      </w:r>
      <w:r>
        <w:rPr>
          <w:rStyle w:val="113"/>
          <w:bCs/>
          <w:sz w:val="24"/>
          <w:szCs w:val="24"/>
        </w:rPr>
        <w:t>(</w:t>
      </w:r>
      <w:r>
        <w:rPr>
          <w:rStyle w:val="113"/>
          <w:rFonts w:hint="eastAsia"/>
          <w:bCs/>
          <w:sz w:val="24"/>
          <w:szCs w:val="24"/>
        </w:rPr>
        <w:t>格式</w:t>
      </w:r>
      <w:r>
        <w:rPr>
          <w:rStyle w:val="113"/>
          <w:bCs/>
          <w:sz w:val="24"/>
          <w:szCs w:val="24"/>
        </w:rPr>
        <w:t>)</w:t>
      </w:r>
      <w:bookmarkEnd w:id="152"/>
      <w:bookmarkEnd w:id="153"/>
      <w:bookmarkEnd w:id="154"/>
    </w:p>
    <w:p w14:paraId="62F72FE5">
      <w:pPr>
        <w:spacing w:line="360" w:lineRule="auto"/>
        <w:rPr>
          <w:rFonts w:hint="eastAsia" w:ascii="宋体" w:hAnsi="宋体"/>
          <w:bCs/>
          <w:szCs w:val="21"/>
        </w:rPr>
      </w:pPr>
      <w:r>
        <w:t>项目名称：</w:t>
      </w:r>
      <w:r>
        <w:rPr>
          <w:rFonts w:hint="eastAsia" w:ascii="宋体" w:hAnsi="宋体"/>
          <w:bCs/>
          <w:szCs w:val="21"/>
        </w:rPr>
        <w:t>江苏省广电有线信息网络股份有限公司加密定向传送经批准落地境外卫星频道平台建设（终端配套集成）</w:t>
      </w:r>
    </w:p>
    <w:p w14:paraId="67562E91">
      <w:pPr>
        <w:pStyle w:val="5"/>
        <w:spacing w:before="0" w:after="0" w:line="415" w:lineRule="auto"/>
        <w:jc w:val="center"/>
        <w:rPr>
          <w:rFonts w:hint="eastAsia" w:ascii="宋体" w:hAnsi="宋体" w:eastAsia="宋体"/>
          <w:b/>
          <w:bCs/>
          <w:color w:val="000000"/>
          <w:sz w:val="22"/>
          <w:szCs w:val="28"/>
        </w:rPr>
      </w:pPr>
      <w:r>
        <w:rPr>
          <w:rFonts w:hint="eastAsia" w:ascii="宋体" w:hAnsi="宋体" w:eastAsia="宋体"/>
          <w:b/>
          <w:bCs/>
          <w:color w:val="000000"/>
          <w:sz w:val="22"/>
          <w:szCs w:val="28"/>
        </w:rPr>
        <w:t>报价表一：总价</w:t>
      </w:r>
    </w:p>
    <w:tbl>
      <w:tblPr>
        <w:tblStyle w:val="58"/>
        <w:tblW w:w="987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688"/>
        <w:gridCol w:w="585"/>
        <w:gridCol w:w="1361"/>
        <w:gridCol w:w="1567"/>
        <w:gridCol w:w="1513"/>
        <w:gridCol w:w="1782"/>
      </w:tblGrid>
      <w:tr w14:paraId="7FD2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375" w:type="dxa"/>
            <w:vAlign w:val="center"/>
          </w:tcPr>
          <w:p w14:paraId="22DE9AEF">
            <w:pPr>
              <w:spacing w:line="400" w:lineRule="exact"/>
              <w:jc w:val="center"/>
              <w:rPr>
                <w:b/>
                <w:szCs w:val="21"/>
              </w:rPr>
            </w:pPr>
            <w:r>
              <w:rPr>
                <w:rFonts w:hint="eastAsia"/>
                <w:b/>
                <w:szCs w:val="21"/>
              </w:rPr>
              <w:t>项目名称</w:t>
            </w:r>
          </w:p>
        </w:tc>
        <w:tc>
          <w:tcPr>
            <w:tcW w:w="1688" w:type="dxa"/>
            <w:vAlign w:val="center"/>
          </w:tcPr>
          <w:p w14:paraId="246BA802">
            <w:pPr>
              <w:spacing w:line="400" w:lineRule="exact"/>
              <w:jc w:val="center"/>
              <w:rPr>
                <w:b/>
                <w:szCs w:val="21"/>
              </w:rPr>
            </w:pPr>
            <w:r>
              <w:rPr>
                <w:rFonts w:hint="eastAsia"/>
                <w:b/>
                <w:szCs w:val="21"/>
              </w:rPr>
              <w:t>描述</w:t>
            </w:r>
          </w:p>
        </w:tc>
        <w:tc>
          <w:tcPr>
            <w:tcW w:w="585" w:type="dxa"/>
            <w:vAlign w:val="center"/>
          </w:tcPr>
          <w:p w14:paraId="3514BF92">
            <w:pPr>
              <w:spacing w:line="400" w:lineRule="exact"/>
              <w:jc w:val="center"/>
              <w:rPr>
                <w:b/>
              </w:rPr>
            </w:pPr>
            <w:r>
              <w:rPr>
                <w:b/>
              </w:rPr>
              <w:t>数量</w:t>
            </w:r>
          </w:p>
        </w:tc>
        <w:tc>
          <w:tcPr>
            <w:tcW w:w="1361" w:type="dxa"/>
            <w:vAlign w:val="center"/>
          </w:tcPr>
          <w:p w14:paraId="298B2758">
            <w:pPr>
              <w:spacing w:line="400" w:lineRule="exact"/>
              <w:jc w:val="center"/>
              <w:rPr>
                <w:b/>
              </w:rPr>
            </w:pPr>
            <w:r>
              <w:rPr>
                <w:rFonts w:hint="eastAsia"/>
                <w:b/>
              </w:rPr>
              <w:t>增值税率（%）</w:t>
            </w:r>
          </w:p>
        </w:tc>
        <w:tc>
          <w:tcPr>
            <w:tcW w:w="1567" w:type="dxa"/>
            <w:vAlign w:val="center"/>
          </w:tcPr>
          <w:p w14:paraId="0C0BA568">
            <w:pPr>
              <w:spacing w:line="400" w:lineRule="exact"/>
              <w:jc w:val="center"/>
              <w:rPr>
                <w:b/>
              </w:rPr>
            </w:pPr>
            <w:r>
              <w:rPr>
                <w:rFonts w:hint="eastAsia"/>
                <w:b/>
              </w:rPr>
              <w:t>不</w:t>
            </w:r>
            <w:r>
              <w:rPr>
                <w:b/>
              </w:rPr>
              <w:t>含税</w:t>
            </w:r>
            <w:r>
              <w:rPr>
                <w:rFonts w:hint="eastAsia"/>
                <w:b/>
              </w:rPr>
              <w:t>价格</w:t>
            </w:r>
          </w:p>
          <w:p w14:paraId="1CFE532C">
            <w:pPr>
              <w:spacing w:line="400" w:lineRule="exact"/>
              <w:jc w:val="center"/>
              <w:rPr>
                <w:b/>
              </w:rPr>
            </w:pPr>
            <w:r>
              <w:rPr>
                <w:b/>
              </w:rPr>
              <w:t>（元）</w:t>
            </w:r>
          </w:p>
        </w:tc>
        <w:tc>
          <w:tcPr>
            <w:tcW w:w="1513" w:type="dxa"/>
            <w:vAlign w:val="center"/>
          </w:tcPr>
          <w:p w14:paraId="3362A79F">
            <w:pPr>
              <w:spacing w:line="400" w:lineRule="exact"/>
              <w:jc w:val="center"/>
              <w:rPr>
                <w:b/>
              </w:rPr>
            </w:pPr>
            <w:r>
              <w:rPr>
                <w:b/>
              </w:rPr>
              <w:t>含税</w:t>
            </w:r>
            <w:r>
              <w:rPr>
                <w:rFonts w:hint="eastAsia"/>
                <w:b/>
              </w:rPr>
              <w:t>价格</w:t>
            </w:r>
          </w:p>
          <w:p w14:paraId="7D6C5649">
            <w:pPr>
              <w:spacing w:line="400" w:lineRule="exact"/>
              <w:jc w:val="center"/>
              <w:rPr>
                <w:b/>
              </w:rPr>
            </w:pPr>
            <w:r>
              <w:rPr>
                <w:b/>
              </w:rPr>
              <w:t>（元）</w:t>
            </w:r>
          </w:p>
        </w:tc>
        <w:tc>
          <w:tcPr>
            <w:tcW w:w="1782" w:type="dxa"/>
            <w:vAlign w:val="center"/>
          </w:tcPr>
          <w:p w14:paraId="40B9DA67">
            <w:pPr>
              <w:spacing w:line="400" w:lineRule="exact"/>
              <w:jc w:val="center"/>
              <w:rPr>
                <w:b/>
              </w:rPr>
            </w:pPr>
            <w:r>
              <w:rPr>
                <w:rFonts w:hint="eastAsia"/>
                <w:b/>
              </w:rPr>
              <w:t>备注</w:t>
            </w:r>
          </w:p>
        </w:tc>
      </w:tr>
      <w:tr w14:paraId="4AFB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375" w:type="dxa"/>
            <w:vAlign w:val="center"/>
          </w:tcPr>
          <w:p w14:paraId="653FE32C">
            <w:pPr>
              <w:spacing w:before="156" w:beforeLines="50" w:after="156" w:afterLines="50"/>
              <w:jc w:val="center"/>
              <w:rPr>
                <w:b/>
                <w:szCs w:val="21"/>
              </w:rPr>
            </w:pPr>
            <w:r>
              <w:rPr>
                <w:rFonts w:hint="eastAsia"/>
              </w:rPr>
              <w:t>江苏省广电有线信息网络股份有限公司加密定向传送经批准落地境外卫星频道平台建设（终端配套集成）</w:t>
            </w:r>
          </w:p>
        </w:tc>
        <w:tc>
          <w:tcPr>
            <w:tcW w:w="1688" w:type="dxa"/>
            <w:vAlign w:val="center"/>
          </w:tcPr>
          <w:p w14:paraId="19AB994D">
            <w:pPr>
              <w:jc w:val="center"/>
              <w:rPr>
                <w:rFonts w:hint="eastAsia" w:ascii="宋体" w:hAnsi="宋体" w:cs="宋体"/>
                <w:kern w:val="0"/>
                <w:szCs w:val="21"/>
              </w:rPr>
            </w:pPr>
            <w:r>
              <w:rPr>
                <w:rFonts w:hint="eastAsia" w:ascii="宋体" w:hAnsi="宋体"/>
                <w:bCs/>
                <w:szCs w:val="21"/>
              </w:rPr>
              <w:t>江苏省广电有线信息网络股份有限公司加密定向传送经批准落地境外卫星频道平台建设（终端配套集成）</w:t>
            </w:r>
          </w:p>
        </w:tc>
        <w:tc>
          <w:tcPr>
            <w:tcW w:w="585" w:type="dxa"/>
            <w:vAlign w:val="center"/>
          </w:tcPr>
          <w:p w14:paraId="0EE64A3A">
            <w:pPr>
              <w:jc w:val="center"/>
              <w:rPr>
                <w:rFonts w:hint="eastAsia" w:ascii="宋体" w:hAnsi="宋体" w:cs="宋体"/>
                <w:kern w:val="0"/>
                <w:szCs w:val="21"/>
              </w:rPr>
            </w:pPr>
            <w:r>
              <w:rPr>
                <w:rFonts w:hint="eastAsia"/>
                <w:szCs w:val="21"/>
              </w:rPr>
              <w:t>1套</w:t>
            </w:r>
          </w:p>
        </w:tc>
        <w:tc>
          <w:tcPr>
            <w:tcW w:w="1361" w:type="dxa"/>
            <w:vAlign w:val="center"/>
          </w:tcPr>
          <w:p w14:paraId="2C35E712">
            <w:pPr>
              <w:pStyle w:val="146"/>
              <w:spacing w:line="320" w:lineRule="exact"/>
              <w:ind w:firstLine="0" w:firstLineChars="0"/>
              <w:rPr>
                <w:rFonts w:hint="eastAsia" w:ascii="宋体" w:hAnsi="宋体" w:cs="宋体"/>
                <w:kern w:val="0"/>
                <w:szCs w:val="21"/>
              </w:rPr>
            </w:pPr>
          </w:p>
        </w:tc>
        <w:tc>
          <w:tcPr>
            <w:tcW w:w="1567" w:type="dxa"/>
            <w:vAlign w:val="center"/>
          </w:tcPr>
          <w:p w14:paraId="181BF5D3">
            <w:pPr>
              <w:widowControl/>
              <w:jc w:val="center"/>
              <w:rPr>
                <w:rFonts w:hint="eastAsia" w:ascii="宋体" w:hAnsi="宋体" w:cs="宋体"/>
                <w:kern w:val="0"/>
                <w:szCs w:val="21"/>
              </w:rPr>
            </w:pPr>
          </w:p>
        </w:tc>
        <w:tc>
          <w:tcPr>
            <w:tcW w:w="1513" w:type="dxa"/>
            <w:vAlign w:val="center"/>
          </w:tcPr>
          <w:p w14:paraId="01D1C47D">
            <w:pPr>
              <w:widowControl/>
              <w:jc w:val="center"/>
              <w:rPr>
                <w:rFonts w:hint="eastAsia" w:ascii="宋体" w:hAnsi="宋体" w:cs="宋体"/>
                <w:kern w:val="0"/>
                <w:szCs w:val="21"/>
              </w:rPr>
            </w:pPr>
          </w:p>
        </w:tc>
        <w:tc>
          <w:tcPr>
            <w:tcW w:w="1782" w:type="dxa"/>
            <w:vAlign w:val="center"/>
          </w:tcPr>
          <w:p w14:paraId="438BB2E6">
            <w:pPr>
              <w:widowControl/>
              <w:jc w:val="left"/>
              <w:rPr>
                <w:rFonts w:hint="eastAsia" w:ascii="宋体" w:hAnsi="宋体" w:cs="宋体"/>
                <w:kern w:val="0"/>
                <w:szCs w:val="21"/>
              </w:rPr>
            </w:pPr>
          </w:p>
        </w:tc>
      </w:tr>
      <w:tr w14:paraId="5E25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9" w:type="dxa"/>
            <w:gridSpan w:val="4"/>
            <w:vAlign w:val="center"/>
          </w:tcPr>
          <w:p w14:paraId="31058163">
            <w:pPr>
              <w:jc w:val="center"/>
              <w:rPr>
                <w:sz w:val="24"/>
              </w:rPr>
            </w:pPr>
            <w:r>
              <w:rPr>
                <w:rFonts w:hint="eastAsia"/>
                <w:b/>
                <w:sz w:val="24"/>
              </w:rPr>
              <w:t>合计</w:t>
            </w:r>
          </w:p>
        </w:tc>
        <w:tc>
          <w:tcPr>
            <w:tcW w:w="1567" w:type="dxa"/>
            <w:vAlign w:val="center"/>
          </w:tcPr>
          <w:p w14:paraId="0A889E0E">
            <w:pPr>
              <w:jc w:val="center"/>
              <w:rPr>
                <w:b/>
                <w:sz w:val="24"/>
              </w:rPr>
            </w:pPr>
          </w:p>
        </w:tc>
        <w:tc>
          <w:tcPr>
            <w:tcW w:w="1513" w:type="dxa"/>
            <w:vAlign w:val="center"/>
          </w:tcPr>
          <w:p w14:paraId="017F20FC">
            <w:pPr>
              <w:jc w:val="center"/>
              <w:rPr>
                <w:szCs w:val="21"/>
              </w:rPr>
            </w:pPr>
          </w:p>
        </w:tc>
        <w:tc>
          <w:tcPr>
            <w:tcW w:w="1782" w:type="dxa"/>
          </w:tcPr>
          <w:p w14:paraId="78631AC0">
            <w:pPr>
              <w:jc w:val="center"/>
              <w:rPr>
                <w:szCs w:val="21"/>
              </w:rPr>
            </w:pPr>
          </w:p>
        </w:tc>
      </w:tr>
      <w:tr w14:paraId="2E25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63" w:type="dxa"/>
            <w:gridSpan w:val="2"/>
            <w:vAlign w:val="center"/>
          </w:tcPr>
          <w:p w14:paraId="57C9A278">
            <w:pPr>
              <w:spacing w:line="400" w:lineRule="exact"/>
              <w:jc w:val="center"/>
              <w:rPr>
                <w:rFonts w:ascii="宋体"/>
                <w:szCs w:val="18"/>
                <w:u w:val="single"/>
              </w:rPr>
            </w:pPr>
            <w:r>
              <w:t>备注</w:t>
            </w:r>
          </w:p>
        </w:tc>
        <w:tc>
          <w:tcPr>
            <w:tcW w:w="6808" w:type="dxa"/>
            <w:gridSpan w:val="5"/>
            <w:vAlign w:val="center"/>
          </w:tcPr>
          <w:p w14:paraId="57D8D29C">
            <w:pPr>
              <w:spacing w:line="400" w:lineRule="exact"/>
              <w:jc w:val="left"/>
            </w:pPr>
          </w:p>
        </w:tc>
      </w:tr>
    </w:tbl>
    <w:p w14:paraId="1288ABE3"/>
    <w:p w14:paraId="154B246A">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价。具体交付时间以采购方通知为准，交付地点：南京市玄武区运粮河西路101号。</w:t>
      </w:r>
    </w:p>
    <w:p w14:paraId="0E524D0A">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2850D97E">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5D9E9F7C">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6FBEB200">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572C9912">
      <w:pPr>
        <w:ind w:firstLine="630" w:firstLineChars="300"/>
        <w:rPr>
          <w:color w:val="000000"/>
        </w:rPr>
      </w:pPr>
      <w:r>
        <w:rPr>
          <w:rFonts w:hint="eastAsia"/>
          <w:color w:val="000000"/>
        </w:rPr>
        <w:t>日期：</w:t>
      </w:r>
    </w:p>
    <w:p w14:paraId="2ECE07E5">
      <w:pPr>
        <w:pStyle w:val="5"/>
        <w:spacing w:before="0" w:after="0" w:line="415" w:lineRule="auto"/>
        <w:jc w:val="center"/>
      </w:pPr>
      <w:r>
        <w:rPr>
          <w:rFonts w:hint="eastAsia"/>
        </w:rPr>
        <w:br w:type="page"/>
      </w:r>
      <w:bookmarkStart w:id="155" w:name="_Toc26259741"/>
      <w:bookmarkStart w:id="156" w:name="_Toc69378665"/>
      <w:bookmarkStart w:id="157" w:name="_Toc26260035"/>
      <w:r>
        <w:rPr>
          <w:rFonts w:hint="eastAsia" w:ascii="宋体" w:hAnsi="宋体" w:eastAsia="宋体"/>
          <w:b/>
          <w:bCs/>
          <w:color w:val="000000"/>
          <w:sz w:val="22"/>
          <w:szCs w:val="28"/>
        </w:rPr>
        <w:t>报价表二：人工成本核算</w:t>
      </w:r>
    </w:p>
    <w:tbl>
      <w:tblPr>
        <w:tblStyle w:val="58"/>
        <w:tblW w:w="8482" w:type="dxa"/>
        <w:jc w:val="center"/>
        <w:tblLayout w:type="fixed"/>
        <w:tblCellMar>
          <w:top w:w="0" w:type="dxa"/>
          <w:left w:w="108" w:type="dxa"/>
          <w:bottom w:w="0" w:type="dxa"/>
          <w:right w:w="108" w:type="dxa"/>
        </w:tblCellMar>
      </w:tblPr>
      <w:tblGrid>
        <w:gridCol w:w="655"/>
        <w:gridCol w:w="1560"/>
        <w:gridCol w:w="1559"/>
        <w:gridCol w:w="850"/>
        <w:gridCol w:w="1134"/>
        <w:gridCol w:w="1276"/>
        <w:gridCol w:w="1448"/>
      </w:tblGrid>
      <w:tr w14:paraId="7E2C479A">
        <w:tblPrEx>
          <w:tblCellMar>
            <w:top w:w="0" w:type="dxa"/>
            <w:left w:w="108" w:type="dxa"/>
            <w:bottom w:w="0" w:type="dxa"/>
            <w:right w:w="108" w:type="dxa"/>
          </w:tblCellMar>
        </w:tblPrEx>
        <w:trPr>
          <w:trHeight w:val="57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DE3B1C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序号</w:t>
            </w:r>
          </w:p>
        </w:tc>
        <w:tc>
          <w:tcPr>
            <w:tcW w:w="1560" w:type="dxa"/>
            <w:tcBorders>
              <w:top w:val="single" w:color="000000" w:sz="4" w:space="0"/>
              <w:left w:val="single" w:color="000000" w:sz="4" w:space="0"/>
              <w:bottom w:val="single" w:color="000000" w:sz="4" w:space="0"/>
              <w:right w:val="single" w:color="000000" w:sz="4" w:space="0"/>
            </w:tcBorders>
            <w:vAlign w:val="center"/>
          </w:tcPr>
          <w:p w14:paraId="722DE59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软件模块</w:t>
            </w:r>
          </w:p>
        </w:tc>
        <w:tc>
          <w:tcPr>
            <w:tcW w:w="1559" w:type="dxa"/>
            <w:tcBorders>
              <w:top w:val="single" w:color="000000" w:sz="4" w:space="0"/>
              <w:left w:val="single" w:color="000000" w:sz="4" w:space="0"/>
              <w:bottom w:val="single" w:color="000000" w:sz="4" w:space="0"/>
              <w:right w:val="single" w:color="000000" w:sz="4" w:space="0"/>
            </w:tcBorders>
            <w:vAlign w:val="center"/>
          </w:tcPr>
          <w:p w14:paraId="333801CD">
            <w:pPr>
              <w:widowControl/>
              <w:ind w:firstLine="420"/>
              <w:textAlignment w:val="center"/>
              <w:rPr>
                <w:rFonts w:hint="eastAsia" w:ascii="宋体" w:hAnsi="宋体" w:cs="宋体"/>
                <w:color w:val="000000"/>
                <w:szCs w:val="21"/>
              </w:rPr>
            </w:pPr>
            <w:r>
              <w:rPr>
                <w:rFonts w:hint="eastAsia" w:ascii="宋体" w:hAnsi="宋体" w:cs="宋体"/>
                <w:color w:val="000000"/>
                <w:kern w:val="0"/>
                <w:szCs w:val="21"/>
                <w:lang w:bidi="ar"/>
              </w:rPr>
              <w:t>内容</w:t>
            </w:r>
          </w:p>
        </w:tc>
        <w:tc>
          <w:tcPr>
            <w:tcW w:w="850" w:type="dxa"/>
            <w:tcBorders>
              <w:top w:val="single" w:color="000000" w:sz="4" w:space="0"/>
              <w:left w:val="single" w:color="000000" w:sz="4" w:space="0"/>
              <w:bottom w:val="single" w:color="000000" w:sz="4" w:space="0"/>
              <w:right w:val="single" w:color="000000" w:sz="4" w:space="0"/>
            </w:tcBorders>
            <w:vAlign w:val="center"/>
          </w:tcPr>
          <w:p w14:paraId="7DE966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数量（月）</w:t>
            </w:r>
          </w:p>
        </w:tc>
        <w:tc>
          <w:tcPr>
            <w:tcW w:w="1134" w:type="dxa"/>
            <w:tcBorders>
              <w:top w:val="single" w:color="000000" w:sz="4" w:space="0"/>
              <w:left w:val="single" w:color="000000" w:sz="4" w:space="0"/>
              <w:bottom w:val="single" w:color="000000" w:sz="4" w:space="0"/>
              <w:right w:val="single" w:color="000000" w:sz="4" w:space="0"/>
            </w:tcBorders>
          </w:tcPr>
          <w:p w14:paraId="627B9013">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含税单价（元/人月）</w:t>
            </w:r>
          </w:p>
        </w:tc>
        <w:tc>
          <w:tcPr>
            <w:tcW w:w="1276" w:type="dxa"/>
            <w:tcBorders>
              <w:top w:val="single" w:color="000000" w:sz="4" w:space="0"/>
              <w:left w:val="single" w:color="000000" w:sz="4" w:space="0"/>
              <w:bottom w:val="single" w:color="000000" w:sz="4" w:space="0"/>
              <w:right w:val="single" w:color="000000" w:sz="4" w:space="0"/>
            </w:tcBorders>
            <w:vAlign w:val="center"/>
          </w:tcPr>
          <w:p w14:paraId="03FBA4F1">
            <w:pPr>
              <w:widowControl/>
              <w:jc w:val="center"/>
              <w:textAlignment w:val="center"/>
              <w:rPr>
                <w:rFonts w:hint="eastAsia" w:ascii="宋体" w:hAnsi="宋体" w:cs="宋体"/>
                <w:color w:val="000000"/>
                <w:szCs w:val="21"/>
              </w:rPr>
            </w:pPr>
            <w:r>
              <w:rPr>
                <w:rFonts w:hint="eastAsia" w:ascii="宋体" w:hAnsi="宋体" w:cs="宋体"/>
                <w:color w:val="000000"/>
                <w:szCs w:val="21"/>
              </w:rPr>
              <w:t>小计</w:t>
            </w:r>
          </w:p>
        </w:tc>
        <w:tc>
          <w:tcPr>
            <w:tcW w:w="1448" w:type="dxa"/>
            <w:tcBorders>
              <w:top w:val="single" w:color="000000" w:sz="4" w:space="0"/>
              <w:left w:val="single" w:color="000000" w:sz="4" w:space="0"/>
              <w:bottom w:val="single" w:color="000000" w:sz="4" w:space="0"/>
              <w:right w:val="single" w:color="000000" w:sz="4" w:space="0"/>
            </w:tcBorders>
            <w:vAlign w:val="center"/>
          </w:tcPr>
          <w:p w14:paraId="529C998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备注</w:t>
            </w:r>
          </w:p>
        </w:tc>
      </w:tr>
      <w:tr w14:paraId="285A064E">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AD5812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1560" w:type="dxa"/>
            <w:tcBorders>
              <w:top w:val="single" w:color="000000" w:sz="4" w:space="0"/>
              <w:left w:val="single" w:color="000000" w:sz="4" w:space="0"/>
              <w:bottom w:val="single" w:color="000000" w:sz="4" w:space="0"/>
              <w:right w:val="single" w:color="000000" w:sz="4" w:space="0"/>
            </w:tcBorders>
            <w:vAlign w:val="center"/>
          </w:tcPr>
          <w:p w14:paraId="732BAE7C">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E424523">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B676A4F">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1E437535">
            <w:pPr>
              <w:widowControl/>
              <w:jc w:val="center"/>
              <w:textAlignment w:val="center"/>
              <w:rPr>
                <w:rFonts w:hint="eastAsia"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2276E9C">
            <w:pPr>
              <w:widowControl/>
              <w:jc w:val="center"/>
              <w:textAlignment w:val="center"/>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30F748EC">
            <w:pPr>
              <w:widowControl/>
              <w:jc w:val="left"/>
              <w:textAlignment w:val="center"/>
              <w:rPr>
                <w:rFonts w:hint="eastAsia" w:ascii="宋体" w:hAnsi="宋体" w:cs="宋体"/>
                <w:color w:val="000000"/>
                <w:kern w:val="0"/>
                <w:szCs w:val="21"/>
                <w:lang w:bidi="ar"/>
              </w:rPr>
            </w:pPr>
          </w:p>
        </w:tc>
      </w:tr>
      <w:tr w14:paraId="302C1077">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2FBB4B6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1560" w:type="dxa"/>
            <w:tcBorders>
              <w:top w:val="single" w:color="000000" w:sz="4" w:space="0"/>
              <w:left w:val="single" w:color="000000" w:sz="4" w:space="0"/>
              <w:bottom w:val="single" w:color="000000" w:sz="4" w:space="0"/>
              <w:right w:val="single" w:color="000000" w:sz="4" w:space="0"/>
            </w:tcBorders>
            <w:vAlign w:val="center"/>
          </w:tcPr>
          <w:p w14:paraId="3E3CFEB2">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0F949E5">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6306FAF">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0566DB0D">
            <w:pPr>
              <w:ind w:firstLine="420"/>
              <w:jc w:val="center"/>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CB63298">
            <w:pPr>
              <w:ind w:firstLine="420"/>
              <w:jc w:val="center"/>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4E2ED77">
            <w:pPr>
              <w:ind w:firstLine="420"/>
              <w:jc w:val="left"/>
              <w:rPr>
                <w:rFonts w:hint="eastAsia" w:ascii="宋体" w:hAnsi="宋体" w:cs="宋体"/>
                <w:color w:val="000000"/>
                <w:szCs w:val="21"/>
              </w:rPr>
            </w:pPr>
          </w:p>
        </w:tc>
      </w:tr>
      <w:tr w14:paraId="459BFB5E">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39CB36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1560" w:type="dxa"/>
            <w:tcBorders>
              <w:top w:val="single" w:color="000000" w:sz="4" w:space="0"/>
              <w:left w:val="single" w:color="000000" w:sz="4" w:space="0"/>
              <w:bottom w:val="single" w:color="000000" w:sz="4" w:space="0"/>
              <w:right w:val="single" w:color="000000" w:sz="4" w:space="0"/>
            </w:tcBorders>
            <w:vAlign w:val="center"/>
          </w:tcPr>
          <w:p w14:paraId="0B7A16E5">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52C5D63">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BE044AA">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31A769BA">
            <w:pPr>
              <w:ind w:firstLine="420"/>
              <w:jc w:val="center"/>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45226E6">
            <w:pPr>
              <w:ind w:firstLine="420"/>
              <w:jc w:val="center"/>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265401B">
            <w:pPr>
              <w:ind w:firstLine="420"/>
              <w:jc w:val="left"/>
              <w:rPr>
                <w:rFonts w:hint="eastAsia" w:ascii="宋体" w:hAnsi="宋体" w:cs="宋体"/>
                <w:color w:val="000000"/>
                <w:szCs w:val="21"/>
              </w:rPr>
            </w:pPr>
          </w:p>
        </w:tc>
      </w:tr>
      <w:tr w14:paraId="78A2B19D">
        <w:tblPrEx>
          <w:tblCellMar>
            <w:top w:w="0" w:type="dxa"/>
            <w:left w:w="108" w:type="dxa"/>
            <w:bottom w:w="0" w:type="dxa"/>
            <w:right w:w="108" w:type="dxa"/>
          </w:tblCellMar>
        </w:tblPrEx>
        <w:trPr>
          <w:trHeight w:val="421"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1E644723">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1560" w:type="dxa"/>
            <w:tcBorders>
              <w:top w:val="single" w:color="000000" w:sz="4" w:space="0"/>
              <w:left w:val="single" w:color="000000" w:sz="4" w:space="0"/>
              <w:bottom w:val="single" w:color="000000" w:sz="4" w:space="0"/>
              <w:right w:val="single" w:color="000000" w:sz="4" w:space="0"/>
            </w:tcBorders>
            <w:vAlign w:val="center"/>
          </w:tcPr>
          <w:p w14:paraId="31883278">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137FA885">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F473174">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08131F13">
            <w:pPr>
              <w:jc w:val="center"/>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5E158E9">
            <w:pPr>
              <w:jc w:val="center"/>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7AF4CBCA">
            <w:pPr>
              <w:jc w:val="left"/>
              <w:rPr>
                <w:rFonts w:hint="eastAsia" w:ascii="宋体" w:hAnsi="宋体" w:cs="宋体"/>
                <w:color w:val="000000"/>
                <w:szCs w:val="21"/>
              </w:rPr>
            </w:pPr>
          </w:p>
        </w:tc>
      </w:tr>
      <w:tr w14:paraId="729CE97B">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6B9062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1560" w:type="dxa"/>
            <w:tcBorders>
              <w:top w:val="single" w:color="000000" w:sz="4" w:space="0"/>
              <w:left w:val="single" w:color="000000" w:sz="4" w:space="0"/>
              <w:bottom w:val="single" w:color="000000" w:sz="4" w:space="0"/>
              <w:right w:val="single" w:color="000000" w:sz="4" w:space="0"/>
            </w:tcBorders>
            <w:vAlign w:val="center"/>
          </w:tcPr>
          <w:p w14:paraId="69126B4B">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37D1CAC">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6C51E8DA">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4A9E9B5D">
            <w:pPr>
              <w:widowControl/>
              <w:jc w:val="center"/>
              <w:textAlignment w:val="center"/>
              <w:rPr>
                <w:rFonts w:hint="eastAsia"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0A04A3D">
            <w:pPr>
              <w:widowControl/>
              <w:jc w:val="center"/>
              <w:textAlignment w:val="center"/>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22FD7B67">
            <w:pPr>
              <w:widowControl/>
              <w:jc w:val="left"/>
              <w:textAlignment w:val="center"/>
              <w:rPr>
                <w:rFonts w:hint="eastAsia" w:ascii="宋体" w:hAnsi="宋体" w:cs="宋体"/>
                <w:color w:val="000000"/>
                <w:kern w:val="0"/>
                <w:szCs w:val="21"/>
                <w:lang w:bidi="ar"/>
              </w:rPr>
            </w:pPr>
          </w:p>
        </w:tc>
      </w:tr>
      <w:tr w14:paraId="23CBF8CC">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A607171">
            <w:pPr>
              <w:widowControl/>
              <w:jc w:val="center"/>
              <w:textAlignment w:val="center"/>
              <w:rPr>
                <w:rFonts w:hint="eastAsia" w:ascii="宋体" w:hAnsi="宋体" w:cs="宋体"/>
                <w:color w:val="000000"/>
                <w:kern w:val="0"/>
                <w:szCs w:val="21"/>
                <w:lang w:bidi="ar"/>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A80619F">
            <w:pPr>
              <w:widowControl/>
              <w:jc w:val="center"/>
              <w:textAlignment w:val="center"/>
              <w:rPr>
                <w:rFonts w:hint="eastAsia" w:ascii="宋体" w:hAnsi="宋体" w:cs="宋体"/>
                <w:color w:val="000000"/>
                <w:kern w:val="0"/>
                <w:szCs w:val="21"/>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63D2D19">
            <w:pPr>
              <w:widowControl/>
              <w:jc w:val="center"/>
              <w:textAlignment w:val="center"/>
              <w:rPr>
                <w:rFonts w:hint="eastAsia" w:ascii="宋体" w:hAnsi="宋体" w:cs="宋体"/>
                <w:color w:val="000000"/>
                <w:kern w:val="0"/>
                <w:szCs w:val="21"/>
                <w:lang w:bidi="ar"/>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F8C868D">
            <w:pPr>
              <w:widowControl/>
              <w:jc w:val="center"/>
              <w:textAlignment w:val="center"/>
              <w:rPr>
                <w:rFonts w:hint="eastAsia" w:ascii="宋体" w:hAnsi="宋体" w:cs="宋体"/>
                <w:color w:val="000000"/>
                <w:kern w:val="0"/>
                <w:szCs w:val="21"/>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FD4EA58">
            <w:pPr>
              <w:widowControl/>
              <w:jc w:val="center"/>
              <w:textAlignment w:val="center"/>
              <w:rPr>
                <w:rFonts w:hint="eastAsia" w:ascii="宋体" w:hAnsi="宋体" w:cs="宋体"/>
                <w:color w:val="000000"/>
                <w:kern w:val="0"/>
                <w:szCs w:val="21"/>
                <w:lang w:bidi="ar"/>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AF264F8">
            <w:pPr>
              <w:widowControl/>
              <w:jc w:val="center"/>
              <w:textAlignment w:val="center"/>
              <w:rPr>
                <w:rFonts w:hint="eastAsia" w:ascii="宋体" w:hAnsi="宋体" w:cs="宋体"/>
                <w:color w:val="000000"/>
                <w:kern w:val="0"/>
                <w:szCs w:val="21"/>
                <w:lang w:bidi="ar"/>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A76927D">
            <w:pPr>
              <w:widowControl/>
              <w:jc w:val="left"/>
              <w:textAlignment w:val="center"/>
              <w:rPr>
                <w:rFonts w:hint="eastAsia" w:ascii="宋体" w:hAnsi="宋体" w:cs="宋体"/>
                <w:color w:val="000000"/>
                <w:kern w:val="0"/>
                <w:szCs w:val="21"/>
                <w:lang w:bidi="ar"/>
              </w:rPr>
            </w:pPr>
          </w:p>
        </w:tc>
      </w:tr>
      <w:tr w14:paraId="0F0999F5">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412D29AA">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1560" w:type="dxa"/>
            <w:tcBorders>
              <w:top w:val="single" w:color="000000" w:sz="4" w:space="0"/>
              <w:left w:val="single" w:color="000000" w:sz="4" w:space="0"/>
              <w:bottom w:val="single" w:color="000000" w:sz="4" w:space="0"/>
              <w:right w:val="single" w:color="000000" w:sz="4" w:space="0"/>
            </w:tcBorders>
            <w:vAlign w:val="center"/>
          </w:tcPr>
          <w:p w14:paraId="215770C9">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8C6494E">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7E642B7F">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4B6CABD9">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0EF3F310">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5702A235">
            <w:pPr>
              <w:ind w:firstLine="420"/>
              <w:jc w:val="left"/>
              <w:rPr>
                <w:rFonts w:hint="eastAsia" w:ascii="宋体" w:hAnsi="宋体" w:cs="宋体"/>
                <w:color w:val="000000"/>
                <w:szCs w:val="21"/>
              </w:rPr>
            </w:pPr>
          </w:p>
        </w:tc>
      </w:tr>
      <w:tr w14:paraId="42F37CA3">
        <w:tblPrEx>
          <w:tblCellMar>
            <w:top w:w="0" w:type="dxa"/>
            <w:left w:w="108" w:type="dxa"/>
            <w:bottom w:w="0" w:type="dxa"/>
            <w:right w:w="108" w:type="dxa"/>
          </w:tblCellMar>
        </w:tblPrEx>
        <w:trPr>
          <w:trHeight w:val="42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4F389D1">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1560" w:type="dxa"/>
            <w:tcBorders>
              <w:top w:val="single" w:color="000000" w:sz="4" w:space="0"/>
              <w:left w:val="single" w:color="000000" w:sz="4" w:space="0"/>
              <w:bottom w:val="single" w:color="000000" w:sz="4" w:space="0"/>
              <w:right w:val="single" w:color="000000" w:sz="4" w:space="0"/>
            </w:tcBorders>
            <w:vAlign w:val="center"/>
          </w:tcPr>
          <w:p w14:paraId="5B985754">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7D324CFF">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305C87A0">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2E345106">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B628E9C">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6484E058">
            <w:pPr>
              <w:jc w:val="left"/>
              <w:rPr>
                <w:rFonts w:hint="eastAsia" w:ascii="宋体" w:hAnsi="宋体" w:cs="宋体"/>
                <w:color w:val="000000"/>
                <w:szCs w:val="21"/>
              </w:rPr>
            </w:pPr>
          </w:p>
        </w:tc>
      </w:tr>
      <w:tr w14:paraId="43F28C4F">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79BD7B07">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1560" w:type="dxa"/>
            <w:tcBorders>
              <w:top w:val="single" w:color="000000" w:sz="4" w:space="0"/>
              <w:left w:val="single" w:color="000000" w:sz="4" w:space="0"/>
              <w:bottom w:val="single" w:color="000000" w:sz="4" w:space="0"/>
              <w:right w:val="single" w:color="000000" w:sz="4" w:space="0"/>
            </w:tcBorders>
            <w:vAlign w:val="center"/>
          </w:tcPr>
          <w:p w14:paraId="480C257B">
            <w:pPr>
              <w:widowControl/>
              <w:jc w:val="center"/>
              <w:textAlignment w:val="center"/>
              <w:rPr>
                <w:rFonts w:hint="eastAsia" w:ascii="宋体" w:hAnsi="宋体" w:cs="宋体"/>
                <w:color w:val="000000"/>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EBB6C8D">
            <w:pPr>
              <w:widowControl/>
              <w:jc w:val="center"/>
              <w:textAlignment w:val="center"/>
              <w:rPr>
                <w:rFonts w:hint="eastAsia"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14:paraId="2E04C2E9">
            <w:pPr>
              <w:widowControl/>
              <w:jc w:val="center"/>
              <w:textAlignment w:val="center"/>
              <w:rPr>
                <w:rFonts w:hint="eastAsia"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Pr>
          <w:p w14:paraId="2CE10A13">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215D78A">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28E8C24">
            <w:pPr>
              <w:ind w:firstLine="420"/>
              <w:rPr>
                <w:rFonts w:hint="eastAsia" w:ascii="宋体" w:hAnsi="宋体" w:cs="宋体"/>
                <w:color w:val="000000"/>
                <w:szCs w:val="21"/>
              </w:rPr>
            </w:pPr>
          </w:p>
        </w:tc>
      </w:tr>
      <w:tr w14:paraId="577DCC2A">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903791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w:t>
            </w:r>
          </w:p>
        </w:tc>
        <w:tc>
          <w:tcPr>
            <w:tcW w:w="1560" w:type="dxa"/>
            <w:tcBorders>
              <w:top w:val="single" w:color="000000" w:sz="4" w:space="0"/>
              <w:left w:val="single" w:color="000000" w:sz="4" w:space="0"/>
              <w:bottom w:val="single" w:color="000000" w:sz="4" w:space="0"/>
              <w:right w:val="single" w:color="000000" w:sz="4" w:space="0"/>
            </w:tcBorders>
            <w:vAlign w:val="center"/>
          </w:tcPr>
          <w:p w14:paraId="111665F4">
            <w:pPr>
              <w:widowControl/>
              <w:jc w:val="center"/>
              <w:textAlignment w:val="center"/>
              <w:rPr>
                <w:rFonts w:hint="eastAsia" w:ascii="宋体" w:hAnsi="宋体" w:cs="宋体"/>
                <w:color w:val="000000"/>
                <w:kern w:val="0"/>
                <w:szCs w:val="21"/>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59D89CF5">
            <w:pPr>
              <w:widowControl/>
              <w:jc w:val="center"/>
              <w:textAlignment w:val="center"/>
            </w:pPr>
          </w:p>
        </w:tc>
        <w:tc>
          <w:tcPr>
            <w:tcW w:w="850" w:type="dxa"/>
            <w:tcBorders>
              <w:top w:val="single" w:color="000000" w:sz="4" w:space="0"/>
              <w:left w:val="single" w:color="000000" w:sz="4" w:space="0"/>
              <w:bottom w:val="single" w:color="000000" w:sz="4" w:space="0"/>
              <w:right w:val="single" w:color="000000" w:sz="4" w:space="0"/>
            </w:tcBorders>
            <w:vAlign w:val="center"/>
          </w:tcPr>
          <w:p w14:paraId="5211A741">
            <w:pPr>
              <w:widowControl/>
              <w:jc w:val="center"/>
              <w:textAlignment w:val="center"/>
              <w:rPr>
                <w:rFonts w:hint="eastAsia" w:ascii="宋体" w:hAnsi="宋体" w:cs="宋体"/>
                <w:color w:val="000000"/>
                <w:kern w:val="0"/>
                <w:szCs w:val="21"/>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DAE8E2A">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E5B7026">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9134A69">
            <w:pPr>
              <w:ind w:firstLine="420"/>
              <w:rPr>
                <w:rFonts w:hint="eastAsia" w:ascii="宋体" w:hAnsi="宋体" w:cs="宋体"/>
                <w:color w:val="000000"/>
                <w:szCs w:val="21"/>
              </w:rPr>
            </w:pPr>
          </w:p>
        </w:tc>
      </w:tr>
      <w:tr w14:paraId="64E33431">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579ABBBB">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1560" w:type="dxa"/>
            <w:tcBorders>
              <w:top w:val="single" w:color="000000" w:sz="4" w:space="0"/>
              <w:left w:val="single" w:color="000000" w:sz="4" w:space="0"/>
              <w:bottom w:val="single" w:color="000000" w:sz="4" w:space="0"/>
              <w:right w:val="single" w:color="000000" w:sz="4" w:space="0"/>
            </w:tcBorders>
            <w:vAlign w:val="center"/>
          </w:tcPr>
          <w:p w14:paraId="3752A77D">
            <w:pPr>
              <w:widowControl/>
              <w:jc w:val="center"/>
              <w:textAlignment w:val="center"/>
              <w:rPr>
                <w:rFonts w:hint="eastAsia" w:ascii="宋体" w:hAnsi="宋体" w:cs="宋体"/>
                <w:color w:val="000000"/>
                <w:kern w:val="0"/>
                <w:szCs w:val="21"/>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EAC82EA">
            <w:pPr>
              <w:widowControl/>
              <w:jc w:val="center"/>
              <w:textAlignment w:val="center"/>
            </w:pPr>
          </w:p>
        </w:tc>
        <w:tc>
          <w:tcPr>
            <w:tcW w:w="850" w:type="dxa"/>
            <w:tcBorders>
              <w:top w:val="single" w:color="000000" w:sz="4" w:space="0"/>
              <w:left w:val="single" w:color="000000" w:sz="4" w:space="0"/>
              <w:bottom w:val="single" w:color="000000" w:sz="4" w:space="0"/>
              <w:right w:val="single" w:color="000000" w:sz="4" w:space="0"/>
            </w:tcBorders>
            <w:vAlign w:val="center"/>
          </w:tcPr>
          <w:p w14:paraId="3241FBB1">
            <w:pPr>
              <w:widowControl/>
              <w:jc w:val="center"/>
              <w:textAlignment w:val="center"/>
              <w:rPr>
                <w:rFonts w:hint="eastAsia" w:ascii="宋体" w:hAnsi="宋体" w:cs="宋体"/>
                <w:color w:val="000000"/>
                <w:kern w:val="0"/>
                <w:szCs w:val="21"/>
                <w:lang w:bidi="ar"/>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996451C">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5838615">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4B64322C">
            <w:pPr>
              <w:ind w:firstLine="420"/>
              <w:rPr>
                <w:rFonts w:hint="eastAsia" w:ascii="宋体" w:hAnsi="宋体" w:cs="宋体"/>
                <w:color w:val="000000"/>
                <w:szCs w:val="21"/>
              </w:rPr>
            </w:pPr>
          </w:p>
        </w:tc>
      </w:tr>
      <w:tr w14:paraId="75F72EFF">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6AD68BE">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1560" w:type="dxa"/>
            <w:tcBorders>
              <w:top w:val="single" w:color="000000" w:sz="4" w:space="0"/>
              <w:left w:val="single" w:color="000000" w:sz="4" w:space="0"/>
              <w:bottom w:val="single" w:color="000000" w:sz="4" w:space="0"/>
              <w:right w:val="single" w:color="000000" w:sz="4" w:space="0"/>
            </w:tcBorders>
            <w:vAlign w:val="center"/>
          </w:tcPr>
          <w:p w14:paraId="2BB49128">
            <w:pPr>
              <w:widowControl/>
              <w:jc w:val="center"/>
              <w:textAlignment w:val="center"/>
              <w:rPr>
                <w:rFonts w:hint="eastAsia" w:ascii="宋体" w:hAnsi="宋体" w:cs="宋体"/>
                <w:color w:val="000000"/>
                <w:kern w:val="0"/>
                <w:szCs w:val="21"/>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22F01149">
            <w:pPr>
              <w:widowControl/>
              <w:jc w:val="center"/>
              <w:textAlignment w:val="center"/>
            </w:pPr>
          </w:p>
        </w:tc>
        <w:tc>
          <w:tcPr>
            <w:tcW w:w="850" w:type="dxa"/>
            <w:tcBorders>
              <w:top w:val="single" w:color="000000" w:sz="4" w:space="0"/>
              <w:left w:val="single" w:color="000000" w:sz="4" w:space="0"/>
              <w:bottom w:val="single" w:color="000000" w:sz="4" w:space="0"/>
              <w:right w:val="single" w:color="000000" w:sz="4" w:space="0"/>
            </w:tcBorders>
            <w:vAlign w:val="center"/>
          </w:tcPr>
          <w:p w14:paraId="19CC3DD6">
            <w:pPr>
              <w:widowControl/>
              <w:jc w:val="center"/>
              <w:textAlignment w:val="center"/>
              <w:rPr>
                <w:rFonts w:hint="eastAsia" w:ascii="宋体" w:hAnsi="宋体" w:cs="宋体"/>
                <w:color w:val="000000"/>
                <w:kern w:val="0"/>
                <w:szCs w:val="21"/>
                <w:lang w:bidi="ar"/>
              </w:rPr>
            </w:pPr>
          </w:p>
        </w:tc>
        <w:tc>
          <w:tcPr>
            <w:tcW w:w="1134" w:type="dxa"/>
            <w:tcBorders>
              <w:top w:val="single" w:color="000000" w:sz="4" w:space="0"/>
              <w:left w:val="single" w:color="000000" w:sz="4" w:space="0"/>
              <w:bottom w:val="single" w:color="000000" w:sz="4" w:space="0"/>
              <w:right w:val="single" w:color="000000" w:sz="4" w:space="0"/>
            </w:tcBorders>
          </w:tcPr>
          <w:p w14:paraId="758758B9">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374A2D4">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1A02754F">
            <w:pPr>
              <w:rPr>
                <w:rFonts w:hint="eastAsia" w:ascii="宋体" w:hAnsi="宋体" w:cs="宋体"/>
                <w:color w:val="000000"/>
                <w:szCs w:val="21"/>
              </w:rPr>
            </w:pPr>
          </w:p>
        </w:tc>
      </w:tr>
      <w:tr w14:paraId="219BC4A1">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0AABC976">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1560" w:type="dxa"/>
            <w:tcBorders>
              <w:top w:val="single" w:color="000000" w:sz="4" w:space="0"/>
              <w:left w:val="single" w:color="000000" w:sz="4" w:space="0"/>
              <w:bottom w:val="single" w:color="000000" w:sz="4" w:space="0"/>
              <w:right w:val="single" w:color="000000" w:sz="4" w:space="0"/>
            </w:tcBorders>
            <w:vAlign w:val="center"/>
          </w:tcPr>
          <w:p w14:paraId="0918B041">
            <w:pPr>
              <w:widowControl/>
              <w:jc w:val="center"/>
              <w:textAlignment w:val="center"/>
              <w:rPr>
                <w:rFonts w:hint="eastAsia" w:ascii="宋体" w:hAnsi="宋体" w:cs="宋体"/>
                <w:color w:val="000000"/>
                <w:kern w:val="0"/>
                <w:szCs w:val="21"/>
                <w:lang w:bidi="ar"/>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300D7C21">
            <w:pPr>
              <w:widowControl/>
              <w:jc w:val="center"/>
              <w:textAlignment w:val="center"/>
            </w:pPr>
          </w:p>
        </w:tc>
        <w:tc>
          <w:tcPr>
            <w:tcW w:w="850" w:type="dxa"/>
            <w:tcBorders>
              <w:top w:val="single" w:color="000000" w:sz="4" w:space="0"/>
              <w:left w:val="single" w:color="000000" w:sz="4" w:space="0"/>
              <w:bottom w:val="single" w:color="000000" w:sz="4" w:space="0"/>
              <w:right w:val="single" w:color="000000" w:sz="4" w:space="0"/>
            </w:tcBorders>
            <w:vAlign w:val="center"/>
          </w:tcPr>
          <w:p w14:paraId="32698FA3">
            <w:pPr>
              <w:widowControl/>
              <w:jc w:val="center"/>
              <w:textAlignment w:val="center"/>
              <w:rPr>
                <w:rFonts w:hint="eastAsia" w:ascii="宋体" w:hAnsi="宋体" w:cs="宋体"/>
                <w:color w:val="000000"/>
                <w:kern w:val="0"/>
                <w:szCs w:val="21"/>
                <w:lang w:bidi="ar"/>
              </w:rPr>
            </w:pPr>
          </w:p>
        </w:tc>
        <w:tc>
          <w:tcPr>
            <w:tcW w:w="1134" w:type="dxa"/>
            <w:tcBorders>
              <w:top w:val="single" w:color="000000" w:sz="4" w:space="0"/>
              <w:left w:val="single" w:color="000000" w:sz="4" w:space="0"/>
              <w:bottom w:val="single" w:color="000000" w:sz="4" w:space="0"/>
              <w:right w:val="single" w:color="000000" w:sz="4" w:space="0"/>
            </w:tcBorders>
          </w:tcPr>
          <w:p w14:paraId="4935D2B3">
            <w:pPr>
              <w:ind w:firstLine="420"/>
              <w:rPr>
                <w:rFonts w:hint="eastAsia"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F9902BC">
            <w:pPr>
              <w:ind w:firstLine="420"/>
              <w:rPr>
                <w:rFonts w:hint="eastAsia" w:ascii="宋体" w:hAnsi="宋体" w:cs="宋体"/>
                <w:color w:val="000000"/>
                <w:szCs w:val="21"/>
              </w:rPr>
            </w:pPr>
          </w:p>
        </w:tc>
        <w:tc>
          <w:tcPr>
            <w:tcW w:w="1448" w:type="dxa"/>
            <w:tcBorders>
              <w:top w:val="single" w:color="000000" w:sz="4" w:space="0"/>
              <w:left w:val="single" w:color="000000" w:sz="4" w:space="0"/>
              <w:bottom w:val="single" w:color="000000" w:sz="4" w:space="0"/>
              <w:right w:val="single" w:color="000000" w:sz="4" w:space="0"/>
            </w:tcBorders>
            <w:vAlign w:val="center"/>
          </w:tcPr>
          <w:p w14:paraId="5D5C08FC">
            <w:pPr>
              <w:ind w:firstLine="420"/>
              <w:rPr>
                <w:rFonts w:hint="eastAsia" w:ascii="宋体" w:hAnsi="宋体" w:cs="宋体"/>
                <w:color w:val="000000"/>
                <w:szCs w:val="21"/>
              </w:rPr>
            </w:pPr>
          </w:p>
        </w:tc>
      </w:tr>
      <w:tr w14:paraId="4EA195FC">
        <w:tblPrEx>
          <w:tblCellMar>
            <w:top w:w="0" w:type="dxa"/>
            <w:left w:w="108" w:type="dxa"/>
            <w:bottom w:w="0" w:type="dxa"/>
            <w:right w:w="108" w:type="dxa"/>
          </w:tblCellMar>
        </w:tblPrEx>
        <w:trPr>
          <w:trHeight w:val="435" w:hRule="atLeast"/>
          <w:jc w:val="center"/>
        </w:trPr>
        <w:tc>
          <w:tcPr>
            <w:tcW w:w="655" w:type="dxa"/>
            <w:tcBorders>
              <w:top w:val="single" w:color="000000" w:sz="4" w:space="0"/>
              <w:left w:val="single" w:color="000000" w:sz="4" w:space="0"/>
              <w:bottom w:val="single" w:color="000000" w:sz="4" w:space="0"/>
              <w:right w:val="single" w:color="000000" w:sz="4" w:space="0"/>
            </w:tcBorders>
            <w:vAlign w:val="center"/>
          </w:tcPr>
          <w:p w14:paraId="3AB43229">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1560" w:type="dxa"/>
            <w:tcBorders>
              <w:top w:val="single" w:color="000000" w:sz="4" w:space="0"/>
              <w:left w:val="single" w:color="000000" w:sz="4" w:space="0"/>
              <w:bottom w:val="single" w:color="000000" w:sz="4" w:space="0"/>
              <w:right w:val="single" w:color="000000" w:sz="4" w:space="0"/>
            </w:tcBorders>
            <w:vAlign w:val="center"/>
          </w:tcPr>
          <w:p w14:paraId="54ADB56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合计</w:t>
            </w:r>
          </w:p>
        </w:tc>
        <w:tc>
          <w:tcPr>
            <w:tcW w:w="6267" w:type="dxa"/>
            <w:gridSpan w:val="5"/>
            <w:tcBorders>
              <w:top w:val="single" w:color="000000" w:sz="4" w:space="0"/>
              <w:left w:val="single" w:color="000000" w:sz="4" w:space="0"/>
              <w:bottom w:val="single" w:color="000000" w:sz="4" w:space="0"/>
              <w:right w:val="single" w:color="000000" w:sz="4" w:space="0"/>
            </w:tcBorders>
            <w:vAlign w:val="center"/>
          </w:tcPr>
          <w:p w14:paraId="59F0451B">
            <w:pPr>
              <w:rPr>
                <w:rFonts w:hint="eastAsia" w:ascii="宋体" w:hAnsi="宋体" w:cs="宋体"/>
                <w:color w:val="000000"/>
                <w:szCs w:val="21"/>
              </w:rPr>
            </w:pPr>
            <w:r>
              <w:rPr>
                <w:rFonts w:hint="eastAsia" w:ascii="宋体" w:hAnsi="宋体" w:cs="宋体"/>
                <w:color w:val="000000"/>
                <w:szCs w:val="21"/>
              </w:rPr>
              <w:t xml:space="preserve">  ￥     元。 大写：  万  仟  佰   拾  元。 </w:t>
            </w:r>
          </w:p>
        </w:tc>
      </w:tr>
    </w:tbl>
    <w:p w14:paraId="0B4D394A">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价。具体交付时间以采购方通知为准，交付地点：南京市玄武区运粮河西路101号。</w:t>
      </w:r>
    </w:p>
    <w:p w14:paraId="5B2904A9">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22977A75">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066EE053">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0D44B7A2">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2A084348">
      <w:pPr>
        <w:rPr>
          <w:color w:val="000000"/>
        </w:rPr>
      </w:pPr>
      <w:r>
        <w:rPr>
          <w:rFonts w:hint="eastAsia"/>
          <w:color w:val="000000"/>
        </w:rPr>
        <w:t>日期：</w:t>
      </w:r>
    </w:p>
    <w:p w14:paraId="2AF4E03D">
      <w:pPr>
        <w:pStyle w:val="2"/>
      </w:pPr>
      <w:r>
        <w:br w:type="page"/>
      </w:r>
    </w:p>
    <w:p w14:paraId="742C7D94">
      <w:pPr>
        <w:pStyle w:val="4"/>
        <w:numPr>
          <w:ilvl w:val="0"/>
          <w:numId w:val="0"/>
        </w:numPr>
        <w:snapToGrid w:val="0"/>
        <w:spacing w:before="312" w:beforeLines="100" w:after="312" w:afterLines="100"/>
        <w:ind w:right="210" w:rightChars="100"/>
        <w:rPr>
          <w:color w:val="000000"/>
          <w:szCs w:val="24"/>
          <w:u w:val="single"/>
        </w:rPr>
      </w:pPr>
      <w:r>
        <w:rPr>
          <w:rStyle w:val="113"/>
          <w:rFonts w:hint="eastAsia" w:hAnsi="宋体"/>
          <w:b w:val="0"/>
          <w:bCs w:val="0"/>
          <w:color w:val="000000"/>
          <w:sz w:val="24"/>
          <w:szCs w:val="24"/>
        </w:rPr>
        <w:t>附件</w:t>
      </w:r>
      <w:r>
        <w:rPr>
          <w:rStyle w:val="113"/>
          <w:rFonts w:hAnsi="宋体"/>
          <w:b w:val="0"/>
          <w:bCs w:val="0"/>
          <w:color w:val="000000"/>
          <w:sz w:val="24"/>
          <w:szCs w:val="24"/>
        </w:rPr>
        <w:t>4</w:t>
      </w:r>
      <w:r>
        <w:rPr>
          <w:rStyle w:val="113"/>
          <w:rFonts w:hint="eastAsia" w:hAnsi="宋体"/>
          <w:b w:val="0"/>
          <w:bCs w:val="0"/>
          <w:color w:val="000000"/>
          <w:sz w:val="24"/>
          <w:szCs w:val="24"/>
        </w:rPr>
        <w:t>：商务条款偏离表</w:t>
      </w:r>
    </w:p>
    <w:p w14:paraId="3B486D59">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8"/>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1F1DB9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58108B78">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346CB572">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4A6ABA9C">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1EE21363">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7118C61A">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09951E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383F58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22573D2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1ADECB1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AFABDA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640B84F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7911C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34B7EB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2FBC1B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44178BC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03070A1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7379DA3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0A90CB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214FCD8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188DE86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74ACFB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A5D35D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143FDAD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8ECC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1BA71D6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3868CF6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30B73F1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843E2C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F5517E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1C035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2F7B2C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0054F79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0A9C16E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CF7409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EADBF49">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594D1094">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58BB708A">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7608AF28">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7763EB23">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69F22DC2">
      <w:pPr>
        <w:widowControl/>
        <w:jc w:val="left"/>
        <w:rPr>
          <w:rStyle w:val="113"/>
          <w:rFonts w:hint="eastAsia" w:hAnsi="宋体"/>
          <w:b w:val="0"/>
          <w:bCs w:val="0"/>
          <w:color w:val="000000"/>
          <w:sz w:val="24"/>
          <w:szCs w:val="24"/>
        </w:rPr>
      </w:pPr>
    </w:p>
    <w:p w14:paraId="041CE42A">
      <w:pPr>
        <w:pStyle w:val="4"/>
        <w:numPr>
          <w:ilvl w:val="0"/>
          <w:numId w:val="0"/>
        </w:numPr>
        <w:snapToGrid w:val="0"/>
        <w:spacing w:before="312" w:beforeLines="100" w:after="312" w:afterLines="100"/>
        <w:ind w:right="210" w:rightChars="100"/>
        <w:rPr>
          <w:rFonts w:ascii="黑体"/>
          <w:b/>
          <w:color w:val="000000"/>
          <w:kern w:val="44"/>
          <w:sz w:val="32"/>
        </w:rPr>
      </w:pPr>
      <w:r>
        <w:rPr>
          <w:rStyle w:val="113"/>
          <w:rFonts w:hAnsi="宋体"/>
          <w:b w:val="0"/>
          <w:bCs w:val="0"/>
          <w:color w:val="000000"/>
          <w:sz w:val="24"/>
          <w:szCs w:val="24"/>
        </w:rPr>
        <w:br w:type="page"/>
      </w:r>
      <w:r>
        <w:rPr>
          <w:rStyle w:val="113"/>
          <w:rFonts w:hint="eastAsia" w:hAnsi="宋体"/>
          <w:b w:val="0"/>
          <w:bCs w:val="0"/>
          <w:color w:val="000000"/>
          <w:sz w:val="24"/>
          <w:szCs w:val="24"/>
        </w:rPr>
        <w:t>附件</w:t>
      </w:r>
      <w:r>
        <w:rPr>
          <w:rStyle w:val="113"/>
          <w:rFonts w:hAnsi="宋体"/>
          <w:b w:val="0"/>
          <w:bCs w:val="0"/>
          <w:color w:val="000000"/>
          <w:sz w:val="24"/>
          <w:szCs w:val="24"/>
        </w:rPr>
        <w:t>5</w:t>
      </w:r>
      <w:r>
        <w:rPr>
          <w:rStyle w:val="113"/>
          <w:rFonts w:hint="eastAsia" w:hAnsi="宋体"/>
          <w:b w:val="0"/>
          <w:bCs w:val="0"/>
          <w:color w:val="000000"/>
          <w:sz w:val="24"/>
          <w:szCs w:val="24"/>
        </w:rPr>
        <w:t>：法定代表人身份证明及授权委托书</w:t>
      </w:r>
      <w:bookmarkEnd w:id="155"/>
      <w:bookmarkEnd w:id="156"/>
      <w:bookmarkEnd w:id="157"/>
    </w:p>
    <w:p w14:paraId="4D71C301">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721D86F3">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539A7A54">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17CD5A2B">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207E979C">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05FDE37A">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7C6A195F">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3C70D9C1">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23BF9FD0">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1FF720">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14:paraId="581FF720">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D65F06A">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14:paraId="7D65F06A">
                      <w:pPr>
                        <w:jc w:val="center"/>
                        <w:rPr>
                          <w:szCs w:val="21"/>
                        </w:rPr>
                      </w:pPr>
                      <w:r>
                        <w:rPr>
                          <w:rFonts w:hint="eastAsia"/>
                          <w:szCs w:val="21"/>
                        </w:rPr>
                        <w:t>法定代表人身份证正面复印件</w:t>
                      </w:r>
                    </w:p>
                  </w:txbxContent>
                </v:textbox>
              </v:shape>
            </w:pict>
          </mc:Fallback>
        </mc:AlternateContent>
      </w:r>
    </w:p>
    <w:p w14:paraId="347BFBA8">
      <w:pPr>
        <w:snapToGrid w:val="0"/>
        <w:spacing w:before="312" w:beforeLines="100" w:after="312" w:afterLines="100"/>
        <w:ind w:left="210" w:leftChars="100" w:right="210" w:rightChars="100" w:firstLine="420" w:firstLineChars="200"/>
        <w:rPr>
          <w:color w:val="000000"/>
          <w:szCs w:val="21"/>
        </w:rPr>
      </w:pPr>
    </w:p>
    <w:p w14:paraId="3B39BB1F">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192D4A9">
      <w:pPr>
        <w:snapToGrid w:val="0"/>
        <w:spacing w:before="312" w:beforeLines="100" w:after="312" w:afterLines="100"/>
        <w:ind w:left="210" w:leftChars="100" w:right="210" w:rightChars="100" w:firstLine="420" w:firstLineChars="200"/>
        <w:rPr>
          <w:color w:val="000000"/>
          <w:szCs w:val="21"/>
        </w:rPr>
      </w:pPr>
    </w:p>
    <w:p w14:paraId="4767148F">
      <w:pPr>
        <w:snapToGrid w:val="0"/>
        <w:spacing w:before="312" w:beforeLines="100" w:after="312" w:afterLines="100"/>
        <w:ind w:left="210" w:leftChars="100" w:right="210" w:rightChars="100" w:firstLine="420" w:firstLineChars="200"/>
        <w:rPr>
          <w:color w:val="000000"/>
          <w:szCs w:val="21"/>
        </w:rPr>
      </w:pPr>
    </w:p>
    <w:p w14:paraId="18289896">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39995F74">
      <w:pPr>
        <w:snapToGrid w:val="0"/>
        <w:spacing w:before="312" w:beforeLines="100" w:after="312" w:afterLines="100"/>
        <w:ind w:left="210" w:leftChars="100" w:right="210" w:rightChars="100" w:firstLine="420" w:firstLineChars="200"/>
        <w:rPr>
          <w:color w:val="000000"/>
          <w:szCs w:val="21"/>
        </w:rPr>
      </w:pPr>
    </w:p>
    <w:p w14:paraId="37FDC731">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F6226CD">
      <w:pPr>
        <w:snapToGrid w:val="0"/>
        <w:spacing w:before="312" w:beforeLines="100" w:after="312" w:afterLines="100"/>
        <w:ind w:right="210" w:rightChars="100"/>
        <w:rPr>
          <w:color w:val="000000"/>
          <w:szCs w:val="21"/>
        </w:rPr>
      </w:pPr>
    </w:p>
    <w:p w14:paraId="4975C7C6">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26454C6F">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429ED65B">
      <w:pPr>
        <w:snapToGrid w:val="0"/>
        <w:spacing w:before="312" w:beforeLines="100" w:after="312" w:afterLines="100"/>
        <w:ind w:left="210" w:leftChars="100" w:right="210" w:rightChars="100" w:firstLine="420" w:firstLineChars="200"/>
        <w:rPr>
          <w:rFonts w:eastAsia="黑体"/>
          <w:color w:val="000000"/>
          <w:szCs w:val="21"/>
        </w:rPr>
      </w:pPr>
    </w:p>
    <w:p w14:paraId="2BF21D56">
      <w:pPr>
        <w:snapToGrid w:val="0"/>
        <w:spacing w:before="312" w:beforeLines="100" w:after="312" w:afterLines="100"/>
        <w:ind w:left="210" w:leftChars="100" w:right="210" w:rightChars="100" w:firstLine="420" w:firstLineChars="200"/>
        <w:rPr>
          <w:rFonts w:eastAsia="黑体"/>
          <w:color w:val="000000"/>
          <w:szCs w:val="21"/>
        </w:rPr>
      </w:pPr>
    </w:p>
    <w:p w14:paraId="0E294DB2">
      <w:pPr>
        <w:widowControl/>
        <w:jc w:val="left"/>
        <w:rPr>
          <w:rFonts w:hint="eastAsia" w:ascii="宋体" w:hAnsi="宋体"/>
          <w:color w:val="000000"/>
          <w:szCs w:val="21"/>
        </w:rPr>
      </w:pPr>
      <w:r>
        <w:rPr>
          <w:rFonts w:ascii="宋体" w:hAnsi="宋体"/>
          <w:color w:val="000000"/>
          <w:szCs w:val="21"/>
        </w:rPr>
        <w:br w:type="page"/>
      </w:r>
    </w:p>
    <w:p w14:paraId="50804CF6">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17731214">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6CE6B002">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3D82D797">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75F5AFFC">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14:paraId="75F5AFFC">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3645C27">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14:paraId="13645C27">
                      <w:pPr>
                        <w:jc w:val="center"/>
                        <w:rPr>
                          <w:szCs w:val="21"/>
                        </w:rPr>
                      </w:pPr>
                      <w:r>
                        <w:rPr>
                          <w:rFonts w:hint="eastAsia"/>
                          <w:szCs w:val="21"/>
                        </w:rPr>
                        <w:t>委托代理人身份证正面复印件</w:t>
                      </w:r>
                    </w:p>
                  </w:txbxContent>
                </v:textbox>
              </v:shape>
            </w:pict>
          </mc:Fallback>
        </mc:AlternateContent>
      </w:r>
    </w:p>
    <w:p w14:paraId="1A61AFB9">
      <w:pPr>
        <w:snapToGrid w:val="0"/>
        <w:spacing w:before="312" w:beforeLines="100" w:after="312" w:afterLines="100"/>
        <w:ind w:left="210" w:leftChars="100" w:right="210" w:rightChars="100" w:firstLine="420" w:firstLineChars="200"/>
        <w:rPr>
          <w:color w:val="000000"/>
          <w:szCs w:val="21"/>
        </w:rPr>
      </w:pPr>
    </w:p>
    <w:p w14:paraId="0199FC8F">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C2D5573">
      <w:pPr>
        <w:snapToGrid w:val="0"/>
        <w:spacing w:before="312" w:beforeLines="100" w:after="312" w:afterLines="100"/>
        <w:ind w:left="210" w:leftChars="100" w:right="210" w:rightChars="100" w:firstLine="420" w:firstLineChars="200"/>
        <w:rPr>
          <w:color w:val="000000"/>
          <w:szCs w:val="21"/>
        </w:rPr>
      </w:pPr>
    </w:p>
    <w:p w14:paraId="79678F58">
      <w:pPr>
        <w:snapToGrid w:val="0"/>
        <w:spacing w:before="312" w:beforeLines="100" w:after="312" w:afterLines="100"/>
        <w:ind w:left="210" w:leftChars="100" w:right="210" w:rightChars="100" w:firstLine="420" w:firstLineChars="200"/>
        <w:rPr>
          <w:color w:val="000000"/>
          <w:szCs w:val="21"/>
        </w:rPr>
      </w:pPr>
    </w:p>
    <w:p w14:paraId="5ABDDF91">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18E3417">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662FF2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9FFE971">
      <w:pPr>
        <w:spacing w:line="360" w:lineRule="auto"/>
        <w:rPr>
          <w:rFonts w:ascii="宋体"/>
          <w:color w:val="000000"/>
          <w:szCs w:val="21"/>
          <w:u w:val="single"/>
        </w:rPr>
      </w:pPr>
      <w:r>
        <w:rPr>
          <w:rFonts w:hint="eastAsia" w:ascii="宋体" w:hAnsi="宋体"/>
          <w:color w:val="000000"/>
          <w:szCs w:val="21"/>
        </w:rPr>
        <w:t>供应商名称（盖章）：</w:t>
      </w:r>
    </w:p>
    <w:p w14:paraId="0B3C05BD">
      <w:pPr>
        <w:spacing w:line="360" w:lineRule="auto"/>
        <w:rPr>
          <w:rFonts w:ascii="宋体"/>
          <w:color w:val="000000"/>
          <w:szCs w:val="21"/>
          <w:u w:val="single"/>
        </w:rPr>
      </w:pPr>
      <w:r>
        <w:rPr>
          <w:rFonts w:hint="eastAsia" w:ascii="宋体" w:hAnsi="宋体"/>
          <w:color w:val="000000"/>
          <w:szCs w:val="21"/>
        </w:rPr>
        <w:t>法定代表人签字（或签章）：</w:t>
      </w:r>
    </w:p>
    <w:p w14:paraId="69C97D7A">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21797B1C">
      <w:pPr>
        <w:snapToGrid w:val="0"/>
        <w:spacing w:before="312" w:beforeLines="100" w:after="312" w:afterLines="100"/>
        <w:ind w:left="210" w:leftChars="100" w:right="210" w:rightChars="100" w:firstLine="420" w:firstLineChars="200"/>
        <w:rPr>
          <w:rFonts w:ascii="宋体"/>
          <w:color w:val="000000"/>
          <w:szCs w:val="21"/>
          <w:u w:val="single"/>
        </w:rPr>
      </w:pPr>
    </w:p>
    <w:p w14:paraId="73A9C46C">
      <w:r>
        <w:br w:type="page"/>
      </w:r>
      <w:bookmarkStart w:id="158" w:name="_Toc26259743"/>
      <w:bookmarkStart w:id="159" w:name="_Toc26260037"/>
      <w:bookmarkStart w:id="160" w:name="_Toc69378667"/>
    </w:p>
    <w:p w14:paraId="4BEFA106">
      <w:pPr>
        <w:pStyle w:val="4"/>
        <w:numPr>
          <w:ilvl w:val="0"/>
          <w:numId w:val="0"/>
        </w:numPr>
        <w:snapToGrid w:val="0"/>
        <w:spacing w:before="312" w:beforeLines="100" w:after="312" w:afterLines="100"/>
        <w:ind w:right="210" w:rightChars="100"/>
        <w:rPr>
          <w:rStyle w:val="113"/>
          <w:bCs/>
          <w:color w:val="000000"/>
          <w:sz w:val="24"/>
          <w:szCs w:val="24"/>
        </w:rPr>
      </w:pPr>
      <w:r>
        <w:rPr>
          <w:rStyle w:val="113"/>
          <w:rFonts w:hint="eastAsia" w:hAnsi="宋体"/>
          <w:b w:val="0"/>
          <w:bCs w:val="0"/>
          <w:color w:val="000000"/>
          <w:sz w:val="24"/>
          <w:szCs w:val="24"/>
        </w:rPr>
        <w:t>附件</w:t>
      </w:r>
      <w:r>
        <w:rPr>
          <w:rStyle w:val="113"/>
          <w:rFonts w:hAnsi="宋体"/>
          <w:b w:val="0"/>
          <w:bCs w:val="0"/>
          <w:color w:val="000000"/>
          <w:sz w:val="24"/>
          <w:szCs w:val="24"/>
        </w:rPr>
        <w:t>6</w:t>
      </w:r>
      <w:r>
        <w:rPr>
          <w:rStyle w:val="113"/>
          <w:rFonts w:hint="eastAsia" w:hAnsi="宋体"/>
          <w:b w:val="0"/>
          <w:bCs w:val="0"/>
          <w:color w:val="000000"/>
          <w:sz w:val="24"/>
          <w:szCs w:val="24"/>
        </w:rPr>
        <w:t>：技术规范偏离表</w:t>
      </w:r>
      <w:bookmarkEnd w:id="158"/>
      <w:bookmarkEnd w:id="159"/>
      <w:bookmarkEnd w:id="160"/>
    </w:p>
    <w:p w14:paraId="259124A0">
      <w:pPr>
        <w:snapToGrid w:val="0"/>
        <w:spacing w:before="312" w:beforeLines="100" w:after="312" w:afterLines="100"/>
        <w:ind w:left="210" w:leftChars="100" w:right="210" w:rightChars="100" w:firstLine="420" w:firstLineChars="200"/>
        <w:rPr>
          <w:rFonts w:hint="eastAsia" w:ascii="宋体" w:hAnsi="宋体"/>
          <w:color w:val="FF0000"/>
          <w:szCs w:val="21"/>
          <w:u w:val="single"/>
        </w:rPr>
      </w:pPr>
      <w:r>
        <w:rPr>
          <w:rFonts w:hint="eastAsia" w:ascii="宋体" w:hAnsi="宋体"/>
          <w:color w:val="000000"/>
          <w:szCs w:val="21"/>
        </w:rPr>
        <w:t>供应商名称：采购编号：</w:t>
      </w:r>
      <w:r>
        <w:rPr>
          <w:rFonts w:ascii="宋体" w:hAnsi="宋体"/>
          <w:color w:val="FF0000"/>
          <w:szCs w:val="21"/>
          <w:highlight w:val="yellow"/>
        </w:rPr>
        <w:t>JSCN2024[</w:t>
      </w:r>
      <w:r>
        <w:rPr>
          <w:rFonts w:hint="eastAsia" w:ascii="宋体" w:hAnsi="宋体"/>
          <w:color w:val="FF0000"/>
          <w:szCs w:val="21"/>
          <w:highlight w:val="yellow"/>
        </w:rPr>
        <w:t>XXX</w:t>
      </w:r>
      <w:r>
        <w:rPr>
          <w:rFonts w:ascii="宋体" w:hAnsi="宋体"/>
          <w:color w:val="FF0000"/>
          <w:szCs w:val="21"/>
          <w:highlight w:val="yellow"/>
        </w:rPr>
        <w:t>]</w:t>
      </w:r>
    </w:p>
    <w:tbl>
      <w:tblPr>
        <w:tblStyle w:val="5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5667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786D7F6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76FC5858">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7D15B223">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032633E8">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48D8A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484070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4A82FC6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2ECF95C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0C8D8E1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0481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0CD86DA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2332BF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436B961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7CBDCE0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33EB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6C4F9B3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77D20D0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45B7641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7EA0EC6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1453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16616CE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306ED4A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77F1D78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58D41EB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567349CE">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6DF5BD1A">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2A60F346">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6118001D">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6F4F40F7">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45DE96F5">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091D2620">
      <w:pPr>
        <w:pStyle w:val="4"/>
        <w:numPr>
          <w:ilvl w:val="0"/>
          <w:numId w:val="0"/>
        </w:numPr>
        <w:snapToGrid w:val="0"/>
        <w:spacing w:before="312" w:beforeLines="100" w:after="312" w:afterLines="100"/>
        <w:ind w:right="210" w:rightChars="100"/>
        <w:rPr>
          <w:rStyle w:val="113"/>
          <w:b w:val="0"/>
          <w:bCs w:val="0"/>
          <w:color w:val="000000"/>
          <w:sz w:val="24"/>
          <w:szCs w:val="24"/>
        </w:rPr>
      </w:pPr>
      <w:r>
        <w:rPr>
          <w:color w:val="000000"/>
          <w:szCs w:val="24"/>
        </w:rPr>
        <w:br w:type="page"/>
      </w:r>
      <w:bookmarkStart w:id="161" w:name="_Toc69378668"/>
      <w:bookmarkStart w:id="162" w:name="_Toc161767433"/>
      <w:bookmarkStart w:id="163" w:name="_Toc26260038"/>
      <w:bookmarkStart w:id="164" w:name="_Toc26259744"/>
      <w:bookmarkStart w:id="165" w:name="_Toc135999012"/>
      <w:r>
        <w:rPr>
          <w:rStyle w:val="113"/>
          <w:rFonts w:hint="eastAsia" w:hAnsi="宋体"/>
          <w:b w:val="0"/>
          <w:bCs w:val="0"/>
          <w:color w:val="000000"/>
          <w:sz w:val="24"/>
          <w:szCs w:val="24"/>
        </w:rPr>
        <w:t>附件</w:t>
      </w:r>
      <w:r>
        <w:rPr>
          <w:rStyle w:val="113"/>
          <w:rFonts w:hAnsi="宋体"/>
          <w:b w:val="0"/>
          <w:bCs w:val="0"/>
          <w:color w:val="000000"/>
          <w:sz w:val="24"/>
          <w:szCs w:val="24"/>
        </w:rPr>
        <w:t>7</w:t>
      </w:r>
      <w:r>
        <w:rPr>
          <w:rStyle w:val="113"/>
          <w:rFonts w:hint="eastAsia" w:hAnsi="宋体"/>
          <w:b w:val="0"/>
          <w:bCs w:val="0"/>
          <w:color w:val="000000"/>
          <w:sz w:val="24"/>
          <w:szCs w:val="24"/>
        </w:rPr>
        <w:t>：资格证明文件</w:t>
      </w:r>
      <w:bookmarkEnd w:id="161"/>
      <w:bookmarkEnd w:id="162"/>
      <w:bookmarkEnd w:id="163"/>
      <w:bookmarkEnd w:id="164"/>
      <w:bookmarkEnd w:id="165"/>
    </w:p>
    <w:p w14:paraId="73E18592">
      <w:pPr>
        <w:snapToGrid w:val="0"/>
        <w:spacing w:before="312" w:beforeLines="100" w:after="312" w:afterLines="100"/>
        <w:ind w:left="210" w:leftChars="100" w:right="210" w:rightChars="100" w:firstLine="420" w:firstLineChars="200"/>
        <w:rPr>
          <w:rFonts w:ascii="宋体"/>
          <w:color w:val="000000"/>
        </w:rPr>
      </w:pPr>
    </w:p>
    <w:p w14:paraId="22C30D2C">
      <w:pPr>
        <w:rPr>
          <w:color w:val="000000"/>
        </w:rPr>
      </w:pPr>
      <w:r>
        <w:rPr>
          <w:rFonts w:hint="eastAsia"/>
          <w:color w:val="000000"/>
        </w:rPr>
        <w:t>填写须知</w:t>
      </w:r>
    </w:p>
    <w:p w14:paraId="7D7D3478">
      <w:pPr>
        <w:numPr>
          <w:ilvl w:val="0"/>
          <w:numId w:val="32"/>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1A15CE13">
      <w:pPr>
        <w:numPr>
          <w:ilvl w:val="0"/>
          <w:numId w:val="32"/>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3B8AD351">
      <w:pPr>
        <w:numPr>
          <w:ilvl w:val="0"/>
          <w:numId w:val="32"/>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7A98CF8B">
      <w:pPr>
        <w:numPr>
          <w:ilvl w:val="0"/>
          <w:numId w:val="32"/>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157D6396">
      <w:pPr>
        <w:numPr>
          <w:ilvl w:val="0"/>
          <w:numId w:val="32"/>
        </w:numPr>
        <w:spacing w:line="360" w:lineRule="auto"/>
        <w:rPr>
          <w:rFonts w:ascii="宋体"/>
          <w:color w:val="000000"/>
          <w:szCs w:val="21"/>
        </w:rPr>
      </w:pPr>
      <w:r>
        <w:rPr>
          <w:rFonts w:hint="eastAsia" w:ascii="宋体"/>
          <w:color w:val="000000"/>
          <w:szCs w:val="21"/>
        </w:rPr>
        <w:t>供应商提交的材料将被保密，但不退还。</w:t>
      </w:r>
    </w:p>
    <w:p w14:paraId="129E8105">
      <w:pPr>
        <w:numPr>
          <w:ilvl w:val="0"/>
          <w:numId w:val="32"/>
        </w:numPr>
        <w:spacing w:line="360" w:lineRule="auto"/>
        <w:rPr>
          <w:rFonts w:ascii="宋体"/>
          <w:color w:val="000000"/>
          <w:szCs w:val="21"/>
        </w:rPr>
      </w:pPr>
      <w:r>
        <w:rPr>
          <w:rFonts w:hint="eastAsia" w:ascii="宋体"/>
          <w:color w:val="000000"/>
          <w:szCs w:val="21"/>
        </w:rPr>
        <w:t>全部文件应按规定的语言和份数提交。</w:t>
      </w:r>
    </w:p>
    <w:p w14:paraId="35D7E194">
      <w:pPr>
        <w:snapToGrid w:val="0"/>
        <w:spacing w:before="312" w:beforeLines="100" w:after="312" w:afterLines="100"/>
        <w:ind w:left="210" w:leftChars="100" w:right="210" w:rightChars="100" w:firstLine="420" w:firstLineChars="200"/>
        <w:rPr>
          <w:rFonts w:ascii="宋体"/>
          <w:color w:val="000000"/>
        </w:rPr>
      </w:pPr>
    </w:p>
    <w:p w14:paraId="5164AD2A">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62045397">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6B0D3F60">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63287A71">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103BC559">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001C6EC3">
      <w:pPr>
        <w:numPr>
          <w:ilvl w:val="0"/>
          <w:numId w:val="33"/>
        </w:numPr>
        <w:spacing w:line="360" w:lineRule="auto"/>
        <w:ind w:left="420" w:hanging="420"/>
        <w:rPr>
          <w:rFonts w:hint="eastAsia"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4D57A2CD">
      <w:pPr>
        <w:numPr>
          <w:ilvl w:val="0"/>
          <w:numId w:val="33"/>
        </w:numPr>
        <w:spacing w:line="360" w:lineRule="auto"/>
        <w:ind w:left="420" w:hanging="420"/>
        <w:rPr>
          <w:rFonts w:hint="eastAsia" w:ascii="宋体" w:hAnsi="宋体"/>
          <w:color w:val="000000"/>
          <w:szCs w:val="21"/>
        </w:rPr>
      </w:pPr>
      <w:r>
        <w:rPr>
          <w:rFonts w:hint="eastAsia" w:ascii="宋体" w:hAnsi="宋体"/>
          <w:color w:val="000000"/>
          <w:szCs w:val="21"/>
        </w:rPr>
        <w:t>下述签字人证明本资格文件中的内容是真实的和正确的。</w:t>
      </w:r>
    </w:p>
    <w:p w14:paraId="16BAC80B">
      <w:pPr>
        <w:numPr>
          <w:ilvl w:val="0"/>
          <w:numId w:val="33"/>
        </w:numPr>
        <w:spacing w:line="360" w:lineRule="auto"/>
        <w:ind w:left="420" w:hanging="420"/>
        <w:rPr>
          <w:rFonts w:hint="eastAsia"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5C053AC1">
      <w:pPr>
        <w:spacing w:line="360" w:lineRule="auto"/>
        <w:rPr>
          <w:rFonts w:hint="eastAsia" w:ascii="宋体" w:hAnsi="宋体"/>
          <w:b/>
          <w:color w:val="000000"/>
          <w:szCs w:val="21"/>
        </w:rPr>
      </w:pPr>
    </w:p>
    <w:p w14:paraId="56BE8BE5">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4107BEBB">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56471789">
      <w:pPr>
        <w:spacing w:line="360" w:lineRule="auto"/>
        <w:rPr>
          <w:rFonts w:hint="eastAsia" w:ascii="宋体" w:hAnsi="宋体"/>
          <w:color w:val="000000"/>
          <w:szCs w:val="21"/>
        </w:rPr>
      </w:pPr>
      <w:r>
        <w:rPr>
          <w:rFonts w:hint="eastAsia" w:ascii="宋体" w:hAnsi="宋体"/>
          <w:color w:val="000000"/>
          <w:szCs w:val="21"/>
        </w:rPr>
        <w:t>地址：</w:t>
      </w:r>
    </w:p>
    <w:p w14:paraId="75858D5F">
      <w:pPr>
        <w:spacing w:line="360" w:lineRule="auto"/>
        <w:rPr>
          <w:rFonts w:hint="eastAsia" w:ascii="宋体" w:hAnsi="宋体"/>
          <w:color w:val="000000"/>
          <w:szCs w:val="21"/>
          <w:u w:val="single"/>
        </w:rPr>
      </w:pPr>
      <w:r>
        <w:rPr>
          <w:rFonts w:hint="eastAsia" w:ascii="宋体" w:hAnsi="宋体"/>
          <w:color w:val="000000"/>
          <w:szCs w:val="21"/>
        </w:rPr>
        <w:t>传真签字：</w:t>
      </w:r>
    </w:p>
    <w:p w14:paraId="100F3D32">
      <w:pPr>
        <w:spacing w:line="360" w:lineRule="auto"/>
        <w:rPr>
          <w:rFonts w:hint="eastAsia" w:ascii="宋体" w:hAnsi="宋体"/>
          <w:color w:val="000000"/>
          <w:szCs w:val="21"/>
          <w:u w:val="single"/>
        </w:rPr>
      </w:pPr>
      <w:r>
        <w:rPr>
          <w:rFonts w:hint="eastAsia" w:ascii="宋体" w:hAnsi="宋体"/>
          <w:color w:val="000000"/>
          <w:szCs w:val="21"/>
        </w:rPr>
        <w:t>邮编电话：</w:t>
      </w:r>
    </w:p>
    <w:p w14:paraId="34E68B60">
      <w:pPr>
        <w:snapToGrid w:val="0"/>
        <w:spacing w:before="312" w:beforeLines="100" w:after="312" w:afterLines="100"/>
        <w:ind w:left="210" w:leftChars="100" w:right="210" w:rightChars="100" w:firstLine="420" w:firstLineChars="200"/>
        <w:rPr>
          <w:rFonts w:ascii="宋体"/>
          <w:color w:val="000000"/>
          <w:u w:val="single"/>
        </w:rPr>
      </w:pPr>
    </w:p>
    <w:p w14:paraId="455E8708">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4852A9EF">
      <w:pPr>
        <w:spacing w:line="360" w:lineRule="auto"/>
        <w:rPr>
          <w:rFonts w:hint="eastAsia"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4F5C29BD">
      <w:pPr>
        <w:numPr>
          <w:ilvl w:val="0"/>
          <w:numId w:val="34"/>
        </w:numPr>
        <w:spacing w:line="360" w:lineRule="auto"/>
        <w:rPr>
          <w:rFonts w:hint="eastAsia" w:ascii="宋体" w:hAnsi="宋体"/>
          <w:color w:val="000000"/>
          <w:szCs w:val="21"/>
          <w:u w:val="single"/>
        </w:rPr>
      </w:pPr>
      <w:r>
        <w:rPr>
          <w:rFonts w:hint="eastAsia" w:ascii="宋体" w:hAnsi="宋体"/>
          <w:color w:val="000000"/>
          <w:szCs w:val="21"/>
        </w:rPr>
        <w:t>供应商名称：</w:t>
      </w:r>
    </w:p>
    <w:p w14:paraId="2A9EDD2F">
      <w:pPr>
        <w:numPr>
          <w:ilvl w:val="0"/>
          <w:numId w:val="34"/>
        </w:numPr>
        <w:spacing w:line="360" w:lineRule="auto"/>
        <w:rPr>
          <w:rFonts w:hint="eastAsia" w:ascii="宋体" w:hAnsi="宋体"/>
          <w:color w:val="000000"/>
          <w:szCs w:val="21"/>
        </w:rPr>
      </w:pPr>
      <w:r>
        <w:rPr>
          <w:rFonts w:hint="eastAsia" w:ascii="宋体" w:hAnsi="宋体"/>
          <w:color w:val="000000"/>
          <w:szCs w:val="21"/>
        </w:rPr>
        <w:t>总部地址：</w:t>
      </w:r>
    </w:p>
    <w:p w14:paraId="4D441E70">
      <w:pPr>
        <w:spacing w:line="360" w:lineRule="auto"/>
        <w:ind w:left="425"/>
        <w:rPr>
          <w:rFonts w:hint="eastAsia"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37F5326B">
      <w:pPr>
        <w:numPr>
          <w:ilvl w:val="0"/>
          <w:numId w:val="34"/>
        </w:numPr>
        <w:spacing w:line="360" w:lineRule="auto"/>
        <w:rPr>
          <w:rFonts w:hint="eastAsia"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3EE7A57D">
      <w:pPr>
        <w:numPr>
          <w:ilvl w:val="0"/>
          <w:numId w:val="34"/>
        </w:numPr>
        <w:spacing w:line="360" w:lineRule="auto"/>
        <w:rPr>
          <w:rFonts w:hint="eastAsia" w:ascii="宋体" w:hAnsi="宋体"/>
          <w:color w:val="000000"/>
          <w:szCs w:val="21"/>
        </w:rPr>
      </w:pPr>
      <w:r>
        <w:rPr>
          <w:rFonts w:hint="eastAsia" w:ascii="宋体" w:hAnsi="宋体"/>
          <w:color w:val="000000"/>
          <w:szCs w:val="21"/>
        </w:rPr>
        <w:t>实收资本：</w:t>
      </w:r>
    </w:p>
    <w:p w14:paraId="55447151">
      <w:pPr>
        <w:numPr>
          <w:ilvl w:val="0"/>
          <w:numId w:val="34"/>
        </w:numPr>
        <w:spacing w:line="360" w:lineRule="auto"/>
        <w:rPr>
          <w:rFonts w:hint="eastAsia" w:ascii="宋体" w:hAnsi="宋体"/>
          <w:color w:val="000000"/>
          <w:szCs w:val="21"/>
        </w:rPr>
      </w:pPr>
      <w:r>
        <w:rPr>
          <w:rFonts w:hint="eastAsia" w:ascii="宋体" w:hAnsi="宋体"/>
          <w:color w:val="000000"/>
          <w:szCs w:val="21"/>
        </w:rPr>
        <w:t>近期资产负债表（到年月日止）</w:t>
      </w:r>
    </w:p>
    <w:p w14:paraId="745A2702">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6F1508B2">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5CC61B4B">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53FB7147">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164192E5">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15D6E2B8">
      <w:pPr>
        <w:numPr>
          <w:ilvl w:val="0"/>
          <w:numId w:val="34"/>
        </w:numPr>
        <w:spacing w:line="360" w:lineRule="auto"/>
        <w:rPr>
          <w:rFonts w:hint="eastAsia" w:ascii="宋体" w:hAnsi="宋体"/>
          <w:color w:val="000000"/>
          <w:szCs w:val="21"/>
          <w:u w:val="single"/>
        </w:rPr>
      </w:pPr>
      <w:r>
        <w:rPr>
          <w:rFonts w:hint="eastAsia" w:ascii="宋体" w:hAnsi="宋体"/>
          <w:color w:val="000000"/>
          <w:szCs w:val="21"/>
        </w:rPr>
        <w:t>主要负责人名称：（可选填）</w:t>
      </w:r>
    </w:p>
    <w:p w14:paraId="4AC3710E">
      <w:pPr>
        <w:numPr>
          <w:ilvl w:val="0"/>
          <w:numId w:val="34"/>
        </w:numPr>
        <w:spacing w:line="360" w:lineRule="auto"/>
        <w:rPr>
          <w:rFonts w:hint="eastAsia" w:ascii="宋体" w:hAnsi="宋体"/>
          <w:color w:val="000000"/>
          <w:szCs w:val="21"/>
        </w:rPr>
      </w:pPr>
      <w:r>
        <w:rPr>
          <w:rFonts w:hint="eastAsia" w:ascii="宋体" w:hAnsi="宋体"/>
          <w:color w:val="000000"/>
          <w:szCs w:val="21"/>
        </w:rPr>
        <w:t>供应商在中国的代表的姓名和地址：（可选填）</w:t>
      </w:r>
    </w:p>
    <w:p w14:paraId="47D579A5">
      <w:pPr>
        <w:numPr>
          <w:ilvl w:val="0"/>
          <w:numId w:val="34"/>
        </w:numPr>
        <w:spacing w:line="360" w:lineRule="auto"/>
        <w:rPr>
          <w:rFonts w:hint="eastAsia"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2EC824A4">
      <w:pPr>
        <w:numPr>
          <w:ilvl w:val="0"/>
          <w:numId w:val="34"/>
        </w:numPr>
        <w:spacing w:line="360" w:lineRule="auto"/>
        <w:rPr>
          <w:rFonts w:hint="eastAsia"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4435C05A">
        <w:tblPrEx>
          <w:tblCellMar>
            <w:top w:w="0" w:type="dxa"/>
            <w:left w:w="108" w:type="dxa"/>
            <w:bottom w:w="0" w:type="dxa"/>
            <w:right w:w="108" w:type="dxa"/>
          </w:tblCellMar>
        </w:tblPrEx>
        <w:trPr>
          <w:jc w:val="center"/>
        </w:trPr>
        <w:tc>
          <w:tcPr>
            <w:tcW w:w="423" w:type="dxa"/>
          </w:tcPr>
          <w:p w14:paraId="3ACA7EB7">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1088" w:type="dxa"/>
          </w:tcPr>
          <w:p w14:paraId="4717CFB8">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561C7BEA">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39205641">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1B039686">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61FAAA28">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571777B0">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73EE3DA7">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0500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A9A93CA">
            <w:pPr>
              <w:tabs>
                <w:tab w:val="left" w:pos="930"/>
                <w:tab w:val="left" w:pos="8364"/>
              </w:tabs>
              <w:ind w:right="-58"/>
              <w:jc w:val="center"/>
              <w:rPr>
                <w:rFonts w:hint="eastAsia" w:ascii="宋体" w:hAnsi="宋体"/>
                <w:color w:val="000000"/>
                <w:spacing w:val="20"/>
                <w:szCs w:val="21"/>
              </w:rPr>
            </w:pPr>
          </w:p>
        </w:tc>
        <w:tc>
          <w:tcPr>
            <w:tcW w:w="1088" w:type="dxa"/>
          </w:tcPr>
          <w:p w14:paraId="066AFF3E">
            <w:pPr>
              <w:tabs>
                <w:tab w:val="left" w:pos="930"/>
                <w:tab w:val="left" w:pos="8364"/>
              </w:tabs>
              <w:ind w:right="-58"/>
              <w:rPr>
                <w:rFonts w:hint="eastAsia" w:ascii="宋体" w:hAnsi="宋体"/>
                <w:color w:val="000000"/>
                <w:spacing w:val="20"/>
                <w:szCs w:val="21"/>
              </w:rPr>
            </w:pPr>
          </w:p>
        </w:tc>
        <w:tc>
          <w:tcPr>
            <w:tcW w:w="3978" w:type="dxa"/>
          </w:tcPr>
          <w:p w14:paraId="77B123BB">
            <w:pPr>
              <w:tabs>
                <w:tab w:val="left" w:pos="930"/>
                <w:tab w:val="left" w:pos="8364"/>
              </w:tabs>
              <w:ind w:right="-58"/>
              <w:rPr>
                <w:rFonts w:hint="eastAsia" w:ascii="宋体" w:hAnsi="宋体"/>
                <w:color w:val="000000"/>
                <w:spacing w:val="20"/>
                <w:szCs w:val="21"/>
              </w:rPr>
            </w:pPr>
          </w:p>
        </w:tc>
        <w:tc>
          <w:tcPr>
            <w:tcW w:w="1155" w:type="dxa"/>
          </w:tcPr>
          <w:p w14:paraId="6CD470E0">
            <w:pPr>
              <w:tabs>
                <w:tab w:val="left" w:pos="930"/>
                <w:tab w:val="left" w:pos="8364"/>
              </w:tabs>
              <w:ind w:right="-58"/>
              <w:rPr>
                <w:rFonts w:hint="eastAsia" w:ascii="宋体" w:hAnsi="宋体"/>
                <w:color w:val="000000"/>
                <w:spacing w:val="20"/>
                <w:szCs w:val="21"/>
              </w:rPr>
            </w:pPr>
          </w:p>
        </w:tc>
        <w:tc>
          <w:tcPr>
            <w:tcW w:w="1072" w:type="dxa"/>
          </w:tcPr>
          <w:p w14:paraId="6D4A3210">
            <w:pPr>
              <w:tabs>
                <w:tab w:val="left" w:pos="930"/>
                <w:tab w:val="left" w:pos="8364"/>
              </w:tabs>
              <w:ind w:right="-58"/>
              <w:rPr>
                <w:rFonts w:hint="eastAsia" w:ascii="宋体" w:hAnsi="宋体"/>
                <w:color w:val="000000"/>
                <w:spacing w:val="20"/>
                <w:szCs w:val="21"/>
              </w:rPr>
            </w:pPr>
          </w:p>
        </w:tc>
        <w:tc>
          <w:tcPr>
            <w:tcW w:w="1066" w:type="dxa"/>
          </w:tcPr>
          <w:p w14:paraId="4BEA3511">
            <w:pPr>
              <w:tabs>
                <w:tab w:val="left" w:pos="930"/>
                <w:tab w:val="left" w:pos="8364"/>
              </w:tabs>
              <w:ind w:right="-58"/>
              <w:rPr>
                <w:rFonts w:hint="eastAsia" w:ascii="宋体" w:hAnsi="宋体"/>
                <w:color w:val="000000"/>
                <w:spacing w:val="20"/>
                <w:szCs w:val="21"/>
              </w:rPr>
            </w:pPr>
          </w:p>
        </w:tc>
      </w:tr>
      <w:tr w14:paraId="7236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601493FE">
            <w:pPr>
              <w:tabs>
                <w:tab w:val="left" w:pos="930"/>
                <w:tab w:val="left" w:pos="8364"/>
              </w:tabs>
              <w:ind w:right="-58"/>
              <w:jc w:val="center"/>
              <w:rPr>
                <w:rFonts w:hint="eastAsia" w:ascii="宋体" w:hAnsi="宋体"/>
                <w:color w:val="000000"/>
                <w:spacing w:val="20"/>
                <w:szCs w:val="21"/>
              </w:rPr>
            </w:pPr>
          </w:p>
        </w:tc>
        <w:tc>
          <w:tcPr>
            <w:tcW w:w="1088" w:type="dxa"/>
          </w:tcPr>
          <w:p w14:paraId="2500BE73">
            <w:pPr>
              <w:tabs>
                <w:tab w:val="left" w:pos="930"/>
                <w:tab w:val="left" w:pos="8364"/>
              </w:tabs>
              <w:ind w:right="-58"/>
              <w:rPr>
                <w:rFonts w:hint="eastAsia" w:ascii="宋体" w:hAnsi="宋体"/>
                <w:color w:val="000000"/>
                <w:spacing w:val="20"/>
                <w:szCs w:val="21"/>
              </w:rPr>
            </w:pPr>
          </w:p>
        </w:tc>
        <w:tc>
          <w:tcPr>
            <w:tcW w:w="3978" w:type="dxa"/>
          </w:tcPr>
          <w:p w14:paraId="3F989EAE">
            <w:pPr>
              <w:tabs>
                <w:tab w:val="left" w:pos="930"/>
                <w:tab w:val="left" w:pos="8364"/>
              </w:tabs>
              <w:ind w:right="-58"/>
              <w:rPr>
                <w:rFonts w:hint="eastAsia" w:ascii="宋体" w:hAnsi="宋体"/>
                <w:color w:val="000000"/>
                <w:spacing w:val="20"/>
                <w:szCs w:val="21"/>
              </w:rPr>
            </w:pPr>
          </w:p>
        </w:tc>
        <w:tc>
          <w:tcPr>
            <w:tcW w:w="1155" w:type="dxa"/>
          </w:tcPr>
          <w:p w14:paraId="07896306">
            <w:pPr>
              <w:tabs>
                <w:tab w:val="left" w:pos="930"/>
                <w:tab w:val="left" w:pos="8364"/>
              </w:tabs>
              <w:ind w:right="-58"/>
              <w:rPr>
                <w:rFonts w:hint="eastAsia" w:ascii="宋体" w:hAnsi="宋体"/>
                <w:color w:val="000000"/>
                <w:spacing w:val="20"/>
                <w:szCs w:val="21"/>
              </w:rPr>
            </w:pPr>
          </w:p>
        </w:tc>
        <w:tc>
          <w:tcPr>
            <w:tcW w:w="1072" w:type="dxa"/>
          </w:tcPr>
          <w:p w14:paraId="0B404AD5">
            <w:pPr>
              <w:tabs>
                <w:tab w:val="left" w:pos="930"/>
                <w:tab w:val="left" w:pos="8364"/>
              </w:tabs>
              <w:ind w:right="-58"/>
              <w:rPr>
                <w:rFonts w:hint="eastAsia" w:ascii="宋体" w:hAnsi="宋体"/>
                <w:color w:val="000000"/>
                <w:spacing w:val="20"/>
                <w:szCs w:val="21"/>
              </w:rPr>
            </w:pPr>
          </w:p>
        </w:tc>
        <w:tc>
          <w:tcPr>
            <w:tcW w:w="1066" w:type="dxa"/>
          </w:tcPr>
          <w:p w14:paraId="368BD063">
            <w:pPr>
              <w:tabs>
                <w:tab w:val="left" w:pos="930"/>
                <w:tab w:val="left" w:pos="8364"/>
              </w:tabs>
              <w:ind w:right="-58"/>
              <w:rPr>
                <w:rFonts w:hint="eastAsia" w:ascii="宋体" w:hAnsi="宋体"/>
                <w:color w:val="000000"/>
                <w:spacing w:val="20"/>
                <w:szCs w:val="21"/>
              </w:rPr>
            </w:pPr>
          </w:p>
        </w:tc>
      </w:tr>
      <w:tr w14:paraId="3D97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3D633A31">
            <w:pPr>
              <w:tabs>
                <w:tab w:val="left" w:pos="930"/>
                <w:tab w:val="left" w:pos="8364"/>
              </w:tabs>
              <w:ind w:right="-58"/>
              <w:jc w:val="center"/>
              <w:rPr>
                <w:rFonts w:hint="eastAsia" w:ascii="宋体" w:hAnsi="宋体"/>
                <w:color w:val="000000"/>
                <w:spacing w:val="20"/>
                <w:szCs w:val="21"/>
              </w:rPr>
            </w:pPr>
          </w:p>
        </w:tc>
        <w:tc>
          <w:tcPr>
            <w:tcW w:w="1088" w:type="dxa"/>
          </w:tcPr>
          <w:p w14:paraId="6DB8CAA4">
            <w:pPr>
              <w:tabs>
                <w:tab w:val="left" w:pos="930"/>
                <w:tab w:val="left" w:pos="8364"/>
              </w:tabs>
              <w:ind w:right="-58"/>
              <w:rPr>
                <w:rFonts w:hint="eastAsia" w:ascii="宋体" w:hAnsi="宋体"/>
                <w:color w:val="000000"/>
                <w:spacing w:val="20"/>
                <w:szCs w:val="21"/>
              </w:rPr>
            </w:pPr>
          </w:p>
        </w:tc>
        <w:tc>
          <w:tcPr>
            <w:tcW w:w="3978" w:type="dxa"/>
          </w:tcPr>
          <w:p w14:paraId="01CECDF5">
            <w:pPr>
              <w:tabs>
                <w:tab w:val="left" w:pos="930"/>
                <w:tab w:val="left" w:pos="8364"/>
              </w:tabs>
              <w:ind w:right="-58"/>
              <w:rPr>
                <w:rFonts w:hint="eastAsia" w:ascii="宋体" w:hAnsi="宋体"/>
                <w:color w:val="000000"/>
                <w:spacing w:val="20"/>
                <w:szCs w:val="21"/>
              </w:rPr>
            </w:pPr>
          </w:p>
        </w:tc>
        <w:tc>
          <w:tcPr>
            <w:tcW w:w="1155" w:type="dxa"/>
          </w:tcPr>
          <w:p w14:paraId="278EE66A">
            <w:pPr>
              <w:tabs>
                <w:tab w:val="left" w:pos="930"/>
                <w:tab w:val="left" w:pos="8364"/>
              </w:tabs>
              <w:ind w:right="-58"/>
              <w:rPr>
                <w:rFonts w:hint="eastAsia" w:ascii="宋体" w:hAnsi="宋体"/>
                <w:color w:val="000000"/>
                <w:spacing w:val="20"/>
                <w:szCs w:val="21"/>
              </w:rPr>
            </w:pPr>
          </w:p>
        </w:tc>
        <w:tc>
          <w:tcPr>
            <w:tcW w:w="1072" w:type="dxa"/>
          </w:tcPr>
          <w:p w14:paraId="032662A6">
            <w:pPr>
              <w:tabs>
                <w:tab w:val="left" w:pos="930"/>
                <w:tab w:val="left" w:pos="8364"/>
              </w:tabs>
              <w:ind w:right="-58"/>
              <w:rPr>
                <w:rFonts w:hint="eastAsia" w:ascii="宋体" w:hAnsi="宋体"/>
                <w:color w:val="000000"/>
                <w:spacing w:val="20"/>
                <w:szCs w:val="21"/>
              </w:rPr>
            </w:pPr>
          </w:p>
        </w:tc>
        <w:tc>
          <w:tcPr>
            <w:tcW w:w="1066" w:type="dxa"/>
          </w:tcPr>
          <w:p w14:paraId="4E1B9564">
            <w:pPr>
              <w:tabs>
                <w:tab w:val="left" w:pos="930"/>
                <w:tab w:val="left" w:pos="8364"/>
              </w:tabs>
              <w:ind w:right="-58"/>
              <w:rPr>
                <w:rFonts w:hint="eastAsia" w:ascii="宋体" w:hAnsi="宋体"/>
                <w:color w:val="000000"/>
                <w:spacing w:val="20"/>
                <w:szCs w:val="21"/>
              </w:rPr>
            </w:pPr>
          </w:p>
        </w:tc>
      </w:tr>
    </w:tbl>
    <w:p w14:paraId="64FD24B1">
      <w:pPr>
        <w:numPr>
          <w:ilvl w:val="0"/>
          <w:numId w:val="34"/>
        </w:numPr>
        <w:spacing w:line="360" w:lineRule="auto"/>
        <w:rPr>
          <w:rFonts w:hint="eastAsia" w:ascii="宋体" w:hAnsi="宋体"/>
          <w:color w:val="000000"/>
          <w:szCs w:val="21"/>
        </w:rPr>
      </w:pPr>
      <w:r>
        <w:rPr>
          <w:rFonts w:hint="eastAsia" w:ascii="宋体" w:hAnsi="宋体"/>
          <w:color w:val="000000"/>
          <w:szCs w:val="21"/>
        </w:rPr>
        <w:t>研发能力及人员配备：</w:t>
      </w:r>
    </w:p>
    <w:p w14:paraId="7151B6F0">
      <w:pPr>
        <w:spacing w:line="360" w:lineRule="auto"/>
        <w:ind w:left="425"/>
        <w:rPr>
          <w:rFonts w:hint="eastAsia" w:ascii="宋体" w:hAnsi="宋体"/>
          <w:color w:val="000000"/>
          <w:szCs w:val="21"/>
        </w:rPr>
      </w:pPr>
    </w:p>
    <w:p w14:paraId="3B92D9D7">
      <w:pPr>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7C448152">
      <w:pPr>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11AF3327">
      <w:pPr>
        <w:spacing w:line="360" w:lineRule="auto"/>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10F88A30">
      <w:pPr>
        <w:spacing w:line="360" w:lineRule="auto"/>
        <w:ind w:firstLine="420" w:firstLineChars="200"/>
        <w:rPr>
          <w:rFonts w:hint="eastAsia"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3A5D9DB7">
      <w:pPr>
        <w:tabs>
          <w:tab w:val="left" w:pos="2567"/>
        </w:tabs>
        <w:spacing w:line="360" w:lineRule="auto"/>
        <w:rPr>
          <w:rFonts w:hint="eastAsia" w:ascii="宋体" w:hAnsi="宋体"/>
          <w:color w:val="000000"/>
          <w:szCs w:val="21"/>
        </w:rPr>
      </w:pPr>
      <w:r>
        <w:rPr>
          <w:rFonts w:ascii="宋体" w:hAnsi="宋体"/>
          <w:color w:val="000000"/>
          <w:szCs w:val="21"/>
        </w:rPr>
        <w:tab/>
      </w:r>
    </w:p>
    <w:p w14:paraId="7A8A6F17">
      <w:pPr>
        <w:spacing w:line="360" w:lineRule="auto"/>
        <w:rPr>
          <w:rFonts w:hint="eastAsia" w:ascii="宋体" w:hAnsi="宋体"/>
          <w:color w:val="000000"/>
          <w:szCs w:val="21"/>
        </w:rPr>
      </w:pPr>
      <w:r>
        <w:rPr>
          <w:rFonts w:hint="eastAsia" w:ascii="宋体" w:hAnsi="宋体"/>
          <w:color w:val="000000"/>
          <w:szCs w:val="21"/>
        </w:rPr>
        <w:t>供应商名称（盖章）：</w:t>
      </w:r>
    </w:p>
    <w:p w14:paraId="5B6D7D25">
      <w:pPr>
        <w:spacing w:line="360" w:lineRule="auto"/>
        <w:rPr>
          <w:rFonts w:hint="eastAsia" w:ascii="宋体" w:hAnsi="宋体"/>
          <w:color w:val="000000"/>
          <w:szCs w:val="21"/>
        </w:rPr>
      </w:pPr>
      <w:r>
        <w:rPr>
          <w:rFonts w:hint="eastAsia" w:ascii="宋体" w:hAnsi="宋体"/>
          <w:color w:val="000000"/>
          <w:szCs w:val="21"/>
        </w:rPr>
        <w:t>签字人姓名和职务：</w:t>
      </w:r>
    </w:p>
    <w:p w14:paraId="51836058">
      <w:pPr>
        <w:spacing w:line="360" w:lineRule="auto"/>
        <w:rPr>
          <w:rFonts w:hint="eastAsia" w:ascii="宋体" w:hAnsi="宋体"/>
          <w:color w:val="000000"/>
          <w:szCs w:val="21"/>
        </w:rPr>
      </w:pPr>
      <w:r>
        <w:rPr>
          <w:rFonts w:hint="eastAsia" w:ascii="宋体" w:hAnsi="宋体"/>
          <w:color w:val="000000"/>
          <w:szCs w:val="21"/>
        </w:rPr>
        <w:t>签字人签字：</w:t>
      </w:r>
    </w:p>
    <w:p w14:paraId="1AB3435E">
      <w:pPr>
        <w:spacing w:line="360" w:lineRule="auto"/>
        <w:rPr>
          <w:rFonts w:hint="eastAsia" w:ascii="宋体" w:hAnsi="宋体"/>
          <w:color w:val="000000"/>
          <w:szCs w:val="21"/>
        </w:rPr>
      </w:pPr>
      <w:r>
        <w:rPr>
          <w:rFonts w:hint="eastAsia" w:ascii="宋体" w:hAnsi="宋体"/>
          <w:color w:val="000000"/>
          <w:szCs w:val="21"/>
        </w:rPr>
        <w:t>签字日期：</w:t>
      </w:r>
    </w:p>
    <w:p w14:paraId="216708B7">
      <w:pPr>
        <w:spacing w:line="360" w:lineRule="auto"/>
        <w:rPr>
          <w:rFonts w:hint="eastAsia" w:ascii="宋体" w:hAnsi="宋体"/>
          <w:color w:val="000000"/>
          <w:szCs w:val="21"/>
        </w:rPr>
      </w:pPr>
      <w:r>
        <w:rPr>
          <w:rFonts w:hint="eastAsia" w:ascii="宋体" w:hAnsi="宋体"/>
          <w:color w:val="000000"/>
          <w:szCs w:val="21"/>
        </w:rPr>
        <w:t>传真：</w:t>
      </w:r>
    </w:p>
    <w:p w14:paraId="3F777211">
      <w:pPr>
        <w:spacing w:line="360" w:lineRule="auto"/>
        <w:rPr>
          <w:rFonts w:hint="eastAsia" w:ascii="宋体" w:hAnsi="宋体"/>
          <w:color w:val="000000"/>
          <w:szCs w:val="21"/>
        </w:rPr>
      </w:pPr>
      <w:r>
        <w:rPr>
          <w:rFonts w:hint="eastAsia" w:ascii="宋体" w:hAnsi="宋体"/>
          <w:color w:val="000000"/>
          <w:szCs w:val="21"/>
        </w:rPr>
        <w:t>电话：</w:t>
      </w:r>
    </w:p>
    <w:p w14:paraId="12E47C0D">
      <w:pPr>
        <w:spacing w:line="360" w:lineRule="auto"/>
        <w:rPr>
          <w:rFonts w:hint="eastAsia" w:ascii="宋体" w:hAnsi="宋体"/>
          <w:color w:val="000000"/>
          <w:szCs w:val="21"/>
          <w:u w:val="single"/>
        </w:rPr>
      </w:pPr>
      <w:r>
        <w:rPr>
          <w:rFonts w:hint="eastAsia" w:ascii="宋体" w:hAnsi="宋体"/>
          <w:color w:val="000000"/>
          <w:szCs w:val="21"/>
        </w:rPr>
        <w:t>电子函件：</w:t>
      </w:r>
    </w:p>
    <w:p w14:paraId="783C9A46">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0B839261">
      <w:pPr>
        <w:pStyle w:val="4"/>
        <w:numPr>
          <w:ilvl w:val="0"/>
          <w:numId w:val="0"/>
        </w:numPr>
        <w:snapToGrid w:val="0"/>
        <w:spacing w:before="312" w:beforeLines="100" w:after="312" w:afterLines="100"/>
        <w:ind w:right="210" w:rightChars="100"/>
        <w:rPr>
          <w:rStyle w:val="113"/>
          <w:rFonts w:hint="eastAsia" w:hAnsi="宋体"/>
          <w:b w:val="0"/>
          <w:bCs/>
          <w:color w:val="000000"/>
          <w:sz w:val="24"/>
          <w:szCs w:val="24"/>
        </w:rPr>
      </w:pPr>
      <w:r>
        <w:rPr>
          <w:color w:val="000000"/>
          <w:szCs w:val="24"/>
          <w:u w:val="single"/>
        </w:rPr>
        <w:br w:type="page"/>
      </w:r>
      <w:bookmarkStart w:id="166" w:name="_Toc69378669"/>
      <w:bookmarkStart w:id="167" w:name="_Toc26259745"/>
      <w:bookmarkStart w:id="168" w:name="_Toc26260039"/>
      <w:r>
        <w:rPr>
          <w:rStyle w:val="113"/>
          <w:rFonts w:hint="eastAsia" w:hAnsi="宋体"/>
          <w:b w:val="0"/>
          <w:bCs w:val="0"/>
          <w:color w:val="000000"/>
          <w:sz w:val="24"/>
          <w:szCs w:val="24"/>
        </w:rPr>
        <w:t>附件</w:t>
      </w:r>
      <w:r>
        <w:rPr>
          <w:rStyle w:val="113"/>
          <w:rFonts w:hAnsi="宋体"/>
          <w:b w:val="0"/>
          <w:bCs w:val="0"/>
          <w:color w:val="000000"/>
          <w:sz w:val="24"/>
          <w:szCs w:val="24"/>
        </w:rPr>
        <w:t>8</w:t>
      </w:r>
      <w:r>
        <w:rPr>
          <w:rStyle w:val="113"/>
          <w:rFonts w:hint="eastAsia" w:hAnsi="宋体"/>
          <w:b w:val="0"/>
          <w:bCs w:val="0"/>
          <w:color w:val="000000"/>
          <w:sz w:val="24"/>
          <w:szCs w:val="24"/>
        </w:rPr>
        <w:t>：项目业绩及证明文件</w:t>
      </w:r>
      <w:bookmarkEnd w:id="166"/>
      <w:bookmarkEnd w:id="167"/>
      <w:bookmarkEnd w:id="168"/>
    </w:p>
    <w:tbl>
      <w:tblPr>
        <w:tblStyle w:val="58"/>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2AA5B720">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2D2BA85E">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6E03AF02">
            <w:pPr>
              <w:jc w:val="center"/>
              <w:rPr>
                <w:rFonts w:hint="eastAsia" w:ascii="宋体" w:hAnsi="宋体" w:cs="宋体"/>
                <w:b/>
                <w:bCs/>
                <w:color w:val="000000"/>
                <w:szCs w:val="21"/>
              </w:rPr>
            </w:pPr>
            <w:r>
              <w:rPr>
                <w:rFonts w:hint="eastAsia" w:ascii="宋体" w:hAnsi="宋体" w:cs="宋体"/>
                <w:b/>
                <w:bCs/>
                <w:color w:val="000000"/>
                <w:szCs w:val="21"/>
              </w:rPr>
              <w:t>项目</w:t>
            </w:r>
          </w:p>
          <w:p w14:paraId="3B722A6C">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21D1F3BE">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E79097C">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6641BA9E">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2282609B">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226AED7C">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7D4C8A97">
            <w:pPr>
              <w:jc w:val="center"/>
              <w:rPr>
                <w:rFonts w:hint="eastAsia" w:ascii="宋体" w:hAnsi="宋体" w:cs="宋体"/>
                <w:b/>
                <w:bCs/>
                <w:color w:val="000000"/>
                <w:szCs w:val="21"/>
              </w:rPr>
            </w:pPr>
            <w:r>
              <w:rPr>
                <w:rFonts w:hint="eastAsia" w:ascii="宋体" w:hAnsi="宋体" w:cs="宋体"/>
                <w:b/>
                <w:bCs/>
                <w:color w:val="000000"/>
                <w:szCs w:val="21"/>
              </w:rPr>
              <w:t>项目规模</w:t>
            </w:r>
          </w:p>
          <w:p w14:paraId="392075FC">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1AC1AB26">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0B3B8280">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55AE23FC">
            <w:pPr>
              <w:jc w:val="center"/>
              <w:rPr>
                <w:rFonts w:hint="eastAsia"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3931D2E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6CCD9101">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512E552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006C47B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3B7B5AB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1CAD39E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311ACAE1">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370D299E">
            <w:pPr>
              <w:jc w:val="center"/>
              <w:rPr>
                <w:rFonts w:hint="eastAsia" w:ascii="宋体" w:hAnsi="宋体" w:cs="宋体"/>
                <w:color w:val="000000"/>
                <w:szCs w:val="21"/>
              </w:rPr>
            </w:pPr>
          </w:p>
        </w:tc>
      </w:tr>
      <w:tr w14:paraId="6E30E0A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BEE8935">
            <w:pPr>
              <w:jc w:val="center"/>
              <w:rPr>
                <w:rFonts w:hint="eastAsia"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5FF902B">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4C8794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06F6B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DD80C3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9A314E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EE7492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E725B0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B9FCA15">
            <w:pPr>
              <w:jc w:val="center"/>
              <w:rPr>
                <w:rFonts w:hint="eastAsia" w:ascii="宋体" w:hAnsi="宋体" w:cs="宋体"/>
                <w:color w:val="000000"/>
                <w:szCs w:val="21"/>
              </w:rPr>
            </w:pPr>
          </w:p>
        </w:tc>
      </w:tr>
      <w:tr w14:paraId="048F1DA3">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0A43351">
            <w:pPr>
              <w:jc w:val="center"/>
              <w:rPr>
                <w:rFonts w:hint="eastAsia"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093722C">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21B6A5F">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91ECE8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19C951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33A4CD2">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917B56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BEF5243">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9955258">
            <w:pPr>
              <w:jc w:val="center"/>
              <w:rPr>
                <w:rFonts w:hint="eastAsia" w:ascii="宋体" w:hAnsi="宋体" w:cs="宋体"/>
                <w:color w:val="000000"/>
                <w:szCs w:val="21"/>
              </w:rPr>
            </w:pPr>
          </w:p>
        </w:tc>
      </w:tr>
      <w:tr w14:paraId="5F9ABDC4">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009F5BC">
            <w:pPr>
              <w:jc w:val="center"/>
              <w:rPr>
                <w:rFonts w:hint="eastAsia"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27D7739">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025546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027F1C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F6BC61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89BDE1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4CAB960">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A492D91">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D86363C">
            <w:pPr>
              <w:jc w:val="center"/>
              <w:rPr>
                <w:rFonts w:hint="eastAsia" w:ascii="宋体" w:hAnsi="宋体" w:cs="宋体"/>
                <w:color w:val="000000"/>
                <w:szCs w:val="21"/>
              </w:rPr>
            </w:pPr>
          </w:p>
        </w:tc>
      </w:tr>
      <w:tr w14:paraId="53B1580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6985E9D">
            <w:pPr>
              <w:jc w:val="center"/>
              <w:rPr>
                <w:rFonts w:hint="eastAsia"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FB6ECB9">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9DEDA48">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DF16190">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D29B36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AB2E78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2563F3">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72844A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EF227FB">
            <w:pPr>
              <w:jc w:val="center"/>
              <w:rPr>
                <w:rFonts w:hint="eastAsia" w:ascii="宋体" w:hAnsi="宋体" w:cs="宋体"/>
                <w:color w:val="000000"/>
                <w:szCs w:val="21"/>
              </w:rPr>
            </w:pPr>
            <w:r>
              <w:rPr>
                <w:rFonts w:hint="eastAsia" w:ascii="宋体" w:hAnsi="宋体" w:cs="宋体"/>
                <w:color w:val="000000"/>
                <w:szCs w:val="21"/>
              </w:rPr>
              <w:t>　</w:t>
            </w:r>
          </w:p>
        </w:tc>
      </w:tr>
      <w:tr w14:paraId="6B780E6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92A95FF">
            <w:pPr>
              <w:jc w:val="center"/>
              <w:rPr>
                <w:rFonts w:hint="eastAsia"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DD6054">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A288ACC">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97683C4">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E4512F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DFC925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F6D3AC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7079BCC">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F155BBB">
            <w:pPr>
              <w:jc w:val="center"/>
              <w:rPr>
                <w:rFonts w:hint="eastAsia" w:ascii="宋体" w:hAnsi="宋体" w:cs="宋体"/>
                <w:color w:val="000000"/>
                <w:szCs w:val="21"/>
              </w:rPr>
            </w:pPr>
            <w:r>
              <w:rPr>
                <w:rFonts w:hint="eastAsia" w:ascii="宋体" w:hAnsi="宋体" w:cs="宋体"/>
                <w:color w:val="000000"/>
                <w:szCs w:val="21"/>
              </w:rPr>
              <w:t>　</w:t>
            </w:r>
          </w:p>
        </w:tc>
      </w:tr>
      <w:tr w14:paraId="74799DC1">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A77307C">
            <w:pPr>
              <w:jc w:val="center"/>
              <w:rPr>
                <w:rFonts w:hint="eastAsia"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CB0584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F80B030">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7CF8148">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6017CD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C7504E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58855B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E62089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C7253E8">
            <w:pPr>
              <w:jc w:val="center"/>
              <w:rPr>
                <w:rFonts w:hint="eastAsia" w:ascii="宋体" w:hAnsi="宋体" w:cs="宋体"/>
                <w:color w:val="000000"/>
                <w:szCs w:val="21"/>
              </w:rPr>
            </w:pPr>
            <w:r>
              <w:rPr>
                <w:rFonts w:hint="eastAsia" w:ascii="宋体" w:hAnsi="宋体" w:cs="宋体"/>
                <w:color w:val="000000"/>
                <w:szCs w:val="21"/>
              </w:rPr>
              <w:t>　</w:t>
            </w:r>
          </w:p>
        </w:tc>
      </w:tr>
      <w:tr w14:paraId="4641BD2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9163C59">
            <w:pPr>
              <w:jc w:val="center"/>
              <w:rPr>
                <w:rFonts w:hint="eastAsia"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07FD32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6E7171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DAE9EF9">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FB7447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2AC519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42EFB9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AD8B5F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168C69B">
            <w:pPr>
              <w:jc w:val="center"/>
              <w:rPr>
                <w:rFonts w:hint="eastAsia" w:ascii="宋体" w:hAnsi="宋体" w:cs="宋体"/>
                <w:color w:val="000000"/>
                <w:szCs w:val="21"/>
              </w:rPr>
            </w:pPr>
            <w:r>
              <w:rPr>
                <w:rFonts w:hint="eastAsia" w:ascii="宋体" w:hAnsi="宋体" w:cs="宋体"/>
                <w:color w:val="000000"/>
                <w:szCs w:val="21"/>
              </w:rPr>
              <w:t>　</w:t>
            </w:r>
          </w:p>
        </w:tc>
      </w:tr>
      <w:tr w14:paraId="4CB3D25D">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E092B29">
            <w:pPr>
              <w:jc w:val="center"/>
              <w:rPr>
                <w:rFonts w:hint="eastAsia"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F8BA4D3">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78E50BDB">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22FAA0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575754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003C78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E6C7E0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0501EA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6B477B3">
            <w:pPr>
              <w:jc w:val="center"/>
              <w:rPr>
                <w:rFonts w:hint="eastAsia" w:ascii="宋体" w:hAnsi="宋体" w:cs="宋体"/>
                <w:color w:val="000000"/>
                <w:szCs w:val="21"/>
              </w:rPr>
            </w:pPr>
            <w:r>
              <w:rPr>
                <w:rFonts w:hint="eastAsia" w:ascii="宋体" w:hAnsi="宋体" w:cs="宋体"/>
                <w:color w:val="000000"/>
                <w:szCs w:val="21"/>
              </w:rPr>
              <w:t>　</w:t>
            </w:r>
          </w:p>
        </w:tc>
      </w:tr>
      <w:tr w14:paraId="21118F87">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55A9C72C">
            <w:pPr>
              <w:jc w:val="center"/>
              <w:rPr>
                <w:rFonts w:hint="eastAsia"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D8D21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71C746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A202173">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6A27E1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6DCB2E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69BCB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4D5792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3F72ECC5">
            <w:pPr>
              <w:jc w:val="center"/>
              <w:rPr>
                <w:rFonts w:hint="eastAsia" w:ascii="宋体" w:hAnsi="宋体" w:cs="宋体"/>
                <w:color w:val="000000"/>
                <w:szCs w:val="21"/>
              </w:rPr>
            </w:pPr>
            <w:r>
              <w:rPr>
                <w:rFonts w:hint="eastAsia" w:ascii="宋体" w:hAnsi="宋体" w:cs="宋体"/>
                <w:color w:val="000000"/>
                <w:szCs w:val="21"/>
              </w:rPr>
              <w:t>　</w:t>
            </w:r>
          </w:p>
        </w:tc>
      </w:tr>
      <w:tr w14:paraId="691098C2">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70A79DF">
            <w:pPr>
              <w:jc w:val="center"/>
              <w:rPr>
                <w:rFonts w:hint="eastAsia"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0A6C60D1">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55BFF792">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50821AAE">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514A79D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2E8AF9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2C29801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50989E21">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3DF1CBEA">
            <w:pPr>
              <w:jc w:val="center"/>
              <w:rPr>
                <w:rFonts w:hint="eastAsia" w:ascii="宋体" w:hAnsi="宋体" w:cs="宋体"/>
                <w:color w:val="000000"/>
                <w:szCs w:val="21"/>
              </w:rPr>
            </w:pPr>
            <w:r>
              <w:rPr>
                <w:rFonts w:hint="eastAsia" w:ascii="宋体" w:hAnsi="宋体" w:cs="宋体"/>
                <w:color w:val="000000"/>
                <w:szCs w:val="21"/>
              </w:rPr>
              <w:t>　</w:t>
            </w:r>
          </w:p>
        </w:tc>
      </w:tr>
      <w:tr w14:paraId="5793AA0F">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46EF0DC">
            <w:pPr>
              <w:jc w:val="center"/>
              <w:rPr>
                <w:rFonts w:hint="eastAsia"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1D5EFE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E74EF8">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2E78A3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FA89991">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E5ADB7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F494AF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CCF02F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4915D9C">
            <w:pPr>
              <w:jc w:val="center"/>
              <w:rPr>
                <w:rFonts w:hint="eastAsia" w:ascii="宋体" w:hAnsi="宋体" w:cs="宋体"/>
                <w:color w:val="000000"/>
                <w:szCs w:val="21"/>
              </w:rPr>
            </w:pPr>
            <w:r>
              <w:rPr>
                <w:rFonts w:hint="eastAsia" w:ascii="宋体" w:hAnsi="宋体" w:cs="宋体"/>
                <w:color w:val="000000"/>
                <w:szCs w:val="21"/>
              </w:rPr>
              <w:t>　</w:t>
            </w:r>
          </w:p>
        </w:tc>
      </w:tr>
      <w:tr w14:paraId="018A73C3">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ABFB549">
            <w:pPr>
              <w:jc w:val="center"/>
              <w:rPr>
                <w:rFonts w:hint="eastAsia"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1B7BBF4">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1C1162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8EAC8D5">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A5C8B3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02F02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E721BC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5C9BC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60E33953">
            <w:pPr>
              <w:jc w:val="center"/>
              <w:rPr>
                <w:rFonts w:hint="eastAsia" w:ascii="宋体" w:hAnsi="宋体" w:cs="宋体"/>
                <w:color w:val="000000"/>
                <w:szCs w:val="21"/>
              </w:rPr>
            </w:pPr>
            <w:r>
              <w:rPr>
                <w:rFonts w:hint="eastAsia" w:ascii="宋体" w:hAnsi="宋体" w:cs="宋体"/>
                <w:color w:val="000000"/>
                <w:szCs w:val="21"/>
              </w:rPr>
              <w:t>　</w:t>
            </w:r>
          </w:p>
        </w:tc>
      </w:tr>
      <w:tr w14:paraId="7FF25536">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3E71D3D">
            <w:pPr>
              <w:jc w:val="center"/>
              <w:rPr>
                <w:rFonts w:hint="eastAsia"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5E03328">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EB1E00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54569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8E4102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8C7FFEE">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189E7F8">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6EB3A11">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0B7DCF7">
            <w:pPr>
              <w:jc w:val="center"/>
              <w:rPr>
                <w:rFonts w:hint="eastAsia" w:ascii="宋体" w:hAnsi="宋体" w:cs="宋体"/>
                <w:color w:val="000000"/>
                <w:szCs w:val="21"/>
              </w:rPr>
            </w:pPr>
            <w:r>
              <w:rPr>
                <w:rFonts w:hint="eastAsia" w:ascii="宋体" w:hAnsi="宋体" w:cs="宋体"/>
                <w:color w:val="000000"/>
                <w:szCs w:val="21"/>
              </w:rPr>
              <w:t>　</w:t>
            </w:r>
          </w:p>
        </w:tc>
      </w:tr>
      <w:tr w14:paraId="584A3A9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47E08575">
            <w:pPr>
              <w:jc w:val="center"/>
              <w:rPr>
                <w:rFonts w:hint="eastAsia"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CF9364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336231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D7E960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5AA8DC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5DFB7A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819B59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543642">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E8AA147">
            <w:pPr>
              <w:jc w:val="center"/>
              <w:rPr>
                <w:rFonts w:hint="eastAsia" w:ascii="宋体" w:hAnsi="宋体" w:cs="宋体"/>
                <w:color w:val="000000"/>
                <w:szCs w:val="21"/>
              </w:rPr>
            </w:pPr>
            <w:r>
              <w:rPr>
                <w:rFonts w:hint="eastAsia" w:ascii="宋体" w:hAnsi="宋体" w:cs="宋体"/>
                <w:color w:val="000000"/>
                <w:szCs w:val="21"/>
              </w:rPr>
              <w:t>　</w:t>
            </w:r>
          </w:p>
        </w:tc>
      </w:tr>
      <w:tr w14:paraId="6BCEA86F">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4F967C97">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08A1367B">
            <w:pPr>
              <w:jc w:val="center"/>
              <w:rPr>
                <w:rFonts w:hint="eastAsia"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268C918C">
            <w:pPr>
              <w:jc w:val="center"/>
              <w:rPr>
                <w:rFonts w:hint="eastAsia" w:ascii="宋体" w:hAnsi="宋体" w:cs="宋体"/>
                <w:b/>
                <w:bCs/>
                <w:color w:val="000000"/>
                <w:szCs w:val="21"/>
              </w:rPr>
            </w:pPr>
          </w:p>
        </w:tc>
      </w:tr>
    </w:tbl>
    <w:p w14:paraId="55BD3565">
      <w:pPr>
        <w:spacing w:line="480" w:lineRule="auto"/>
        <w:rPr>
          <w:color w:val="000000"/>
        </w:rPr>
      </w:pPr>
    </w:p>
    <w:p w14:paraId="2657033B">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58EB9DCD">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66560216">
      <w:pPr>
        <w:spacing w:line="480" w:lineRule="auto"/>
        <w:rPr>
          <w:rStyle w:val="113"/>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69"/>
      <w:bookmarkEnd w:id="149"/>
      <w:bookmarkEnd w:id="150"/>
      <w:bookmarkEnd w:id="151"/>
    </w:p>
    <w:p w14:paraId="6D75F105">
      <w:pPr>
        <w:rPr>
          <w:color w:val="000000"/>
        </w:rPr>
      </w:pPr>
    </w:p>
    <w:p w14:paraId="3E18C7C9">
      <w:pPr>
        <w:rPr>
          <w:rStyle w:val="113"/>
          <w:rFonts w:hint="eastAsia" w:hAnsi="宋体"/>
          <w:b w:val="0"/>
          <w:bCs w:val="0"/>
          <w:color w:val="000000"/>
          <w:sz w:val="24"/>
          <w:szCs w:val="24"/>
        </w:rPr>
      </w:pPr>
      <w:r>
        <w:rPr>
          <w:color w:val="000000"/>
        </w:rPr>
        <w:br w:type="page"/>
      </w:r>
      <w:r>
        <w:rPr>
          <w:rStyle w:val="113"/>
          <w:rFonts w:hint="eastAsia" w:hAnsi="宋体"/>
          <w:b w:val="0"/>
          <w:bCs w:val="0"/>
          <w:color w:val="000000"/>
          <w:sz w:val="24"/>
          <w:szCs w:val="24"/>
        </w:rPr>
        <w:t>附件</w:t>
      </w:r>
      <w:r>
        <w:rPr>
          <w:rStyle w:val="113"/>
          <w:rFonts w:hAnsi="宋体"/>
          <w:b w:val="0"/>
          <w:bCs w:val="0"/>
          <w:color w:val="000000"/>
          <w:sz w:val="24"/>
          <w:szCs w:val="24"/>
        </w:rPr>
        <w:t>9</w:t>
      </w:r>
      <w:r>
        <w:rPr>
          <w:rStyle w:val="113"/>
          <w:rFonts w:hint="eastAsia" w:hAnsi="宋体"/>
          <w:b w:val="0"/>
          <w:bCs w:val="0"/>
          <w:color w:val="000000"/>
          <w:sz w:val="24"/>
          <w:szCs w:val="24"/>
        </w:rPr>
        <w:t>：供应商承诺函</w:t>
      </w:r>
    </w:p>
    <w:p w14:paraId="2FCF8721">
      <w:pPr>
        <w:pStyle w:val="3"/>
        <w:numPr>
          <w:ilvl w:val="0"/>
          <w:numId w:val="0"/>
        </w:numPr>
        <w:spacing w:before="0" w:after="0" w:line="360" w:lineRule="auto"/>
        <w:rPr>
          <w:color w:val="000000"/>
          <w:sz w:val="52"/>
          <w:szCs w:val="52"/>
        </w:rPr>
      </w:pPr>
      <w:r>
        <w:rPr>
          <w:rStyle w:val="113"/>
          <w:rFonts w:hAnsi="宋体"/>
          <w:b w:val="0"/>
          <w:bCs w:val="0"/>
          <w:color w:val="000000"/>
          <w:sz w:val="24"/>
          <w:szCs w:val="24"/>
        </w:rPr>
        <w:br w:type="page"/>
      </w:r>
      <w:r>
        <w:rPr>
          <w:rFonts w:hint="eastAsia"/>
          <w:b/>
          <w:color w:val="000000"/>
          <w:sz w:val="36"/>
          <w:szCs w:val="36"/>
        </w:rPr>
        <w:t>第七章  其他</w:t>
      </w:r>
    </w:p>
    <w:p w14:paraId="24B610BA">
      <w:pPr>
        <w:widowControl/>
        <w:jc w:val="left"/>
        <w:rPr>
          <w:b/>
          <w:color w:val="000000"/>
          <w:sz w:val="24"/>
        </w:rPr>
      </w:pPr>
      <w:bookmarkStart w:id="169"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69"/>
    </w:p>
    <w:tbl>
      <w:tblPr>
        <w:tblStyle w:val="58"/>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7038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3073341A">
            <w:pPr>
              <w:spacing w:before="156" w:beforeLines="50" w:after="312" w:afterLines="100"/>
              <w:jc w:val="center"/>
              <w:rPr>
                <w:rFonts w:eastAsia="黑体"/>
                <w:color w:val="000000"/>
                <w:sz w:val="32"/>
                <w:szCs w:val="32"/>
                <w:u w:val="single"/>
              </w:rPr>
            </w:pPr>
          </w:p>
          <w:p w14:paraId="7B9076A3">
            <w:pPr>
              <w:jc w:val="center"/>
              <w:rPr>
                <w:rFonts w:eastAsia="黑体"/>
                <w:color w:val="000000"/>
                <w:sz w:val="32"/>
                <w:szCs w:val="32"/>
              </w:rPr>
            </w:pPr>
            <w:r>
              <w:rPr>
                <w:rFonts w:hint="eastAsia" w:eastAsia="黑体"/>
                <w:color w:val="000000"/>
                <w:sz w:val="32"/>
                <w:szCs w:val="32"/>
              </w:rPr>
              <w:t>江苏省广电有线信息网络股份有限公司</w:t>
            </w:r>
          </w:p>
          <w:p w14:paraId="18A2387B">
            <w:pPr>
              <w:jc w:val="center"/>
              <w:rPr>
                <w:rFonts w:eastAsia="黑体"/>
                <w:color w:val="000000"/>
                <w:sz w:val="32"/>
                <w:szCs w:val="32"/>
              </w:rPr>
            </w:pPr>
            <w:r>
              <w:rPr>
                <w:rFonts w:hint="eastAsia" w:eastAsia="黑体"/>
                <w:color w:val="000000"/>
                <w:sz w:val="32"/>
                <w:szCs w:val="32"/>
              </w:rPr>
              <w:t>XXX项目</w:t>
            </w:r>
          </w:p>
          <w:p w14:paraId="57D6B3EF">
            <w:pPr>
              <w:spacing w:before="312" w:beforeLines="100" w:after="312" w:afterLines="100"/>
              <w:jc w:val="center"/>
              <w:rPr>
                <w:rFonts w:eastAsia="黑体"/>
                <w:color w:val="000000"/>
                <w:sz w:val="28"/>
                <w:szCs w:val="28"/>
              </w:rPr>
            </w:pPr>
          </w:p>
          <w:p w14:paraId="5C332E79">
            <w:pPr>
              <w:pStyle w:val="2"/>
              <w:spacing w:before="312" w:beforeLines="100" w:after="312" w:afterLines="100"/>
              <w:jc w:val="center"/>
              <w:rPr>
                <w:rFonts w:eastAsia="黑体"/>
                <w:color w:val="000000"/>
                <w:szCs w:val="28"/>
              </w:rPr>
            </w:pPr>
          </w:p>
          <w:p w14:paraId="438CF330">
            <w:pPr>
              <w:pStyle w:val="2"/>
              <w:rPr>
                <w:color w:val="000000"/>
              </w:rPr>
            </w:pPr>
          </w:p>
          <w:p w14:paraId="3298DAB4">
            <w:pPr>
              <w:rPr>
                <w:color w:val="000000"/>
              </w:rPr>
            </w:pPr>
          </w:p>
          <w:p w14:paraId="6104DF9C">
            <w:pPr>
              <w:jc w:val="center"/>
              <w:rPr>
                <w:rFonts w:eastAsia="黑体"/>
                <w:color w:val="000000"/>
                <w:sz w:val="52"/>
                <w:szCs w:val="36"/>
              </w:rPr>
            </w:pPr>
            <w:r>
              <w:rPr>
                <w:rFonts w:hint="eastAsia" w:eastAsia="黑体"/>
                <w:color w:val="000000"/>
                <w:sz w:val="52"/>
                <w:szCs w:val="36"/>
              </w:rPr>
              <w:t>响应文件</w:t>
            </w:r>
          </w:p>
          <w:p w14:paraId="4E9B1EE3">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D73D01F">
            <w:pPr>
              <w:spacing w:before="312" w:beforeLines="100" w:after="312" w:afterLines="100"/>
              <w:jc w:val="center"/>
              <w:rPr>
                <w:rFonts w:eastAsia="黑体"/>
                <w:color w:val="000000"/>
                <w:sz w:val="52"/>
                <w:szCs w:val="36"/>
              </w:rPr>
            </w:pPr>
          </w:p>
          <w:p w14:paraId="4404CF85">
            <w:pPr>
              <w:pStyle w:val="2"/>
              <w:spacing w:before="312" w:beforeLines="100" w:after="312" w:afterLines="100"/>
              <w:jc w:val="center"/>
              <w:rPr>
                <w:rFonts w:eastAsia="黑体"/>
                <w:color w:val="000000"/>
                <w:sz w:val="52"/>
                <w:szCs w:val="36"/>
              </w:rPr>
            </w:pPr>
          </w:p>
          <w:p w14:paraId="73C1CBD3">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077F4AA8">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6486B5EF">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1C1CCB5F">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49E57FFA">
      <w:pPr>
        <w:rPr>
          <w:color w:val="000000"/>
          <w:kern w:val="11"/>
          <w:sz w:val="24"/>
        </w:rPr>
      </w:pPr>
    </w:p>
    <w:p w14:paraId="381C483F">
      <w:pPr>
        <w:widowControl/>
        <w:jc w:val="left"/>
        <w:rPr>
          <w:color w:val="000000"/>
        </w:rPr>
      </w:pPr>
    </w:p>
    <w:p w14:paraId="710129AF">
      <w:pPr>
        <w:widowControl/>
        <w:spacing w:line="360" w:lineRule="auto"/>
        <w:jc w:val="left"/>
        <w:rPr>
          <w:color w:val="000000"/>
          <w:kern w:val="11"/>
          <w:sz w:val="24"/>
        </w:rPr>
      </w:pPr>
      <w:r>
        <w:rPr>
          <w:color w:val="000000"/>
          <w:kern w:val="11"/>
          <w:sz w:val="24"/>
        </w:rPr>
        <w:br w:type="page"/>
      </w:r>
    </w:p>
    <w:p w14:paraId="017F356B">
      <w:pPr>
        <w:widowControl/>
        <w:jc w:val="left"/>
        <w:rPr>
          <w:color w:val="000000"/>
          <w:sz w:val="24"/>
        </w:rPr>
      </w:pPr>
      <w:r>
        <w:rPr>
          <w:rFonts w:hint="eastAsia"/>
          <w:b/>
          <w:color w:val="000000"/>
          <w:sz w:val="24"/>
        </w:rPr>
        <w:t>响应文件电子版</w:t>
      </w:r>
      <w:r>
        <w:rPr>
          <w:b/>
          <w:color w:val="000000"/>
          <w:sz w:val="24"/>
        </w:rPr>
        <w:t>封套格式如下：</w:t>
      </w:r>
    </w:p>
    <w:tbl>
      <w:tblPr>
        <w:tblStyle w:val="58"/>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5F3A8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7E5E41B6">
            <w:pPr>
              <w:spacing w:before="156" w:beforeLines="50" w:after="312" w:afterLines="100"/>
              <w:jc w:val="center"/>
              <w:rPr>
                <w:rFonts w:eastAsia="黑体"/>
                <w:color w:val="000000"/>
                <w:sz w:val="32"/>
                <w:szCs w:val="32"/>
                <w:u w:val="single"/>
              </w:rPr>
            </w:pPr>
          </w:p>
          <w:p w14:paraId="24DE6B43">
            <w:pPr>
              <w:jc w:val="center"/>
              <w:rPr>
                <w:rFonts w:eastAsia="黑体"/>
                <w:color w:val="000000"/>
                <w:sz w:val="32"/>
                <w:szCs w:val="32"/>
              </w:rPr>
            </w:pPr>
            <w:r>
              <w:rPr>
                <w:rFonts w:hint="eastAsia" w:eastAsia="黑体"/>
                <w:color w:val="000000"/>
                <w:sz w:val="32"/>
                <w:szCs w:val="32"/>
              </w:rPr>
              <w:t>江苏省广电有线信息网络股份有限公司</w:t>
            </w:r>
          </w:p>
          <w:p w14:paraId="7F1CEE6C">
            <w:pPr>
              <w:jc w:val="center"/>
              <w:rPr>
                <w:rFonts w:eastAsia="黑体"/>
                <w:color w:val="000000"/>
                <w:sz w:val="32"/>
                <w:szCs w:val="32"/>
              </w:rPr>
            </w:pPr>
            <w:r>
              <w:rPr>
                <w:rFonts w:hint="eastAsia" w:eastAsia="黑体"/>
                <w:color w:val="000000"/>
                <w:sz w:val="32"/>
                <w:szCs w:val="32"/>
              </w:rPr>
              <w:t>XXX项目</w:t>
            </w:r>
          </w:p>
          <w:p w14:paraId="2435F900">
            <w:pPr>
              <w:jc w:val="center"/>
              <w:rPr>
                <w:rFonts w:eastAsia="黑体"/>
                <w:color w:val="000000"/>
                <w:sz w:val="28"/>
                <w:szCs w:val="28"/>
              </w:rPr>
            </w:pPr>
          </w:p>
          <w:p w14:paraId="79F87644">
            <w:pPr>
              <w:pStyle w:val="2"/>
              <w:jc w:val="center"/>
              <w:rPr>
                <w:rFonts w:eastAsia="黑体"/>
                <w:color w:val="000000"/>
                <w:szCs w:val="28"/>
                <w:u w:val="single"/>
              </w:rPr>
            </w:pPr>
          </w:p>
          <w:p w14:paraId="18658E27">
            <w:pPr>
              <w:spacing w:before="312" w:beforeLines="100" w:after="312" w:afterLines="100"/>
              <w:jc w:val="center"/>
              <w:rPr>
                <w:rFonts w:eastAsia="黑体"/>
                <w:color w:val="000000"/>
                <w:sz w:val="52"/>
                <w:szCs w:val="36"/>
              </w:rPr>
            </w:pPr>
          </w:p>
          <w:p w14:paraId="22B5E561">
            <w:pPr>
              <w:jc w:val="center"/>
              <w:rPr>
                <w:rFonts w:eastAsia="黑体"/>
                <w:color w:val="000000"/>
                <w:sz w:val="52"/>
                <w:szCs w:val="36"/>
              </w:rPr>
            </w:pPr>
            <w:r>
              <w:rPr>
                <w:rFonts w:hint="eastAsia" w:eastAsia="黑体"/>
                <w:color w:val="000000"/>
                <w:sz w:val="52"/>
                <w:szCs w:val="36"/>
              </w:rPr>
              <w:t>响应文件电子版</w:t>
            </w:r>
          </w:p>
          <w:p w14:paraId="45014C68">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42091780">
            <w:pPr>
              <w:jc w:val="center"/>
              <w:rPr>
                <w:rFonts w:eastAsia="黑体"/>
                <w:b/>
                <w:bCs/>
                <w:color w:val="000000"/>
                <w:sz w:val="44"/>
                <w:szCs w:val="44"/>
                <w:lang w:eastAsia="zh-TW"/>
              </w:rPr>
            </w:pPr>
          </w:p>
          <w:p w14:paraId="688EA145">
            <w:pPr>
              <w:spacing w:before="312" w:beforeLines="100" w:after="312" w:afterLines="100"/>
              <w:jc w:val="center"/>
              <w:rPr>
                <w:rFonts w:eastAsia="黑体"/>
                <w:color w:val="000000"/>
                <w:sz w:val="52"/>
                <w:szCs w:val="36"/>
              </w:rPr>
            </w:pPr>
          </w:p>
          <w:p w14:paraId="7D2ACBDC">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126FB5A0">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384D9893">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334CC7AD">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1D979C5C">
      <w:pPr>
        <w:rPr>
          <w:color w:val="000000"/>
          <w:kern w:val="11"/>
          <w:sz w:val="24"/>
        </w:rPr>
      </w:pPr>
    </w:p>
    <w:p w14:paraId="59FDD86E">
      <w:pPr>
        <w:widowControl/>
        <w:jc w:val="left"/>
        <w:rPr>
          <w:color w:val="000000"/>
          <w:kern w:val="11"/>
          <w:sz w:val="24"/>
        </w:rPr>
      </w:pPr>
      <w:r>
        <w:rPr>
          <w:color w:val="000000"/>
          <w:kern w:val="11"/>
          <w:sz w:val="24"/>
        </w:rPr>
        <w:br w:type="page"/>
      </w:r>
    </w:p>
    <w:p w14:paraId="7DB3B12C">
      <w:pPr>
        <w:widowControl/>
        <w:jc w:val="left"/>
        <w:rPr>
          <w:b/>
          <w:color w:val="000000"/>
          <w:sz w:val="24"/>
        </w:rPr>
      </w:pPr>
      <w:r>
        <w:rPr>
          <w:rFonts w:hint="eastAsia"/>
          <w:b/>
          <w:color w:val="000000"/>
          <w:sz w:val="24"/>
        </w:rPr>
        <w:t>响应</w:t>
      </w:r>
      <w:r>
        <w:rPr>
          <w:b/>
          <w:color w:val="000000"/>
          <w:sz w:val="24"/>
        </w:rPr>
        <w:t>文件</w:t>
      </w:r>
      <w:r>
        <w:rPr>
          <w:rFonts w:hint="eastAsia"/>
          <w:b/>
          <w:color w:val="000000"/>
          <w:sz w:val="24"/>
        </w:rPr>
        <w:t>封口格式</w:t>
      </w:r>
    </w:p>
    <w:tbl>
      <w:tblPr>
        <w:tblStyle w:val="58"/>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273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770BAD03">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52D29059">
      <w:pPr>
        <w:rPr>
          <w:color w:val="000000"/>
        </w:rPr>
      </w:pPr>
    </w:p>
    <w:p w14:paraId="0E64EDA4">
      <w:r>
        <w:br w:type="page"/>
      </w:r>
    </w:p>
    <w:p w14:paraId="7FCE7320">
      <w:pPr>
        <w:pStyle w:val="3"/>
        <w:numPr>
          <w:ilvl w:val="0"/>
          <w:numId w:val="0"/>
        </w:numPr>
        <w:spacing w:before="0" w:after="0" w:line="360" w:lineRule="auto"/>
        <w:rPr>
          <w:b/>
          <w:color w:val="000000"/>
          <w:sz w:val="36"/>
          <w:szCs w:val="36"/>
        </w:rPr>
      </w:pPr>
      <w:r>
        <w:rPr>
          <w:rFonts w:hint="eastAsia"/>
          <w:b/>
          <w:color w:val="000000"/>
          <w:sz w:val="44"/>
        </w:rPr>
        <w:t>响应确认信息表</w:t>
      </w:r>
    </w:p>
    <w:p w14:paraId="3CDAC6E8">
      <w:pPr>
        <w:pStyle w:val="3"/>
        <w:numPr>
          <w:ilvl w:val="0"/>
          <w:numId w:val="0"/>
        </w:numPr>
        <w:spacing w:before="0" w:after="0" w:line="360" w:lineRule="auto"/>
        <w:rPr>
          <w:b/>
          <w:color w:val="000000"/>
          <w:sz w:val="36"/>
          <w:szCs w:val="36"/>
        </w:rPr>
      </w:pPr>
    </w:p>
    <w:p w14:paraId="38373230">
      <w:pPr>
        <w:spacing w:line="360" w:lineRule="auto"/>
        <w:rPr>
          <w:rFonts w:hint="eastAsia" w:ascii="宋体" w:hAnsi="宋体"/>
          <w:sz w:val="28"/>
          <w:szCs w:val="28"/>
        </w:rPr>
      </w:pPr>
      <w:r>
        <w:rPr>
          <w:rFonts w:hint="eastAsia" w:ascii="宋体" w:hAnsi="宋体"/>
          <w:sz w:val="28"/>
          <w:szCs w:val="28"/>
        </w:rPr>
        <w:t>江苏省广电有线信息网络股份有限公司：</w:t>
      </w:r>
    </w:p>
    <w:p w14:paraId="616E4350">
      <w:pPr>
        <w:spacing w:line="360" w:lineRule="auto"/>
        <w:rPr>
          <w:rFonts w:hint="eastAsia" w:ascii="宋体" w:hAnsi="宋体"/>
          <w:sz w:val="28"/>
          <w:szCs w:val="28"/>
        </w:rPr>
      </w:pPr>
      <w:r>
        <w:rPr>
          <w:rFonts w:hint="eastAsia" w:ascii="宋体" w:hAnsi="宋体"/>
          <w:sz w:val="28"/>
          <w:szCs w:val="28"/>
        </w:rPr>
        <w:t xml:space="preserve">    我单位申请参与贵单位              项目。</w:t>
      </w:r>
    </w:p>
    <w:p w14:paraId="6ABA5661">
      <w:pPr>
        <w:spacing w:line="360" w:lineRule="auto"/>
        <w:rPr>
          <w:rFonts w:hint="eastAsia" w:ascii="宋体" w:hAnsi="宋体"/>
          <w:sz w:val="28"/>
          <w:szCs w:val="28"/>
        </w:rPr>
      </w:pPr>
      <w:r>
        <w:rPr>
          <w:rFonts w:hint="eastAsia" w:ascii="宋体" w:hAnsi="宋体"/>
          <w:sz w:val="28"/>
          <w:szCs w:val="28"/>
        </w:rPr>
        <w:t>现委派我单位      (姓名)负责本项目报名和正式采购前的联系工作，详细信息如下（以下信息均为必填项）：</w:t>
      </w:r>
    </w:p>
    <w:p w14:paraId="5362C967">
      <w:pPr>
        <w:spacing w:line="360" w:lineRule="auto"/>
        <w:rPr>
          <w:rFonts w:hint="eastAsia" w:ascii="宋体" w:hAnsi="宋体"/>
          <w:sz w:val="28"/>
          <w:szCs w:val="28"/>
        </w:rPr>
      </w:pPr>
      <w:r>
        <w:rPr>
          <w:rFonts w:hint="eastAsia" w:ascii="宋体" w:hAnsi="宋体"/>
          <w:sz w:val="28"/>
          <w:szCs w:val="28"/>
        </w:rPr>
        <w:t xml:space="preserve"> 1.姓名：</w:t>
      </w:r>
    </w:p>
    <w:p w14:paraId="55D59F02">
      <w:pPr>
        <w:spacing w:line="360" w:lineRule="auto"/>
        <w:rPr>
          <w:rFonts w:hint="eastAsia" w:ascii="宋体" w:hAnsi="宋体"/>
          <w:sz w:val="28"/>
          <w:szCs w:val="28"/>
        </w:rPr>
      </w:pPr>
      <w:r>
        <w:rPr>
          <w:rFonts w:hint="eastAsia" w:ascii="宋体" w:hAnsi="宋体"/>
          <w:sz w:val="28"/>
          <w:szCs w:val="28"/>
        </w:rPr>
        <w:t xml:space="preserve"> 2.身份证号：</w:t>
      </w:r>
    </w:p>
    <w:p w14:paraId="147293E5">
      <w:pPr>
        <w:spacing w:line="360" w:lineRule="auto"/>
        <w:rPr>
          <w:rFonts w:hint="eastAsia" w:ascii="宋体" w:hAnsi="宋体"/>
          <w:sz w:val="28"/>
          <w:szCs w:val="28"/>
        </w:rPr>
      </w:pPr>
      <w:r>
        <w:rPr>
          <w:rFonts w:hint="eastAsia" w:ascii="宋体" w:hAnsi="宋体"/>
          <w:sz w:val="28"/>
          <w:szCs w:val="28"/>
        </w:rPr>
        <w:t xml:space="preserve"> 3.职位：</w:t>
      </w:r>
    </w:p>
    <w:p w14:paraId="55460E4F">
      <w:pPr>
        <w:spacing w:line="360" w:lineRule="auto"/>
        <w:rPr>
          <w:rFonts w:hint="eastAsia" w:ascii="宋体" w:hAnsi="宋体"/>
          <w:sz w:val="28"/>
          <w:szCs w:val="28"/>
        </w:rPr>
      </w:pPr>
      <w:r>
        <w:rPr>
          <w:rFonts w:hint="eastAsia" w:ascii="宋体" w:hAnsi="宋体"/>
          <w:sz w:val="28"/>
          <w:szCs w:val="28"/>
        </w:rPr>
        <w:t xml:space="preserve"> 4.联系电话（手机）：</w:t>
      </w:r>
    </w:p>
    <w:p w14:paraId="5D4F9372">
      <w:pPr>
        <w:spacing w:line="360" w:lineRule="auto"/>
        <w:rPr>
          <w:rFonts w:hint="eastAsia" w:ascii="宋体" w:hAnsi="宋体"/>
          <w:sz w:val="28"/>
          <w:szCs w:val="28"/>
        </w:rPr>
      </w:pPr>
      <w:r>
        <w:rPr>
          <w:rFonts w:hint="eastAsia" w:ascii="宋体" w:hAnsi="宋体"/>
          <w:sz w:val="28"/>
          <w:szCs w:val="28"/>
        </w:rPr>
        <w:t xml:space="preserve"> 5.联系电子邮箱：</w:t>
      </w:r>
    </w:p>
    <w:p w14:paraId="5CAFE9C4">
      <w:pPr>
        <w:spacing w:line="360" w:lineRule="auto"/>
        <w:rPr>
          <w:rFonts w:hint="eastAsia" w:ascii="宋体" w:hAnsi="宋体"/>
          <w:sz w:val="28"/>
          <w:szCs w:val="28"/>
        </w:rPr>
      </w:pPr>
      <w:r>
        <w:rPr>
          <w:rFonts w:hint="eastAsia" w:ascii="宋体" w:hAnsi="宋体"/>
          <w:sz w:val="28"/>
          <w:szCs w:val="28"/>
        </w:rPr>
        <w:t xml:space="preserve"> 6.微信号:</w:t>
      </w:r>
    </w:p>
    <w:p w14:paraId="67506AB2">
      <w:pPr>
        <w:spacing w:line="360" w:lineRule="auto"/>
        <w:rPr>
          <w:rFonts w:hint="eastAsia" w:ascii="宋体" w:hAnsi="宋体"/>
          <w:sz w:val="28"/>
          <w:szCs w:val="28"/>
        </w:rPr>
      </w:pPr>
      <w:r>
        <w:rPr>
          <w:rFonts w:hint="eastAsia" w:ascii="宋体" w:hAnsi="宋体"/>
          <w:sz w:val="28"/>
          <w:szCs w:val="28"/>
        </w:rPr>
        <w:t xml:space="preserve"> 7.响应文件递送方式：</w:t>
      </w:r>
    </w:p>
    <w:p w14:paraId="4758CA6F">
      <w:pPr>
        <w:pStyle w:val="27"/>
        <w:spacing w:line="360" w:lineRule="auto"/>
        <w:ind w:firstLine="280"/>
        <w:rPr>
          <w:rFonts w:hint="eastAsia" w:ascii="宋体" w:hAnsi="宋体"/>
          <w:color w:val="000000"/>
          <w:sz w:val="28"/>
          <w:szCs w:val="28"/>
        </w:rPr>
      </w:pPr>
    </w:p>
    <w:p w14:paraId="3EB5D99A">
      <w:pPr>
        <w:pStyle w:val="27"/>
        <w:spacing w:line="360" w:lineRule="auto"/>
        <w:ind w:firstLine="280"/>
        <w:rPr>
          <w:rFonts w:hint="eastAsia" w:ascii="宋体" w:hAnsi="宋体"/>
          <w:color w:val="000000"/>
          <w:sz w:val="28"/>
          <w:szCs w:val="28"/>
        </w:rPr>
      </w:pPr>
    </w:p>
    <w:p w14:paraId="5D36A756">
      <w:pPr>
        <w:pStyle w:val="27"/>
        <w:spacing w:line="360" w:lineRule="auto"/>
        <w:ind w:firstLine="280"/>
        <w:rPr>
          <w:rFonts w:hint="eastAsia" w:ascii="宋体" w:hAnsi="宋体"/>
          <w:color w:val="000000"/>
          <w:sz w:val="28"/>
          <w:szCs w:val="28"/>
        </w:rPr>
      </w:pPr>
    </w:p>
    <w:p w14:paraId="4B9C074F">
      <w:pPr>
        <w:spacing w:line="360" w:lineRule="auto"/>
        <w:jc w:val="right"/>
        <w:rPr>
          <w:rFonts w:hint="eastAsia" w:ascii="宋体" w:hAnsi="宋体"/>
          <w:sz w:val="28"/>
          <w:szCs w:val="28"/>
        </w:rPr>
      </w:pPr>
      <w:r>
        <w:rPr>
          <w:rFonts w:hint="eastAsia" w:ascii="宋体" w:hAnsi="宋体"/>
          <w:sz w:val="28"/>
          <w:szCs w:val="28"/>
        </w:rPr>
        <w:t>供应商：                     （盖章）</w:t>
      </w:r>
    </w:p>
    <w:p w14:paraId="50AC911A">
      <w:pPr>
        <w:spacing w:line="360" w:lineRule="auto"/>
        <w:jc w:val="right"/>
        <w:rPr>
          <w:rFonts w:hint="eastAsia" w:ascii="宋体" w:hAnsi="宋体"/>
          <w:sz w:val="28"/>
          <w:szCs w:val="28"/>
        </w:rPr>
      </w:pPr>
      <w:r>
        <w:rPr>
          <w:rFonts w:hint="eastAsia" w:ascii="宋体" w:hAnsi="宋体"/>
          <w:sz w:val="28"/>
          <w:szCs w:val="28"/>
        </w:rPr>
        <w:t>日期：</w:t>
      </w:r>
    </w:p>
    <w:p w14:paraId="3D859920"/>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长城仿宋">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A7637">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1361FB70">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E5BAC">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E4E1C">
    <w:pPr>
      <w:pStyle w:val="3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EB427">
    <w:pPr>
      <w:pStyle w:val="38"/>
      <w:jc w:val="center"/>
    </w:pPr>
    <w:r>
      <w:fldChar w:fldCharType="begin"/>
    </w:r>
    <w:r>
      <w:rPr>
        <w:rStyle w:val="62"/>
      </w:rPr>
      <w:instrText xml:space="preserve"> PAGE </w:instrText>
    </w:r>
    <w:r>
      <w:fldChar w:fldCharType="separate"/>
    </w:r>
    <w:r>
      <w:rPr>
        <w:rStyle w:val="62"/>
      </w:rPr>
      <w:t>3</w:t>
    </w:r>
    <w:r>
      <w:fldChar w:fldCharType="end"/>
    </w:r>
  </w:p>
  <w:p w14:paraId="707EF757">
    <w:pPr>
      <w:pStyle w:val="3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69B53">
    <w:pPr>
      <w:pStyle w:val="38"/>
      <w:jc w:val="center"/>
    </w:pPr>
    <w:r>
      <w:fldChar w:fldCharType="begin"/>
    </w:r>
    <w:r>
      <w:rPr>
        <w:rStyle w:val="62"/>
      </w:rPr>
      <w:instrText xml:space="preserve"> PAGE </w:instrText>
    </w:r>
    <w:r>
      <w:fldChar w:fldCharType="separate"/>
    </w:r>
    <w:r>
      <w:rPr>
        <w:rStyle w:val="62"/>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7F7E0">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3301E">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88F75">
    <w:pPr>
      <w:pStyle w:val="3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6BDD">
    <w:pPr>
      <w:pStyle w:val="3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EB7D">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A3D13D"/>
    <w:multiLevelType w:val="singleLevel"/>
    <w:tmpl w:val="FBA3D13D"/>
    <w:lvl w:ilvl="0" w:tentative="0">
      <w:start w:val="1"/>
      <w:numFmt w:val="decimal"/>
      <w:suff w:val="nothing"/>
      <w:lvlText w:val="（%1）"/>
      <w:lvlJc w:val="left"/>
    </w:lvl>
  </w:abstractNum>
  <w:abstractNum w:abstractNumId="1">
    <w:nsid w:val="00000010"/>
    <w:multiLevelType w:val="multilevel"/>
    <w:tmpl w:val="00000010"/>
    <w:lvl w:ilvl="0" w:tentative="0">
      <w:start w:val="1"/>
      <w:numFmt w:val="bullet"/>
      <w:pStyle w:val="377"/>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4"/>
      <w:numFmt w:val="decimal"/>
      <w:pStyle w:val="404"/>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4"/>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083E53D8"/>
    <w:multiLevelType w:val="multilevel"/>
    <w:tmpl w:val="083E5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52301F"/>
    <w:multiLevelType w:val="multilevel"/>
    <w:tmpl w:val="0A5230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AC6E6D"/>
    <w:multiLevelType w:val="multilevel"/>
    <w:tmpl w:val="0BAC6E6D"/>
    <w:lvl w:ilvl="0" w:tentative="0">
      <w:start w:val="1"/>
      <w:numFmt w:val="upperLetter"/>
      <w:lvlText w:val="%1、"/>
      <w:lvlJc w:val="left"/>
      <w:pPr>
        <w:ind w:left="370" w:hanging="3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485494"/>
    <w:multiLevelType w:val="multilevel"/>
    <w:tmpl w:val="0C4854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0">
    <w:nsid w:val="12241240"/>
    <w:multiLevelType w:val="multilevel"/>
    <w:tmpl w:val="122412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2AA36F3"/>
    <w:multiLevelType w:val="multilevel"/>
    <w:tmpl w:val="12AA36F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6D773DF"/>
    <w:multiLevelType w:val="multilevel"/>
    <w:tmpl w:val="16D773D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DF6491"/>
    <w:multiLevelType w:val="multilevel"/>
    <w:tmpl w:val="18DF649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14">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5">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33D82D90"/>
    <w:multiLevelType w:val="multilevel"/>
    <w:tmpl w:val="33D82D9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92F083B"/>
    <w:multiLevelType w:val="multilevel"/>
    <w:tmpl w:val="392F083B"/>
    <w:lvl w:ilvl="0" w:tentative="0">
      <w:start w:val="1"/>
      <w:numFmt w:val="decimal"/>
      <w:lvlText w:val="%1)"/>
      <w:lvlJc w:val="left"/>
      <w:pPr>
        <w:ind w:left="840" w:hanging="420"/>
      </w:pPr>
      <w:rPr>
        <w:rFonts w:hint="eastAsia"/>
        <w:b w:val="0"/>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
    <w:nsid w:val="3F316DE4"/>
    <w:multiLevelType w:val="multilevel"/>
    <w:tmpl w:val="3F316DE4"/>
    <w:lvl w:ilvl="0" w:tentative="0">
      <w:start w:val="1"/>
      <w:numFmt w:val="decimal"/>
      <w:pStyle w:val="111"/>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9">
    <w:nsid w:val="43F41F1A"/>
    <w:multiLevelType w:val="multilevel"/>
    <w:tmpl w:val="43F41F1A"/>
    <w:lvl w:ilvl="0" w:tentative="0">
      <w:start w:val="1"/>
      <w:numFmt w:val="decimal"/>
      <w:pStyle w:val="419"/>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41A5299"/>
    <w:multiLevelType w:val="multilevel"/>
    <w:tmpl w:val="441A52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5DA7896"/>
    <w:multiLevelType w:val="multilevel"/>
    <w:tmpl w:val="45DA78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9BA2F2F"/>
    <w:multiLevelType w:val="multilevel"/>
    <w:tmpl w:val="49BA2F2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DAC762D"/>
    <w:multiLevelType w:val="multilevel"/>
    <w:tmpl w:val="4DAC762D"/>
    <w:lvl w:ilvl="0" w:tentative="0">
      <w:start w:val="1"/>
      <w:numFmt w:val="chineseCountingThousand"/>
      <w:pStyle w:val="3"/>
      <w:suff w:val="space"/>
      <w:lvlText w:val="第%1章"/>
      <w:lvlJc w:val="center"/>
      <w:pPr>
        <w:ind w:left="3397" w:firstLine="288"/>
      </w:pPr>
      <w:rPr>
        <w:rFonts w:hint="eastAsia"/>
        <w:b/>
        <w:sz w:val="36"/>
        <w:szCs w:val="36"/>
      </w:rPr>
    </w:lvl>
    <w:lvl w:ilvl="1" w:tentative="0">
      <w:start w:val="1"/>
      <w:numFmt w:val="decimal"/>
      <w:pStyle w:val="4"/>
      <w:isLgl/>
      <w:suff w:val="space"/>
      <w:lvlText w:val="%1.%2"/>
      <w:lvlJc w:val="left"/>
      <w:pPr>
        <w:ind w:left="-1418" w:firstLine="0"/>
      </w:pPr>
      <w:rPr>
        <w:rFonts w:hint="eastAsia"/>
        <w:b w:val="0"/>
      </w:rPr>
    </w:lvl>
    <w:lvl w:ilvl="2" w:tentative="0">
      <w:start w:val="1"/>
      <w:numFmt w:val="decimal"/>
      <w:lvlText w:val="%1.%2.%3"/>
      <w:lvlJc w:val="left"/>
      <w:pPr>
        <w:tabs>
          <w:tab w:val="left" w:pos="-2257"/>
        </w:tabs>
        <w:ind w:left="-2257" w:hanging="720"/>
      </w:pPr>
      <w:rPr>
        <w:rFonts w:hint="eastAsia"/>
      </w:rPr>
    </w:lvl>
    <w:lvl w:ilvl="3" w:tentative="0">
      <w:start w:val="1"/>
      <w:numFmt w:val="decimal"/>
      <w:lvlText w:val="%1.%2.%3.%4"/>
      <w:lvlJc w:val="left"/>
      <w:pPr>
        <w:tabs>
          <w:tab w:val="left" w:pos="-2113"/>
        </w:tabs>
        <w:ind w:left="-2113" w:hanging="864"/>
      </w:pPr>
      <w:rPr>
        <w:rFonts w:hint="eastAsia"/>
      </w:rPr>
    </w:lvl>
    <w:lvl w:ilvl="4" w:tentative="0">
      <w:start w:val="1"/>
      <w:numFmt w:val="decimal"/>
      <w:lvlText w:val="%1.%2.%3.%4.%5"/>
      <w:lvlJc w:val="left"/>
      <w:pPr>
        <w:tabs>
          <w:tab w:val="left" w:pos="-1969"/>
        </w:tabs>
        <w:ind w:left="-1969" w:hanging="1008"/>
      </w:pPr>
      <w:rPr>
        <w:rFonts w:hint="eastAsia"/>
      </w:rPr>
    </w:lvl>
    <w:lvl w:ilvl="5" w:tentative="0">
      <w:start w:val="1"/>
      <w:numFmt w:val="decimal"/>
      <w:lvlText w:val="%1.%2.%3.%4.%5.%6"/>
      <w:lvlJc w:val="left"/>
      <w:pPr>
        <w:tabs>
          <w:tab w:val="left" w:pos="-1825"/>
        </w:tabs>
        <w:ind w:left="-1825" w:hanging="1152"/>
      </w:pPr>
      <w:rPr>
        <w:rFonts w:hint="eastAsia"/>
      </w:rPr>
    </w:lvl>
    <w:lvl w:ilvl="6" w:tentative="0">
      <w:start w:val="1"/>
      <w:numFmt w:val="decimal"/>
      <w:lvlText w:val="%1.%2.%3.%4.%5.%6.%7"/>
      <w:lvlJc w:val="left"/>
      <w:pPr>
        <w:tabs>
          <w:tab w:val="left" w:pos="-1681"/>
        </w:tabs>
        <w:ind w:left="-1681" w:hanging="1296"/>
      </w:pPr>
      <w:rPr>
        <w:rFonts w:hint="eastAsia"/>
      </w:rPr>
    </w:lvl>
    <w:lvl w:ilvl="7" w:tentative="0">
      <w:start w:val="1"/>
      <w:numFmt w:val="decimal"/>
      <w:lvlText w:val="%1.%2.%3.%4.%5.%6.%7.%8"/>
      <w:lvlJc w:val="left"/>
      <w:pPr>
        <w:tabs>
          <w:tab w:val="left" w:pos="-1537"/>
        </w:tabs>
        <w:ind w:left="-1537" w:hanging="1440"/>
      </w:pPr>
      <w:rPr>
        <w:rFonts w:hint="eastAsia"/>
      </w:rPr>
    </w:lvl>
    <w:lvl w:ilvl="8" w:tentative="0">
      <w:start w:val="1"/>
      <w:numFmt w:val="decimal"/>
      <w:lvlText w:val="%1.%2.%3.%4.%5.%6.%7.%8.%9"/>
      <w:lvlJc w:val="left"/>
      <w:pPr>
        <w:tabs>
          <w:tab w:val="left" w:pos="-1393"/>
        </w:tabs>
        <w:ind w:left="-1393" w:hanging="1584"/>
      </w:pPr>
      <w:rPr>
        <w:rFonts w:hint="eastAsia"/>
      </w:rPr>
    </w:lvl>
  </w:abstractNum>
  <w:abstractNum w:abstractNumId="24">
    <w:nsid w:val="5107495A"/>
    <w:multiLevelType w:val="multilevel"/>
    <w:tmpl w:val="5107495A"/>
    <w:lvl w:ilvl="0" w:tentative="0">
      <w:start w:val="1"/>
      <w:numFmt w:val="decimal"/>
      <w:lvlText w:val="%1)"/>
      <w:lvlJc w:val="left"/>
      <w:pPr>
        <w:ind w:left="860" w:hanging="440"/>
      </w:pPr>
      <w:rPr>
        <w:rFonts w:hint="eastAsia"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5">
    <w:nsid w:val="57715ABE"/>
    <w:multiLevelType w:val="multilevel"/>
    <w:tmpl w:val="57715ABE"/>
    <w:lvl w:ilvl="0" w:tentative="0">
      <w:start w:val="1"/>
      <w:numFmt w:val="decimal"/>
      <w:lvlText w:val="%1)"/>
      <w:lvlJc w:val="left"/>
      <w:pPr>
        <w:ind w:left="860" w:hanging="440"/>
      </w:pPr>
      <w:rPr>
        <w:rFonts w:hint="eastAsia" w:cs="Times New Roman"/>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26">
    <w:nsid w:val="5A45502F"/>
    <w:multiLevelType w:val="multilevel"/>
    <w:tmpl w:val="5A45502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8">
    <w:nsid w:val="68B961EE"/>
    <w:multiLevelType w:val="multilevel"/>
    <w:tmpl w:val="68B961EE"/>
    <w:lvl w:ilvl="0" w:tentative="0">
      <w:start w:val="1"/>
      <w:numFmt w:val="bullet"/>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9">
    <w:nsid w:val="6ACA1ECB"/>
    <w:multiLevelType w:val="multilevel"/>
    <w:tmpl w:val="6ACA1ECB"/>
    <w:lvl w:ilvl="0" w:tentative="0">
      <w:start w:val="1"/>
      <w:numFmt w:val="decimal"/>
      <w:lvlText w:val="%1)"/>
      <w:lvlJc w:val="left"/>
      <w:pPr>
        <w:ind w:left="162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DF4BE6"/>
    <w:multiLevelType w:val="multilevel"/>
    <w:tmpl w:val="6DDF4BE6"/>
    <w:lvl w:ilvl="0" w:tentative="0">
      <w:start w:val="1"/>
      <w:numFmt w:val="decimal"/>
      <w:lvlText w:val="%1"/>
      <w:lvlJc w:val="left"/>
      <w:pPr>
        <w:ind w:left="546" w:hanging="360"/>
      </w:pPr>
      <w:rPr>
        <w:rFonts w:hint="default"/>
      </w:rPr>
    </w:lvl>
    <w:lvl w:ilvl="1" w:tentative="0">
      <w:start w:val="5"/>
      <w:numFmt w:val="decimal"/>
      <w:isLgl/>
      <w:lvlText w:val="%1.%2"/>
      <w:lvlJc w:val="left"/>
      <w:pPr>
        <w:ind w:left="1091" w:hanging="360"/>
      </w:pPr>
      <w:rPr>
        <w:rFonts w:hint="default"/>
      </w:rPr>
    </w:lvl>
    <w:lvl w:ilvl="2" w:tentative="0">
      <w:start w:val="1"/>
      <w:numFmt w:val="decimal"/>
      <w:isLgl/>
      <w:lvlText w:val="%1.%2.%3"/>
      <w:lvlJc w:val="left"/>
      <w:pPr>
        <w:ind w:left="1996" w:hanging="720"/>
      </w:pPr>
      <w:rPr>
        <w:rFonts w:hint="default"/>
      </w:rPr>
    </w:lvl>
    <w:lvl w:ilvl="3" w:tentative="0">
      <w:start w:val="1"/>
      <w:numFmt w:val="decimal"/>
      <w:isLgl/>
      <w:lvlText w:val="%1.%2.%3.%4"/>
      <w:lvlJc w:val="left"/>
      <w:pPr>
        <w:ind w:left="2901" w:hanging="1080"/>
      </w:pPr>
      <w:rPr>
        <w:rFonts w:hint="default"/>
      </w:rPr>
    </w:lvl>
    <w:lvl w:ilvl="4" w:tentative="0">
      <w:start w:val="1"/>
      <w:numFmt w:val="decimal"/>
      <w:isLgl/>
      <w:lvlText w:val="%1.%2.%3.%4.%5"/>
      <w:lvlJc w:val="left"/>
      <w:pPr>
        <w:ind w:left="3446" w:hanging="1080"/>
      </w:pPr>
      <w:rPr>
        <w:rFonts w:hint="default"/>
      </w:rPr>
    </w:lvl>
    <w:lvl w:ilvl="5" w:tentative="0">
      <w:start w:val="1"/>
      <w:numFmt w:val="decimal"/>
      <w:isLgl/>
      <w:lvlText w:val="%1.%2.%3.%4.%5.%6"/>
      <w:lvlJc w:val="left"/>
      <w:pPr>
        <w:ind w:left="4351" w:hanging="1440"/>
      </w:pPr>
      <w:rPr>
        <w:rFonts w:hint="default"/>
      </w:rPr>
    </w:lvl>
    <w:lvl w:ilvl="6" w:tentative="0">
      <w:start w:val="1"/>
      <w:numFmt w:val="decimal"/>
      <w:isLgl/>
      <w:lvlText w:val="%1.%2.%3.%4.%5.%6.%7"/>
      <w:lvlJc w:val="left"/>
      <w:pPr>
        <w:ind w:left="4896" w:hanging="1440"/>
      </w:pPr>
      <w:rPr>
        <w:rFonts w:hint="default"/>
      </w:rPr>
    </w:lvl>
    <w:lvl w:ilvl="7" w:tentative="0">
      <w:start w:val="1"/>
      <w:numFmt w:val="decimal"/>
      <w:isLgl/>
      <w:lvlText w:val="%1.%2.%3.%4.%5.%6.%7.%8"/>
      <w:lvlJc w:val="left"/>
      <w:pPr>
        <w:ind w:left="5801" w:hanging="1800"/>
      </w:pPr>
      <w:rPr>
        <w:rFonts w:hint="default"/>
      </w:rPr>
    </w:lvl>
    <w:lvl w:ilvl="8" w:tentative="0">
      <w:start w:val="1"/>
      <w:numFmt w:val="decimal"/>
      <w:isLgl/>
      <w:lvlText w:val="%1.%2.%3.%4.%5.%6.%7.%8.%9"/>
      <w:lvlJc w:val="left"/>
      <w:pPr>
        <w:ind w:left="6346" w:hanging="1800"/>
      </w:pPr>
      <w:rPr>
        <w:rFonts w:hint="default"/>
      </w:rPr>
    </w:lvl>
  </w:abstractNum>
  <w:abstractNum w:abstractNumId="31">
    <w:nsid w:val="73EA37D1"/>
    <w:multiLevelType w:val="multilevel"/>
    <w:tmpl w:val="73EA37D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2">
    <w:nsid w:val="74A819A9"/>
    <w:multiLevelType w:val="multilevel"/>
    <w:tmpl w:val="74A819A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D2A7524"/>
    <w:multiLevelType w:val="multilevel"/>
    <w:tmpl w:val="7D2A752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18"/>
  </w:num>
  <w:num w:numId="3">
    <w:abstractNumId w:val="3"/>
  </w:num>
  <w:num w:numId="4">
    <w:abstractNumId w:val="1"/>
  </w:num>
  <w:num w:numId="5">
    <w:abstractNumId w:val="2"/>
  </w:num>
  <w:num w:numId="6">
    <w:abstractNumId w:val="19"/>
  </w:num>
  <w:num w:numId="7">
    <w:abstractNumId w:val="15"/>
  </w:num>
  <w:num w:numId="8">
    <w:abstractNumId w:val="26"/>
  </w:num>
  <w:num w:numId="9">
    <w:abstractNumId w:val="6"/>
  </w:num>
  <w:num w:numId="10">
    <w:abstractNumId w:val="0"/>
  </w:num>
  <w:num w:numId="11">
    <w:abstractNumId w:val="21"/>
  </w:num>
  <w:num w:numId="12">
    <w:abstractNumId w:val="11"/>
  </w:num>
  <w:num w:numId="13">
    <w:abstractNumId w:val="10"/>
  </w:num>
  <w:num w:numId="14">
    <w:abstractNumId w:val="16"/>
  </w:num>
  <w:num w:numId="15">
    <w:abstractNumId w:val="22"/>
  </w:num>
  <w:num w:numId="16">
    <w:abstractNumId w:val="7"/>
  </w:num>
  <w:num w:numId="17">
    <w:abstractNumId w:val="12"/>
  </w:num>
  <w:num w:numId="18">
    <w:abstractNumId w:val="5"/>
  </w:num>
  <w:num w:numId="19">
    <w:abstractNumId w:val="20"/>
  </w:num>
  <w:num w:numId="20">
    <w:abstractNumId w:val="4"/>
  </w:num>
  <w:num w:numId="21">
    <w:abstractNumId w:val="33"/>
  </w:num>
  <w:num w:numId="22">
    <w:abstractNumId w:val="32"/>
  </w:num>
  <w:num w:numId="23">
    <w:abstractNumId w:val="8"/>
  </w:num>
  <w:num w:numId="24">
    <w:abstractNumId w:val="30"/>
  </w:num>
  <w:num w:numId="25">
    <w:abstractNumId w:val="25"/>
  </w:num>
  <w:num w:numId="26">
    <w:abstractNumId w:val="13"/>
  </w:num>
  <w:num w:numId="27">
    <w:abstractNumId w:val="24"/>
  </w:num>
  <w:num w:numId="28">
    <w:abstractNumId w:val="31"/>
  </w:num>
  <w:num w:numId="29">
    <w:abstractNumId w:val="28"/>
  </w:num>
  <w:num w:numId="30">
    <w:abstractNumId w:val="17"/>
  </w:num>
  <w:num w:numId="31">
    <w:abstractNumId w:val="29"/>
  </w:num>
  <w:num w:numId="32">
    <w:abstractNumId w:val="9"/>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ZTA5ZTFmN2I5NGQ5YTZjM2ZkMjU3M2E3Y2VlZjcifQ=="/>
  </w:docVars>
  <w:rsids>
    <w:rsidRoot w:val="00C31D55"/>
    <w:rsid w:val="000014EE"/>
    <w:rsid w:val="0000165B"/>
    <w:rsid w:val="00002668"/>
    <w:rsid w:val="000036DD"/>
    <w:rsid w:val="00003F25"/>
    <w:rsid w:val="000047B6"/>
    <w:rsid w:val="000055AC"/>
    <w:rsid w:val="00005643"/>
    <w:rsid w:val="00006DBC"/>
    <w:rsid w:val="00007780"/>
    <w:rsid w:val="00011CD2"/>
    <w:rsid w:val="00011D7E"/>
    <w:rsid w:val="00011F58"/>
    <w:rsid w:val="00013073"/>
    <w:rsid w:val="00013E96"/>
    <w:rsid w:val="00014171"/>
    <w:rsid w:val="0001524B"/>
    <w:rsid w:val="0001551E"/>
    <w:rsid w:val="000164B0"/>
    <w:rsid w:val="00016CEA"/>
    <w:rsid w:val="00017171"/>
    <w:rsid w:val="0001725C"/>
    <w:rsid w:val="00017586"/>
    <w:rsid w:val="000175F3"/>
    <w:rsid w:val="00017A4D"/>
    <w:rsid w:val="00017BFF"/>
    <w:rsid w:val="00020A4E"/>
    <w:rsid w:val="00020E6D"/>
    <w:rsid w:val="00021A91"/>
    <w:rsid w:val="000224F7"/>
    <w:rsid w:val="000227C5"/>
    <w:rsid w:val="00022A8A"/>
    <w:rsid w:val="00023E93"/>
    <w:rsid w:val="00023EF5"/>
    <w:rsid w:val="00024C77"/>
    <w:rsid w:val="0002704B"/>
    <w:rsid w:val="00027A5A"/>
    <w:rsid w:val="000302AC"/>
    <w:rsid w:val="00030A9D"/>
    <w:rsid w:val="00030F73"/>
    <w:rsid w:val="00031B2F"/>
    <w:rsid w:val="00031DEF"/>
    <w:rsid w:val="00033EFE"/>
    <w:rsid w:val="00034705"/>
    <w:rsid w:val="0003496A"/>
    <w:rsid w:val="00035296"/>
    <w:rsid w:val="000352DD"/>
    <w:rsid w:val="000365EA"/>
    <w:rsid w:val="00037097"/>
    <w:rsid w:val="00037954"/>
    <w:rsid w:val="00040F17"/>
    <w:rsid w:val="000419F5"/>
    <w:rsid w:val="00042584"/>
    <w:rsid w:val="000428A5"/>
    <w:rsid w:val="00044ED0"/>
    <w:rsid w:val="00045A14"/>
    <w:rsid w:val="00045BB2"/>
    <w:rsid w:val="000500C9"/>
    <w:rsid w:val="00050CA9"/>
    <w:rsid w:val="000511B0"/>
    <w:rsid w:val="0005189A"/>
    <w:rsid w:val="00053058"/>
    <w:rsid w:val="00053A52"/>
    <w:rsid w:val="00053E94"/>
    <w:rsid w:val="0005497F"/>
    <w:rsid w:val="00056D8B"/>
    <w:rsid w:val="00056FD5"/>
    <w:rsid w:val="000577B3"/>
    <w:rsid w:val="000578CD"/>
    <w:rsid w:val="0005799E"/>
    <w:rsid w:val="00057B3B"/>
    <w:rsid w:val="000601B3"/>
    <w:rsid w:val="00060232"/>
    <w:rsid w:val="00060736"/>
    <w:rsid w:val="000618EA"/>
    <w:rsid w:val="00061F51"/>
    <w:rsid w:val="00062477"/>
    <w:rsid w:val="00064583"/>
    <w:rsid w:val="00064913"/>
    <w:rsid w:val="000661AA"/>
    <w:rsid w:val="00066324"/>
    <w:rsid w:val="0006644C"/>
    <w:rsid w:val="00070964"/>
    <w:rsid w:val="00071DBA"/>
    <w:rsid w:val="00071F1A"/>
    <w:rsid w:val="00072029"/>
    <w:rsid w:val="000728EA"/>
    <w:rsid w:val="00073CD8"/>
    <w:rsid w:val="0007445B"/>
    <w:rsid w:val="000760C6"/>
    <w:rsid w:val="0007666E"/>
    <w:rsid w:val="00076700"/>
    <w:rsid w:val="00076CC1"/>
    <w:rsid w:val="00080C1A"/>
    <w:rsid w:val="00082069"/>
    <w:rsid w:val="00082160"/>
    <w:rsid w:val="00082D5D"/>
    <w:rsid w:val="00083045"/>
    <w:rsid w:val="00083D92"/>
    <w:rsid w:val="00083DD0"/>
    <w:rsid w:val="00084999"/>
    <w:rsid w:val="00084E3F"/>
    <w:rsid w:val="00085413"/>
    <w:rsid w:val="00087E73"/>
    <w:rsid w:val="00090871"/>
    <w:rsid w:val="00091477"/>
    <w:rsid w:val="0009204E"/>
    <w:rsid w:val="00092C2E"/>
    <w:rsid w:val="0009447A"/>
    <w:rsid w:val="00095141"/>
    <w:rsid w:val="00095F28"/>
    <w:rsid w:val="00096080"/>
    <w:rsid w:val="00096339"/>
    <w:rsid w:val="000A0448"/>
    <w:rsid w:val="000A0688"/>
    <w:rsid w:val="000A28DA"/>
    <w:rsid w:val="000A3669"/>
    <w:rsid w:val="000A4B69"/>
    <w:rsid w:val="000A5155"/>
    <w:rsid w:val="000A688C"/>
    <w:rsid w:val="000A7250"/>
    <w:rsid w:val="000A7D58"/>
    <w:rsid w:val="000B02BC"/>
    <w:rsid w:val="000B0ACB"/>
    <w:rsid w:val="000B11A0"/>
    <w:rsid w:val="000B1A11"/>
    <w:rsid w:val="000B24EE"/>
    <w:rsid w:val="000B492A"/>
    <w:rsid w:val="000B4F2D"/>
    <w:rsid w:val="000B4FAD"/>
    <w:rsid w:val="000B5554"/>
    <w:rsid w:val="000B55EC"/>
    <w:rsid w:val="000B5724"/>
    <w:rsid w:val="000B59C7"/>
    <w:rsid w:val="000B6D7B"/>
    <w:rsid w:val="000B79BF"/>
    <w:rsid w:val="000C17AA"/>
    <w:rsid w:val="000C17EE"/>
    <w:rsid w:val="000C22C4"/>
    <w:rsid w:val="000C29FA"/>
    <w:rsid w:val="000C2CA2"/>
    <w:rsid w:val="000C2D33"/>
    <w:rsid w:val="000C3B31"/>
    <w:rsid w:val="000C3D44"/>
    <w:rsid w:val="000C3E92"/>
    <w:rsid w:val="000C4092"/>
    <w:rsid w:val="000C489F"/>
    <w:rsid w:val="000C4BBA"/>
    <w:rsid w:val="000C5934"/>
    <w:rsid w:val="000C632F"/>
    <w:rsid w:val="000C6718"/>
    <w:rsid w:val="000C6CAB"/>
    <w:rsid w:val="000C6EF4"/>
    <w:rsid w:val="000C70D2"/>
    <w:rsid w:val="000D02BB"/>
    <w:rsid w:val="000D3662"/>
    <w:rsid w:val="000D54F8"/>
    <w:rsid w:val="000D6314"/>
    <w:rsid w:val="000D66A3"/>
    <w:rsid w:val="000D6E29"/>
    <w:rsid w:val="000D6FBE"/>
    <w:rsid w:val="000E41E7"/>
    <w:rsid w:val="000E56AE"/>
    <w:rsid w:val="000E5C95"/>
    <w:rsid w:val="000E6277"/>
    <w:rsid w:val="000E7497"/>
    <w:rsid w:val="000F0423"/>
    <w:rsid w:val="000F1443"/>
    <w:rsid w:val="000F2AFB"/>
    <w:rsid w:val="000F2D35"/>
    <w:rsid w:val="000F377C"/>
    <w:rsid w:val="000F38BD"/>
    <w:rsid w:val="000F407B"/>
    <w:rsid w:val="000F5FE5"/>
    <w:rsid w:val="000F6FE1"/>
    <w:rsid w:val="00100B22"/>
    <w:rsid w:val="0010114E"/>
    <w:rsid w:val="001014D5"/>
    <w:rsid w:val="00103C2C"/>
    <w:rsid w:val="00105998"/>
    <w:rsid w:val="00105AA5"/>
    <w:rsid w:val="00105B57"/>
    <w:rsid w:val="0010602C"/>
    <w:rsid w:val="001060EC"/>
    <w:rsid w:val="00106A2A"/>
    <w:rsid w:val="001077D6"/>
    <w:rsid w:val="0011203B"/>
    <w:rsid w:val="0011219E"/>
    <w:rsid w:val="001123AC"/>
    <w:rsid w:val="00112D23"/>
    <w:rsid w:val="00113255"/>
    <w:rsid w:val="00113435"/>
    <w:rsid w:val="001135CE"/>
    <w:rsid w:val="001143CA"/>
    <w:rsid w:val="0011471E"/>
    <w:rsid w:val="00116D25"/>
    <w:rsid w:val="00117CA9"/>
    <w:rsid w:val="001208F3"/>
    <w:rsid w:val="0012300E"/>
    <w:rsid w:val="00123B7D"/>
    <w:rsid w:val="00124582"/>
    <w:rsid w:val="00124678"/>
    <w:rsid w:val="00127680"/>
    <w:rsid w:val="0012786A"/>
    <w:rsid w:val="0013034C"/>
    <w:rsid w:val="0013062F"/>
    <w:rsid w:val="00130F8C"/>
    <w:rsid w:val="00131658"/>
    <w:rsid w:val="001319EA"/>
    <w:rsid w:val="0013264C"/>
    <w:rsid w:val="00133D00"/>
    <w:rsid w:val="00133D94"/>
    <w:rsid w:val="0013411C"/>
    <w:rsid w:val="001345BD"/>
    <w:rsid w:val="00136B87"/>
    <w:rsid w:val="0013763D"/>
    <w:rsid w:val="001404C4"/>
    <w:rsid w:val="001424F4"/>
    <w:rsid w:val="00142696"/>
    <w:rsid w:val="001432B9"/>
    <w:rsid w:val="001437EE"/>
    <w:rsid w:val="001453C5"/>
    <w:rsid w:val="00145F29"/>
    <w:rsid w:val="00146C7D"/>
    <w:rsid w:val="00147621"/>
    <w:rsid w:val="00147FB5"/>
    <w:rsid w:val="00150AEB"/>
    <w:rsid w:val="00150FE4"/>
    <w:rsid w:val="001513A8"/>
    <w:rsid w:val="00151447"/>
    <w:rsid w:val="001514EC"/>
    <w:rsid w:val="00151FAB"/>
    <w:rsid w:val="001527B7"/>
    <w:rsid w:val="0015329D"/>
    <w:rsid w:val="00153B6F"/>
    <w:rsid w:val="00153BC7"/>
    <w:rsid w:val="00154AAF"/>
    <w:rsid w:val="00154B29"/>
    <w:rsid w:val="00154BF3"/>
    <w:rsid w:val="00154C57"/>
    <w:rsid w:val="00154CBB"/>
    <w:rsid w:val="00154D7E"/>
    <w:rsid w:val="0015708F"/>
    <w:rsid w:val="00157313"/>
    <w:rsid w:val="001609CF"/>
    <w:rsid w:val="00161923"/>
    <w:rsid w:val="00161FB9"/>
    <w:rsid w:val="00162672"/>
    <w:rsid w:val="00162D92"/>
    <w:rsid w:val="00163258"/>
    <w:rsid w:val="001633F4"/>
    <w:rsid w:val="001636DE"/>
    <w:rsid w:val="0016388E"/>
    <w:rsid w:val="00163E91"/>
    <w:rsid w:val="0016459B"/>
    <w:rsid w:val="00167A90"/>
    <w:rsid w:val="001708C4"/>
    <w:rsid w:val="00171FDA"/>
    <w:rsid w:val="00172446"/>
    <w:rsid w:val="00172CCB"/>
    <w:rsid w:val="001730DF"/>
    <w:rsid w:val="001731FE"/>
    <w:rsid w:val="001738F1"/>
    <w:rsid w:val="00173EC5"/>
    <w:rsid w:val="001759B2"/>
    <w:rsid w:val="00175A52"/>
    <w:rsid w:val="0017681D"/>
    <w:rsid w:val="00176D2C"/>
    <w:rsid w:val="00177676"/>
    <w:rsid w:val="00177E3C"/>
    <w:rsid w:val="00181462"/>
    <w:rsid w:val="0018189F"/>
    <w:rsid w:val="00181CFD"/>
    <w:rsid w:val="0018438A"/>
    <w:rsid w:val="001855B9"/>
    <w:rsid w:val="001904CE"/>
    <w:rsid w:val="001909A8"/>
    <w:rsid w:val="00191298"/>
    <w:rsid w:val="001915F7"/>
    <w:rsid w:val="001920C1"/>
    <w:rsid w:val="00192D57"/>
    <w:rsid w:val="00193181"/>
    <w:rsid w:val="00193956"/>
    <w:rsid w:val="00193B89"/>
    <w:rsid w:val="00193D2E"/>
    <w:rsid w:val="0019533E"/>
    <w:rsid w:val="001959D9"/>
    <w:rsid w:val="00195AC0"/>
    <w:rsid w:val="00195E9D"/>
    <w:rsid w:val="001962C0"/>
    <w:rsid w:val="00196E74"/>
    <w:rsid w:val="0019751F"/>
    <w:rsid w:val="001A116E"/>
    <w:rsid w:val="001A17F6"/>
    <w:rsid w:val="001A1846"/>
    <w:rsid w:val="001A1988"/>
    <w:rsid w:val="001A24AB"/>
    <w:rsid w:val="001A3758"/>
    <w:rsid w:val="001A3E12"/>
    <w:rsid w:val="001A5077"/>
    <w:rsid w:val="001A55B3"/>
    <w:rsid w:val="001A59E4"/>
    <w:rsid w:val="001A5F66"/>
    <w:rsid w:val="001A60DB"/>
    <w:rsid w:val="001A681B"/>
    <w:rsid w:val="001A71BF"/>
    <w:rsid w:val="001A74D8"/>
    <w:rsid w:val="001A780A"/>
    <w:rsid w:val="001B1B6F"/>
    <w:rsid w:val="001B31A4"/>
    <w:rsid w:val="001B3369"/>
    <w:rsid w:val="001B33FB"/>
    <w:rsid w:val="001B3AD4"/>
    <w:rsid w:val="001B3C75"/>
    <w:rsid w:val="001B502F"/>
    <w:rsid w:val="001B5F1D"/>
    <w:rsid w:val="001B761F"/>
    <w:rsid w:val="001C00DC"/>
    <w:rsid w:val="001C100F"/>
    <w:rsid w:val="001C1034"/>
    <w:rsid w:val="001C18AC"/>
    <w:rsid w:val="001C236C"/>
    <w:rsid w:val="001C32A3"/>
    <w:rsid w:val="001C3919"/>
    <w:rsid w:val="001C5180"/>
    <w:rsid w:val="001C576F"/>
    <w:rsid w:val="001C6444"/>
    <w:rsid w:val="001C6E87"/>
    <w:rsid w:val="001C71DD"/>
    <w:rsid w:val="001C7286"/>
    <w:rsid w:val="001C76A5"/>
    <w:rsid w:val="001C7E4A"/>
    <w:rsid w:val="001D0338"/>
    <w:rsid w:val="001D10E8"/>
    <w:rsid w:val="001D1377"/>
    <w:rsid w:val="001D2374"/>
    <w:rsid w:val="001D23D9"/>
    <w:rsid w:val="001D2705"/>
    <w:rsid w:val="001D2F46"/>
    <w:rsid w:val="001D34DC"/>
    <w:rsid w:val="001D375F"/>
    <w:rsid w:val="001D384F"/>
    <w:rsid w:val="001D4096"/>
    <w:rsid w:val="001D6C53"/>
    <w:rsid w:val="001D73F4"/>
    <w:rsid w:val="001E16C1"/>
    <w:rsid w:val="001E21F5"/>
    <w:rsid w:val="001E2DD0"/>
    <w:rsid w:val="001E371B"/>
    <w:rsid w:val="001E56B6"/>
    <w:rsid w:val="001E5A32"/>
    <w:rsid w:val="001E653F"/>
    <w:rsid w:val="001F19AA"/>
    <w:rsid w:val="001F1C2F"/>
    <w:rsid w:val="001F22C8"/>
    <w:rsid w:val="001F2993"/>
    <w:rsid w:val="001F36D2"/>
    <w:rsid w:val="001F3B74"/>
    <w:rsid w:val="001F3D3C"/>
    <w:rsid w:val="001F48E2"/>
    <w:rsid w:val="001F4E78"/>
    <w:rsid w:val="001F504F"/>
    <w:rsid w:val="001F7409"/>
    <w:rsid w:val="001F7C0B"/>
    <w:rsid w:val="00200232"/>
    <w:rsid w:val="00200BEA"/>
    <w:rsid w:val="00200E77"/>
    <w:rsid w:val="00201EFC"/>
    <w:rsid w:val="002021C6"/>
    <w:rsid w:val="0020272E"/>
    <w:rsid w:val="00203ABC"/>
    <w:rsid w:val="00204763"/>
    <w:rsid w:val="00204A89"/>
    <w:rsid w:val="00205B12"/>
    <w:rsid w:val="00206250"/>
    <w:rsid w:val="002065DA"/>
    <w:rsid w:val="002065EB"/>
    <w:rsid w:val="00207266"/>
    <w:rsid w:val="00207358"/>
    <w:rsid w:val="00207781"/>
    <w:rsid w:val="00210532"/>
    <w:rsid w:val="00211523"/>
    <w:rsid w:val="00212106"/>
    <w:rsid w:val="002133FD"/>
    <w:rsid w:val="00213B1C"/>
    <w:rsid w:val="0021421F"/>
    <w:rsid w:val="0021459D"/>
    <w:rsid w:val="00214AD6"/>
    <w:rsid w:val="00215E61"/>
    <w:rsid w:val="002166B5"/>
    <w:rsid w:val="00217419"/>
    <w:rsid w:val="00217FE0"/>
    <w:rsid w:val="00220C69"/>
    <w:rsid w:val="0022136D"/>
    <w:rsid w:val="002225AD"/>
    <w:rsid w:val="00223BB5"/>
    <w:rsid w:val="00224456"/>
    <w:rsid w:val="0022501D"/>
    <w:rsid w:val="00226F02"/>
    <w:rsid w:val="00227917"/>
    <w:rsid w:val="00227B9D"/>
    <w:rsid w:val="00227DB7"/>
    <w:rsid w:val="002322AB"/>
    <w:rsid w:val="00232A4D"/>
    <w:rsid w:val="00232F76"/>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412"/>
    <w:rsid w:val="00244D52"/>
    <w:rsid w:val="0024521A"/>
    <w:rsid w:val="002455C9"/>
    <w:rsid w:val="002459D1"/>
    <w:rsid w:val="00247321"/>
    <w:rsid w:val="00247884"/>
    <w:rsid w:val="00247E4F"/>
    <w:rsid w:val="002500E7"/>
    <w:rsid w:val="002506EA"/>
    <w:rsid w:val="00251229"/>
    <w:rsid w:val="002517FA"/>
    <w:rsid w:val="0025290A"/>
    <w:rsid w:val="002556C1"/>
    <w:rsid w:val="00255DC9"/>
    <w:rsid w:val="00256494"/>
    <w:rsid w:val="0025692D"/>
    <w:rsid w:val="002575EB"/>
    <w:rsid w:val="00262084"/>
    <w:rsid w:val="00263946"/>
    <w:rsid w:val="00263ECA"/>
    <w:rsid w:val="00264034"/>
    <w:rsid w:val="002644CE"/>
    <w:rsid w:val="00264C0E"/>
    <w:rsid w:val="00265008"/>
    <w:rsid w:val="00266973"/>
    <w:rsid w:val="00266BB0"/>
    <w:rsid w:val="0026726A"/>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1E3"/>
    <w:rsid w:val="002816DE"/>
    <w:rsid w:val="00281895"/>
    <w:rsid w:val="00281A9D"/>
    <w:rsid w:val="002822C9"/>
    <w:rsid w:val="00282C00"/>
    <w:rsid w:val="002848E8"/>
    <w:rsid w:val="002849DC"/>
    <w:rsid w:val="00285002"/>
    <w:rsid w:val="00285A19"/>
    <w:rsid w:val="0028791B"/>
    <w:rsid w:val="00287CB4"/>
    <w:rsid w:val="002912E5"/>
    <w:rsid w:val="00291C12"/>
    <w:rsid w:val="00292F88"/>
    <w:rsid w:val="002938C0"/>
    <w:rsid w:val="00293EF5"/>
    <w:rsid w:val="00294E0C"/>
    <w:rsid w:val="0029612F"/>
    <w:rsid w:val="00296FB0"/>
    <w:rsid w:val="002977C3"/>
    <w:rsid w:val="002A04F7"/>
    <w:rsid w:val="002A09B2"/>
    <w:rsid w:val="002A0FFF"/>
    <w:rsid w:val="002A18B6"/>
    <w:rsid w:val="002A20BE"/>
    <w:rsid w:val="002A31A6"/>
    <w:rsid w:val="002A57B4"/>
    <w:rsid w:val="002A5931"/>
    <w:rsid w:val="002A5B2F"/>
    <w:rsid w:val="002A63D6"/>
    <w:rsid w:val="002A77CF"/>
    <w:rsid w:val="002B07CB"/>
    <w:rsid w:val="002B271D"/>
    <w:rsid w:val="002B274E"/>
    <w:rsid w:val="002B3107"/>
    <w:rsid w:val="002B561A"/>
    <w:rsid w:val="002C0317"/>
    <w:rsid w:val="002C1930"/>
    <w:rsid w:val="002C1A9F"/>
    <w:rsid w:val="002C1F7C"/>
    <w:rsid w:val="002C20BB"/>
    <w:rsid w:val="002C4DE8"/>
    <w:rsid w:val="002C5C3F"/>
    <w:rsid w:val="002C607F"/>
    <w:rsid w:val="002C6F2C"/>
    <w:rsid w:val="002C7465"/>
    <w:rsid w:val="002C7F8D"/>
    <w:rsid w:val="002D0673"/>
    <w:rsid w:val="002D0A8D"/>
    <w:rsid w:val="002D1F86"/>
    <w:rsid w:val="002D24AE"/>
    <w:rsid w:val="002D3C2B"/>
    <w:rsid w:val="002D3C6B"/>
    <w:rsid w:val="002D3F7C"/>
    <w:rsid w:val="002D4B7B"/>
    <w:rsid w:val="002D5AC3"/>
    <w:rsid w:val="002D5B3E"/>
    <w:rsid w:val="002D706B"/>
    <w:rsid w:val="002D78C2"/>
    <w:rsid w:val="002E0397"/>
    <w:rsid w:val="002E0999"/>
    <w:rsid w:val="002E13F3"/>
    <w:rsid w:val="002E4AAE"/>
    <w:rsid w:val="002E5A36"/>
    <w:rsid w:val="002E60E3"/>
    <w:rsid w:val="002E7F6B"/>
    <w:rsid w:val="002F140F"/>
    <w:rsid w:val="002F2053"/>
    <w:rsid w:val="002F3ECC"/>
    <w:rsid w:val="002F4C62"/>
    <w:rsid w:val="002F54D3"/>
    <w:rsid w:val="002F5548"/>
    <w:rsid w:val="002F5722"/>
    <w:rsid w:val="002F5C10"/>
    <w:rsid w:val="002F65C2"/>
    <w:rsid w:val="002F7231"/>
    <w:rsid w:val="00300124"/>
    <w:rsid w:val="00300CA0"/>
    <w:rsid w:val="003018A3"/>
    <w:rsid w:val="003020BC"/>
    <w:rsid w:val="00302E27"/>
    <w:rsid w:val="00302EBB"/>
    <w:rsid w:val="003035C2"/>
    <w:rsid w:val="003044CF"/>
    <w:rsid w:val="00304BAC"/>
    <w:rsid w:val="00304D7F"/>
    <w:rsid w:val="00304DE4"/>
    <w:rsid w:val="0030539C"/>
    <w:rsid w:val="003062D9"/>
    <w:rsid w:val="003066EF"/>
    <w:rsid w:val="00307248"/>
    <w:rsid w:val="0030755C"/>
    <w:rsid w:val="0030798D"/>
    <w:rsid w:val="003109D7"/>
    <w:rsid w:val="00311B3A"/>
    <w:rsid w:val="00311FBD"/>
    <w:rsid w:val="0031392C"/>
    <w:rsid w:val="0031486A"/>
    <w:rsid w:val="00315A09"/>
    <w:rsid w:val="00317572"/>
    <w:rsid w:val="003179F8"/>
    <w:rsid w:val="00317C08"/>
    <w:rsid w:val="0032052D"/>
    <w:rsid w:val="00321B62"/>
    <w:rsid w:val="003225E3"/>
    <w:rsid w:val="00322E5C"/>
    <w:rsid w:val="00323629"/>
    <w:rsid w:val="00323914"/>
    <w:rsid w:val="00324A2F"/>
    <w:rsid w:val="00325CE2"/>
    <w:rsid w:val="00326327"/>
    <w:rsid w:val="00326A4D"/>
    <w:rsid w:val="003273CA"/>
    <w:rsid w:val="00327440"/>
    <w:rsid w:val="003305F0"/>
    <w:rsid w:val="00331D34"/>
    <w:rsid w:val="00331DD9"/>
    <w:rsid w:val="00332EBF"/>
    <w:rsid w:val="003336F4"/>
    <w:rsid w:val="00333F5B"/>
    <w:rsid w:val="0033591B"/>
    <w:rsid w:val="003361C2"/>
    <w:rsid w:val="00340248"/>
    <w:rsid w:val="003408F9"/>
    <w:rsid w:val="00340B6C"/>
    <w:rsid w:val="003411C2"/>
    <w:rsid w:val="00341CC6"/>
    <w:rsid w:val="00342CA6"/>
    <w:rsid w:val="00343793"/>
    <w:rsid w:val="00343CA9"/>
    <w:rsid w:val="0034452F"/>
    <w:rsid w:val="00345331"/>
    <w:rsid w:val="00345536"/>
    <w:rsid w:val="0034566F"/>
    <w:rsid w:val="0034674C"/>
    <w:rsid w:val="0034677A"/>
    <w:rsid w:val="00350958"/>
    <w:rsid w:val="00352C45"/>
    <w:rsid w:val="00352D6D"/>
    <w:rsid w:val="00352DC2"/>
    <w:rsid w:val="00353315"/>
    <w:rsid w:val="00353A70"/>
    <w:rsid w:val="00354782"/>
    <w:rsid w:val="00354B69"/>
    <w:rsid w:val="00355E15"/>
    <w:rsid w:val="0035600E"/>
    <w:rsid w:val="00356B6A"/>
    <w:rsid w:val="003574EF"/>
    <w:rsid w:val="0036102E"/>
    <w:rsid w:val="00361CD2"/>
    <w:rsid w:val="00363808"/>
    <w:rsid w:val="00363BAE"/>
    <w:rsid w:val="00363F16"/>
    <w:rsid w:val="0036480C"/>
    <w:rsid w:val="003653EE"/>
    <w:rsid w:val="0036572F"/>
    <w:rsid w:val="0036574C"/>
    <w:rsid w:val="0036774B"/>
    <w:rsid w:val="00367C42"/>
    <w:rsid w:val="00370088"/>
    <w:rsid w:val="00372226"/>
    <w:rsid w:val="003722DC"/>
    <w:rsid w:val="00372E2F"/>
    <w:rsid w:val="00374FD7"/>
    <w:rsid w:val="00375173"/>
    <w:rsid w:val="00375782"/>
    <w:rsid w:val="00376C5C"/>
    <w:rsid w:val="00376CED"/>
    <w:rsid w:val="00377276"/>
    <w:rsid w:val="00377E89"/>
    <w:rsid w:val="00380A80"/>
    <w:rsid w:val="00380BD3"/>
    <w:rsid w:val="0038135C"/>
    <w:rsid w:val="00381F8E"/>
    <w:rsid w:val="003825FC"/>
    <w:rsid w:val="003827BD"/>
    <w:rsid w:val="0038337F"/>
    <w:rsid w:val="00384CFA"/>
    <w:rsid w:val="00385258"/>
    <w:rsid w:val="00385698"/>
    <w:rsid w:val="00386C40"/>
    <w:rsid w:val="0038731F"/>
    <w:rsid w:val="00387449"/>
    <w:rsid w:val="00387BE1"/>
    <w:rsid w:val="00387E07"/>
    <w:rsid w:val="00393501"/>
    <w:rsid w:val="00393F48"/>
    <w:rsid w:val="003949FF"/>
    <w:rsid w:val="00395628"/>
    <w:rsid w:val="0039624A"/>
    <w:rsid w:val="003966A4"/>
    <w:rsid w:val="00396832"/>
    <w:rsid w:val="003A0269"/>
    <w:rsid w:val="003A114C"/>
    <w:rsid w:val="003A22F2"/>
    <w:rsid w:val="003A2FC6"/>
    <w:rsid w:val="003A4129"/>
    <w:rsid w:val="003A44BF"/>
    <w:rsid w:val="003A5B77"/>
    <w:rsid w:val="003A61A5"/>
    <w:rsid w:val="003A635B"/>
    <w:rsid w:val="003A7703"/>
    <w:rsid w:val="003A7B17"/>
    <w:rsid w:val="003B0E45"/>
    <w:rsid w:val="003B272B"/>
    <w:rsid w:val="003B2A46"/>
    <w:rsid w:val="003B2C64"/>
    <w:rsid w:val="003B3927"/>
    <w:rsid w:val="003B3BED"/>
    <w:rsid w:val="003B3D55"/>
    <w:rsid w:val="003B3E38"/>
    <w:rsid w:val="003B4431"/>
    <w:rsid w:val="003B5210"/>
    <w:rsid w:val="003B5605"/>
    <w:rsid w:val="003B5EB6"/>
    <w:rsid w:val="003B6D44"/>
    <w:rsid w:val="003B7A81"/>
    <w:rsid w:val="003B7B3D"/>
    <w:rsid w:val="003C04AD"/>
    <w:rsid w:val="003C16C9"/>
    <w:rsid w:val="003C16CD"/>
    <w:rsid w:val="003C1CA7"/>
    <w:rsid w:val="003C2535"/>
    <w:rsid w:val="003C4B9E"/>
    <w:rsid w:val="003C61E9"/>
    <w:rsid w:val="003C62C5"/>
    <w:rsid w:val="003C7561"/>
    <w:rsid w:val="003C7928"/>
    <w:rsid w:val="003C7C54"/>
    <w:rsid w:val="003D063B"/>
    <w:rsid w:val="003D0945"/>
    <w:rsid w:val="003D1B26"/>
    <w:rsid w:val="003D1B38"/>
    <w:rsid w:val="003D1E0B"/>
    <w:rsid w:val="003D1EFA"/>
    <w:rsid w:val="003D2EF6"/>
    <w:rsid w:val="003D3DA9"/>
    <w:rsid w:val="003D41C8"/>
    <w:rsid w:val="003D59E0"/>
    <w:rsid w:val="003D7647"/>
    <w:rsid w:val="003D7F7C"/>
    <w:rsid w:val="003E0B51"/>
    <w:rsid w:val="003E10C1"/>
    <w:rsid w:val="003E183C"/>
    <w:rsid w:val="003E319A"/>
    <w:rsid w:val="003E3225"/>
    <w:rsid w:val="003E3C64"/>
    <w:rsid w:val="003E5905"/>
    <w:rsid w:val="003E5F22"/>
    <w:rsid w:val="003E6056"/>
    <w:rsid w:val="003E6A34"/>
    <w:rsid w:val="003E794B"/>
    <w:rsid w:val="003E7A69"/>
    <w:rsid w:val="003F0D93"/>
    <w:rsid w:val="003F216D"/>
    <w:rsid w:val="003F360C"/>
    <w:rsid w:val="003F45E5"/>
    <w:rsid w:val="003F48BE"/>
    <w:rsid w:val="003F5A2E"/>
    <w:rsid w:val="003F60F1"/>
    <w:rsid w:val="00400138"/>
    <w:rsid w:val="00400873"/>
    <w:rsid w:val="004011D2"/>
    <w:rsid w:val="00403AC5"/>
    <w:rsid w:val="004055F1"/>
    <w:rsid w:val="004058EA"/>
    <w:rsid w:val="00405B38"/>
    <w:rsid w:val="00407BD1"/>
    <w:rsid w:val="00407EEE"/>
    <w:rsid w:val="004101B9"/>
    <w:rsid w:val="0041267C"/>
    <w:rsid w:val="00412855"/>
    <w:rsid w:val="0041299D"/>
    <w:rsid w:val="00414098"/>
    <w:rsid w:val="0041437F"/>
    <w:rsid w:val="004147D2"/>
    <w:rsid w:val="00414C51"/>
    <w:rsid w:val="004151B4"/>
    <w:rsid w:val="004166D8"/>
    <w:rsid w:val="00421886"/>
    <w:rsid w:val="004223E1"/>
    <w:rsid w:val="004226C7"/>
    <w:rsid w:val="00423970"/>
    <w:rsid w:val="00424449"/>
    <w:rsid w:val="00424F46"/>
    <w:rsid w:val="00426010"/>
    <w:rsid w:val="00426B96"/>
    <w:rsid w:val="00427AF2"/>
    <w:rsid w:val="0043002B"/>
    <w:rsid w:val="004320AE"/>
    <w:rsid w:val="00434BD1"/>
    <w:rsid w:val="00435E77"/>
    <w:rsid w:val="00436153"/>
    <w:rsid w:val="004369D4"/>
    <w:rsid w:val="00436D27"/>
    <w:rsid w:val="00440461"/>
    <w:rsid w:val="00440AA3"/>
    <w:rsid w:val="00440AA6"/>
    <w:rsid w:val="004416B7"/>
    <w:rsid w:val="00441BA6"/>
    <w:rsid w:val="004424D1"/>
    <w:rsid w:val="00444334"/>
    <w:rsid w:val="004447F8"/>
    <w:rsid w:val="004449BD"/>
    <w:rsid w:val="004454EF"/>
    <w:rsid w:val="00445BE7"/>
    <w:rsid w:val="004463F2"/>
    <w:rsid w:val="00446B22"/>
    <w:rsid w:val="00446DC5"/>
    <w:rsid w:val="004472C3"/>
    <w:rsid w:val="00450C01"/>
    <w:rsid w:val="00453075"/>
    <w:rsid w:val="00455182"/>
    <w:rsid w:val="00456FC3"/>
    <w:rsid w:val="00457347"/>
    <w:rsid w:val="00457459"/>
    <w:rsid w:val="00457EC0"/>
    <w:rsid w:val="00460414"/>
    <w:rsid w:val="00460838"/>
    <w:rsid w:val="004611AD"/>
    <w:rsid w:val="00461FBC"/>
    <w:rsid w:val="004633BA"/>
    <w:rsid w:val="004633C6"/>
    <w:rsid w:val="00463598"/>
    <w:rsid w:val="00463C9E"/>
    <w:rsid w:val="0046498B"/>
    <w:rsid w:val="004663B1"/>
    <w:rsid w:val="00466DB6"/>
    <w:rsid w:val="00467E2B"/>
    <w:rsid w:val="00467FDA"/>
    <w:rsid w:val="00470024"/>
    <w:rsid w:val="004701FA"/>
    <w:rsid w:val="00470730"/>
    <w:rsid w:val="004708DD"/>
    <w:rsid w:val="00473658"/>
    <w:rsid w:val="00477EF6"/>
    <w:rsid w:val="004809A0"/>
    <w:rsid w:val="004810C3"/>
    <w:rsid w:val="004821CC"/>
    <w:rsid w:val="00482693"/>
    <w:rsid w:val="00482F3C"/>
    <w:rsid w:val="00483653"/>
    <w:rsid w:val="00484006"/>
    <w:rsid w:val="00484086"/>
    <w:rsid w:val="004847BB"/>
    <w:rsid w:val="004849ED"/>
    <w:rsid w:val="004854F3"/>
    <w:rsid w:val="00486478"/>
    <w:rsid w:val="0048667A"/>
    <w:rsid w:val="0048746D"/>
    <w:rsid w:val="004917CD"/>
    <w:rsid w:val="0049216E"/>
    <w:rsid w:val="00492A51"/>
    <w:rsid w:val="00493168"/>
    <w:rsid w:val="0049373E"/>
    <w:rsid w:val="00494435"/>
    <w:rsid w:val="00494AEA"/>
    <w:rsid w:val="00494BED"/>
    <w:rsid w:val="00494E12"/>
    <w:rsid w:val="00495459"/>
    <w:rsid w:val="0049606A"/>
    <w:rsid w:val="0049659C"/>
    <w:rsid w:val="0049758E"/>
    <w:rsid w:val="004975D6"/>
    <w:rsid w:val="004A07C3"/>
    <w:rsid w:val="004A0AAD"/>
    <w:rsid w:val="004A2717"/>
    <w:rsid w:val="004A2944"/>
    <w:rsid w:val="004A2CA3"/>
    <w:rsid w:val="004A2DF6"/>
    <w:rsid w:val="004A3DB2"/>
    <w:rsid w:val="004A40A5"/>
    <w:rsid w:val="004A47CB"/>
    <w:rsid w:val="004A4C75"/>
    <w:rsid w:val="004A4E12"/>
    <w:rsid w:val="004A51B2"/>
    <w:rsid w:val="004A5E4E"/>
    <w:rsid w:val="004A6A4D"/>
    <w:rsid w:val="004A6DB2"/>
    <w:rsid w:val="004B00FD"/>
    <w:rsid w:val="004B19C9"/>
    <w:rsid w:val="004B1AF0"/>
    <w:rsid w:val="004B2766"/>
    <w:rsid w:val="004B3224"/>
    <w:rsid w:val="004B3E69"/>
    <w:rsid w:val="004B4B2C"/>
    <w:rsid w:val="004B598A"/>
    <w:rsid w:val="004B5BF2"/>
    <w:rsid w:val="004C04FC"/>
    <w:rsid w:val="004C0A14"/>
    <w:rsid w:val="004C180A"/>
    <w:rsid w:val="004C289D"/>
    <w:rsid w:val="004C28A0"/>
    <w:rsid w:val="004C3243"/>
    <w:rsid w:val="004C4760"/>
    <w:rsid w:val="004C48F0"/>
    <w:rsid w:val="004C5137"/>
    <w:rsid w:val="004C6542"/>
    <w:rsid w:val="004D0B16"/>
    <w:rsid w:val="004D0C03"/>
    <w:rsid w:val="004D0FD1"/>
    <w:rsid w:val="004D1B03"/>
    <w:rsid w:val="004D1F26"/>
    <w:rsid w:val="004D1F42"/>
    <w:rsid w:val="004D2528"/>
    <w:rsid w:val="004D28EA"/>
    <w:rsid w:val="004D39FE"/>
    <w:rsid w:val="004D3A64"/>
    <w:rsid w:val="004D46CB"/>
    <w:rsid w:val="004D4E05"/>
    <w:rsid w:val="004D5644"/>
    <w:rsid w:val="004D66AF"/>
    <w:rsid w:val="004D7333"/>
    <w:rsid w:val="004D7389"/>
    <w:rsid w:val="004D7421"/>
    <w:rsid w:val="004E486F"/>
    <w:rsid w:val="004E627C"/>
    <w:rsid w:val="004E645E"/>
    <w:rsid w:val="004E75CF"/>
    <w:rsid w:val="004F14FA"/>
    <w:rsid w:val="004F1E70"/>
    <w:rsid w:val="004F1FA0"/>
    <w:rsid w:val="004F3C3B"/>
    <w:rsid w:val="004F3DD9"/>
    <w:rsid w:val="004F6436"/>
    <w:rsid w:val="004F7053"/>
    <w:rsid w:val="004F7167"/>
    <w:rsid w:val="005018B4"/>
    <w:rsid w:val="00501B4A"/>
    <w:rsid w:val="00501BCD"/>
    <w:rsid w:val="00502E90"/>
    <w:rsid w:val="00503E1C"/>
    <w:rsid w:val="005043A5"/>
    <w:rsid w:val="005058EC"/>
    <w:rsid w:val="00505AC0"/>
    <w:rsid w:val="0050609C"/>
    <w:rsid w:val="00506423"/>
    <w:rsid w:val="00506C53"/>
    <w:rsid w:val="00510D2F"/>
    <w:rsid w:val="00511842"/>
    <w:rsid w:val="00511F5D"/>
    <w:rsid w:val="00512BEF"/>
    <w:rsid w:val="00513317"/>
    <w:rsid w:val="00513F36"/>
    <w:rsid w:val="00513F37"/>
    <w:rsid w:val="00515427"/>
    <w:rsid w:val="00516300"/>
    <w:rsid w:val="00516A5B"/>
    <w:rsid w:val="00516F8D"/>
    <w:rsid w:val="00517D26"/>
    <w:rsid w:val="00520961"/>
    <w:rsid w:val="00520B2D"/>
    <w:rsid w:val="00520C3A"/>
    <w:rsid w:val="0052175A"/>
    <w:rsid w:val="00522632"/>
    <w:rsid w:val="00523030"/>
    <w:rsid w:val="00524463"/>
    <w:rsid w:val="005253A2"/>
    <w:rsid w:val="00525620"/>
    <w:rsid w:val="00525AB8"/>
    <w:rsid w:val="00525F82"/>
    <w:rsid w:val="005311D5"/>
    <w:rsid w:val="00531FB3"/>
    <w:rsid w:val="00532A82"/>
    <w:rsid w:val="00532CA9"/>
    <w:rsid w:val="00532F29"/>
    <w:rsid w:val="00533254"/>
    <w:rsid w:val="0053395D"/>
    <w:rsid w:val="0053413A"/>
    <w:rsid w:val="0053541D"/>
    <w:rsid w:val="00535BF7"/>
    <w:rsid w:val="005372A6"/>
    <w:rsid w:val="005374CA"/>
    <w:rsid w:val="005410CB"/>
    <w:rsid w:val="00541901"/>
    <w:rsid w:val="00541945"/>
    <w:rsid w:val="005419B7"/>
    <w:rsid w:val="00541CBF"/>
    <w:rsid w:val="00544133"/>
    <w:rsid w:val="005444AC"/>
    <w:rsid w:val="0054467D"/>
    <w:rsid w:val="00544B40"/>
    <w:rsid w:val="00544CAA"/>
    <w:rsid w:val="00545871"/>
    <w:rsid w:val="00545A03"/>
    <w:rsid w:val="00546886"/>
    <w:rsid w:val="00550136"/>
    <w:rsid w:val="005505A9"/>
    <w:rsid w:val="00550949"/>
    <w:rsid w:val="00553F1D"/>
    <w:rsid w:val="00554678"/>
    <w:rsid w:val="0055501B"/>
    <w:rsid w:val="00555AB6"/>
    <w:rsid w:val="0056014B"/>
    <w:rsid w:val="00560349"/>
    <w:rsid w:val="00561407"/>
    <w:rsid w:val="005614D8"/>
    <w:rsid w:val="00562135"/>
    <w:rsid w:val="005628ED"/>
    <w:rsid w:val="005630C9"/>
    <w:rsid w:val="00563240"/>
    <w:rsid w:val="005637E0"/>
    <w:rsid w:val="00563B99"/>
    <w:rsid w:val="00565B0A"/>
    <w:rsid w:val="00566416"/>
    <w:rsid w:val="005664CB"/>
    <w:rsid w:val="005667F9"/>
    <w:rsid w:val="00566D7F"/>
    <w:rsid w:val="0057081A"/>
    <w:rsid w:val="00570E96"/>
    <w:rsid w:val="0057148D"/>
    <w:rsid w:val="00571A6D"/>
    <w:rsid w:val="005721A1"/>
    <w:rsid w:val="005727DA"/>
    <w:rsid w:val="00573550"/>
    <w:rsid w:val="00573B44"/>
    <w:rsid w:val="00573DFD"/>
    <w:rsid w:val="00575725"/>
    <w:rsid w:val="00575A46"/>
    <w:rsid w:val="005769AF"/>
    <w:rsid w:val="005774B5"/>
    <w:rsid w:val="00581129"/>
    <w:rsid w:val="00581791"/>
    <w:rsid w:val="00581B38"/>
    <w:rsid w:val="00585837"/>
    <w:rsid w:val="00585F0B"/>
    <w:rsid w:val="00586787"/>
    <w:rsid w:val="00587189"/>
    <w:rsid w:val="00587B7E"/>
    <w:rsid w:val="00590759"/>
    <w:rsid w:val="00591493"/>
    <w:rsid w:val="00592E90"/>
    <w:rsid w:val="0059326F"/>
    <w:rsid w:val="005943C3"/>
    <w:rsid w:val="00596569"/>
    <w:rsid w:val="0059660B"/>
    <w:rsid w:val="00596A81"/>
    <w:rsid w:val="005973AA"/>
    <w:rsid w:val="005A0EB9"/>
    <w:rsid w:val="005A1006"/>
    <w:rsid w:val="005A3404"/>
    <w:rsid w:val="005A4F69"/>
    <w:rsid w:val="005A53F6"/>
    <w:rsid w:val="005A5440"/>
    <w:rsid w:val="005A648E"/>
    <w:rsid w:val="005A732E"/>
    <w:rsid w:val="005B130C"/>
    <w:rsid w:val="005B1A74"/>
    <w:rsid w:val="005B2074"/>
    <w:rsid w:val="005B2427"/>
    <w:rsid w:val="005B2D76"/>
    <w:rsid w:val="005B33DF"/>
    <w:rsid w:val="005B5E53"/>
    <w:rsid w:val="005B7080"/>
    <w:rsid w:val="005B729A"/>
    <w:rsid w:val="005B7341"/>
    <w:rsid w:val="005B7B3C"/>
    <w:rsid w:val="005C0188"/>
    <w:rsid w:val="005C0236"/>
    <w:rsid w:val="005C1A0E"/>
    <w:rsid w:val="005C2992"/>
    <w:rsid w:val="005C33AD"/>
    <w:rsid w:val="005C3F69"/>
    <w:rsid w:val="005C6423"/>
    <w:rsid w:val="005D0D2A"/>
    <w:rsid w:val="005D25EE"/>
    <w:rsid w:val="005D2CB6"/>
    <w:rsid w:val="005D574F"/>
    <w:rsid w:val="005D67D6"/>
    <w:rsid w:val="005D7701"/>
    <w:rsid w:val="005D7D9C"/>
    <w:rsid w:val="005E0D66"/>
    <w:rsid w:val="005E100B"/>
    <w:rsid w:val="005E1371"/>
    <w:rsid w:val="005E1417"/>
    <w:rsid w:val="005E1A6F"/>
    <w:rsid w:val="005E1DEF"/>
    <w:rsid w:val="005E1FD8"/>
    <w:rsid w:val="005E2751"/>
    <w:rsid w:val="005E30A9"/>
    <w:rsid w:val="005E3228"/>
    <w:rsid w:val="005E42DC"/>
    <w:rsid w:val="005E447F"/>
    <w:rsid w:val="005E4B3B"/>
    <w:rsid w:val="005E6682"/>
    <w:rsid w:val="005E66F2"/>
    <w:rsid w:val="005E69F1"/>
    <w:rsid w:val="005E739F"/>
    <w:rsid w:val="005F0CAB"/>
    <w:rsid w:val="005F0D66"/>
    <w:rsid w:val="005F0E61"/>
    <w:rsid w:val="005F1D52"/>
    <w:rsid w:val="005F1EF6"/>
    <w:rsid w:val="005F2B9A"/>
    <w:rsid w:val="005F2BD7"/>
    <w:rsid w:val="005F49F9"/>
    <w:rsid w:val="005F4FFC"/>
    <w:rsid w:val="005F6512"/>
    <w:rsid w:val="005F73C6"/>
    <w:rsid w:val="005F7CC2"/>
    <w:rsid w:val="006000DA"/>
    <w:rsid w:val="006004EE"/>
    <w:rsid w:val="00600577"/>
    <w:rsid w:val="00601605"/>
    <w:rsid w:val="0060236F"/>
    <w:rsid w:val="00602EA3"/>
    <w:rsid w:val="00603014"/>
    <w:rsid w:val="00603B48"/>
    <w:rsid w:val="00604197"/>
    <w:rsid w:val="00604A83"/>
    <w:rsid w:val="00604E93"/>
    <w:rsid w:val="0060510F"/>
    <w:rsid w:val="006054C9"/>
    <w:rsid w:val="00605734"/>
    <w:rsid w:val="00606344"/>
    <w:rsid w:val="00606721"/>
    <w:rsid w:val="00606B8F"/>
    <w:rsid w:val="00606C99"/>
    <w:rsid w:val="0060711B"/>
    <w:rsid w:val="00607471"/>
    <w:rsid w:val="00610CDC"/>
    <w:rsid w:val="00611644"/>
    <w:rsid w:val="00611704"/>
    <w:rsid w:val="006119FA"/>
    <w:rsid w:val="00612445"/>
    <w:rsid w:val="006124B3"/>
    <w:rsid w:val="0061368D"/>
    <w:rsid w:val="00613AF8"/>
    <w:rsid w:val="00613BB9"/>
    <w:rsid w:val="00613DDA"/>
    <w:rsid w:val="0061411E"/>
    <w:rsid w:val="006143F8"/>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1FAF"/>
    <w:rsid w:val="00632E9C"/>
    <w:rsid w:val="006334C8"/>
    <w:rsid w:val="006336BB"/>
    <w:rsid w:val="00633F49"/>
    <w:rsid w:val="00634607"/>
    <w:rsid w:val="0063486B"/>
    <w:rsid w:val="00634CE0"/>
    <w:rsid w:val="00635FEF"/>
    <w:rsid w:val="00636808"/>
    <w:rsid w:val="00636CFC"/>
    <w:rsid w:val="00636DB1"/>
    <w:rsid w:val="00640EF0"/>
    <w:rsid w:val="006416E7"/>
    <w:rsid w:val="006432A5"/>
    <w:rsid w:val="00644070"/>
    <w:rsid w:val="00645869"/>
    <w:rsid w:val="00645CD6"/>
    <w:rsid w:val="00646026"/>
    <w:rsid w:val="00646154"/>
    <w:rsid w:val="00646477"/>
    <w:rsid w:val="006469B1"/>
    <w:rsid w:val="00647A46"/>
    <w:rsid w:val="00650384"/>
    <w:rsid w:val="00652DE7"/>
    <w:rsid w:val="00653FFE"/>
    <w:rsid w:val="0065606C"/>
    <w:rsid w:val="00656628"/>
    <w:rsid w:val="006609AE"/>
    <w:rsid w:val="006617C2"/>
    <w:rsid w:val="00661E9B"/>
    <w:rsid w:val="006620D5"/>
    <w:rsid w:val="006622D4"/>
    <w:rsid w:val="00662A9F"/>
    <w:rsid w:val="00663485"/>
    <w:rsid w:val="00664E16"/>
    <w:rsid w:val="00665858"/>
    <w:rsid w:val="00665C66"/>
    <w:rsid w:val="006663B5"/>
    <w:rsid w:val="00670809"/>
    <w:rsid w:val="00671145"/>
    <w:rsid w:val="00672124"/>
    <w:rsid w:val="0067303D"/>
    <w:rsid w:val="00674D19"/>
    <w:rsid w:val="00675243"/>
    <w:rsid w:val="006753BA"/>
    <w:rsid w:val="006755DF"/>
    <w:rsid w:val="00676907"/>
    <w:rsid w:val="00676C55"/>
    <w:rsid w:val="00676D41"/>
    <w:rsid w:val="00676DE5"/>
    <w:rsid w:val="00676FA1"/>
    <w:rsid w:val="00677C88"/>
    <w:rsid w:val="006803D5"/>
    <w:rsid w:val="00680A2A"/>
    <w:rsid w:val="00681090"/>
    <w:rsid w:val="006818AA"/>
    <w:rsid w:val="006820E0"/>
    <w:rsid w:val="00682901"/>
    <w:rsid w:val="006829BB"/>
    <w:rsid w:val="006834D0"/>
    <w:rsid w:val="00683EE8"/>
    <w:rsid w:val="0068544A"/>
    <w:rsid w:val="00685F82"/>
    <w:rsid w:val="00687D68"/>
    <w:rsid w:val="006906EF"/>
    <w:rsid w:val="00690B82"/>
    <w:rsid w:val="0069564F"/>
    <w:rsid w:val="00695D8D"/>
    <w:rsid w:val="00696057"/>
    <w:rsid w:val="00696195"/>
    <w:rsid w:val="0069737B"/>
    <w:rsid w:val="0069750C"/>
    <w:rsid w:val="006A00AF"/>
    <w:rsid w:val="006A0495"/>
    <w:rsid w:val="006A0780"/>
    <w:rsid w:val="006A0950"/>
    <w:rsid w:val="006A0B45"/>
    <w:rsid w:val="006A1EC4"/>
    <w:rsid w:val="006A30FA"/>
    <w:rsid w:val="006A3295"/>
    <w:rsid w:val="006A3DFE"/>
    <w:rsid w:val="006A4925"/>
    <w:rsid w:val="006A5AE4"/>
    <w:rsid w:val="006A6547"/>
    <w:rsid w:val="006A70F0"/>
    <w:rsid w:val="006A7278"/>
    <w:rsid w:val="006A76DE"/>
    <w:rsid w:val="006A799F"/>
    <w:rsid w:val="006B0BCF"/>
    <w:rsid w:val="006B0DDB"/>
    <w:rsid w:val="006B17CB"/>
    <w:rsid w:val="006B1800"/>
    <w:rsid w:val="006B1F4B"/>
    <w:rsid w:val="006B201B"/>
    <w:rsid w:val="006B265C"/>
    <w:rsid w:val="006B2EB5"/>
    <w:rsid w:val="006B34E9"/>
    <w:rsid w:val="006B43BB"/>
    <w:rsid w:val="006B4B73"/>
    <w:rsid w:val="006B4F22"/>
    <w:rsid w:val="006B5DB5"/>
    <w:rsid w:val="006B6493"/>
    <w:rsid w:val="006B7742"/>
    <w:rsid w:val="006C236D"/>
    <w:rsid w:val="006C3531"/>
    <w:rsid w:val="006C4698"/>
    <w:rsid w:val="006C4AAD"/>
    <w:rsid w:val="006C5112"/>
    <w:rsid w:val="006C5246"/>
    <w:rsid w:val="006C5828"/>
    <w:rsid w:val="006C6482"/>
    <w:rsid w:val="006C65C2"/>
    <w:rsid w:val="006C6768"/>
    <w:rsid w:val="006C6B59"/>
    <w:rsid w:val="006C75C7"/>
    <w:rsid w:val="006C7D48"/>
    <w:rsid w:val="006D0456"/>
    <w:rsid w:val="006D0DE3"/>
    <w:rsid w:val="006D0F80"/>
    <w:rsid w:val="006D1100"/>
    <w:rsid w:val="006D11FE"/>
    <w:rsid w:val="006D13F8"/>
    <w:rsid w:val="006D15BA"/>
    <w:rsid w:val="006D16E4"/>
    <w:rsid w:val="006D19BC"/>
    <w:rsid w:val="006D22B8"/>
    <w:rsid w:val="006D3014"/>
    <w:rsid w:val="006D587E"/>
    <w:rsid w:val="006D66F4"/>
    <w:rsid w:val="006D7210"/>
    <w:rsid w:val="006E02C2"/>
    <w:rsid w:val="006E06C0"/>
    <w:rsid w:val="006E20D4"/>
    <w:rsid w:val="006E230F"/>
    <w:rsid w:val="006E284E"/>
    <w:rsid w:val="006E2AE7"/>
    <w:rsid w:val="006E2DCE"/>
    <w:rsid w:val="006E43A2"/>
    <w:rsid w:val="006E4E51"/>
    <w:rsid w:val="006E63D6"/>
    <w:rsid w:val="006E7D5D"/>
    <w:rsid w:val="006F0B9C"/>
    <w:rsid w:val="006F0D0A"/>
    <w:rsid w:val="006F14F9"/>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1FB2"/>
    <w:rsid w:val="00712EF0"/>
    <w:rsid w:val="007132E7"/>
    <w:rsid w:val="00714276"/>
    <w:rsid w:val="007150CD"/>
    <w:rsid w:val="0071512E"/>
    <w:rsid w:val="00715B2E"/>
    <w:rsid w:val="0071650C"/>
    <w:rsid w:val="00716D73"/>
    <w:rsid w:val="00717109"/>
    <w:rsid w:val="007203E3"/>
    <w:rsid w:val="00721AFA"/>
    <w:rsid w:val="007238D5"/>
    <w:rsid w:val="007248AF"/>
    <w:rsid w:val="00726076"/>
    <w:rsid w:val="007275F8"/>
    <w:rsid w:val="00727651"/>
    <w:rsid w:val="00727962"/>
    <w:rsid w:val="00727BC4"/>
    <w:rsid w:val="00727BFE"/>
    <w:rsid w:val="0073257C"/>
    <w:rsid w:val="007333EB"/>
    <w:rsid w:val="0073411F"/>
    <w:rsid w:val="00734178"/>
    <w:rsid w:val="007349E8"/>
    <w:rsid w:val="007365B8"/>
    <w:rsid w:val="00736D87"/>
    <w:rsid w:val="00737C7F"/>
    <w:rsid w:val="00737CB1"/>
    <w:rsid w:val="00737E4A"/>
    <w:rsid w:val="00740AFC"/>
    <w:rsid w:val="00740C1C"/>
    <w:rsid w:val="00740DA3"/>
    <w:rsid w:val="0074209F"/>
    <w:rsid w:val="0074255B"/>
    <w:rsid w:val="00742BDF"/>
    <w:rsid w:val="007431B7"/>
    <w:rsid w:val="00745275"/>
    <w:rsid w:val="00747771"/>
    <w:rsid w:val="00747804"/>
    <w:rsid w:val="007522AE"/>
    <w:rsid w:val="00752B19"/>
    <w:rsid w:val="007537A3"/>
    <w:rsid w:val="00753B98"/>
    <w:rsid w:val="007554FA"/>
    <w:rsid w:val="007559F0"/>
    <w:rsid w:val="00755A5D"/>
    <w:rsid w:val="00756C95"/>
    <w:rsid w:val="007571D2"/>
    <w:rsid w:val="00757530"/>
    <w:rsid w:val="00760B10"/>
    <w:rsid w:val="00762231"/>
    <w:rsid w:val="00762DA6"/>
    <w:rsid w:val="007632BA"/>
    <w:rsid w:val="00763749"/>
    <w:rsid w:val="00764591"/>
    <w:rsid w:val="007651B3"/>
    <w:rsid w:val="0076550D"/>
    <w:rsid w:val="00765DD7"/>
    <w:rsid w:val="00766AB4"/>
    <w:rsid w:val="0077014F"/>
    <w:rsid w:val="00770312"/>
    <w:rsid w:val="007707C0"/>
    <w:rsid w:val="00770E3A"/>
    <w:rsid w:val="0077199F"/>
    <w:rsid w:val="00771C57"/>
    <w:rsid w:val="00774343"/>
    <w:rsid w:val="00774A4B"/>
    <w:rsid w:val="00775FC4"/>
    <w:rsid w:val="007766B9"/>
    <w:rsid w:val="007801B9"/>
    <w:rsid w:val="0078061D"/>
    <w:rsid w:val="007819BB"/>
    <w:rsid w:val="00782301"/>
    <w:rsid w:val="00783925"/>
    <w:rsid w:val="007842B2"/>
    <w:rsid w:val="007853CA"/>
    <w:rsid w:val="007865A6"/>
    <w:rsid w:val="00786E0B"/>
    <w:rsid w:val="00787E47"/>
    <w:rsid w:val="00787F31"/>
    <w:rsid w:val="00790301"/>
    <w:rsid w:val="00791C53"/>
    <w:rsid w:val="007924EF"/>
    <w:rsid w:val="00792E16"/>
    <w:rsid w:val="00793928"/>
    <w:rsid w:val="00793ADF"/>
    <w:rsid w:val="00793EA0"/>
    <w:rsid w:val="00793ECA"/>
    <w:rsid w:val="00794E01"/>
    <w:rsid w:val="00795086"/>
    <w:rsid w:val="007958AF"/>
    <w:rsid w:val="00796032"/>
    <w:rsid w:val="00796145"/>
    <w:rsid w:val="00796302"/>
    <w:rsid w:val="00796E6F"/>
    <w:rsid w:val="007977A5"/>
    <w:rsid w:val="00797849"/>
    <w:rsid w:val="007A095A"/>
    <w:rsid w:val="007A0B2F"/>
    <w:rsid w:val="007A1357"/>
    <w:rsid w:val="007A1F60"/>
    <w:rsid w:val="007A1F68"/>
    <w:rsid w:val="007A23B5"/>
    <w:rsid w:val="007A2419"/>
    <w:rsid w:val="007A29EC"/>
    <w:rsid w:val="007A415D"/>
    <w:rsid w:val="007A4915"/>
    <w:rsid w:val="007A4B1B"/>
    <w:rsid w:val="007A7776"/>
    <w:rsid w:val="007B07A6"/>
    <w:rsid w:val="007B0CB5"/>
    <w:rsid w:val="007B1898"/>
    <w:rsid w:val="007B3937"/>
    <w:rsid w:val="007B3C00"/>
    <w:rsid w:val="007C12AF"/>
    <w:rsid w:val="007C12B5"/>
    <w:rsid w:val="007C2A0A"/>
    <w:rsid w:val="007C33BF"/>
    <w:rsid w:val="007C489B"/>
    <w:rsid w:val="007C4B99"/>
    <w:rsid w:val="007C4C48"/>
    <w:rsid w:val="007C4D2D"/>
    <w:rsid w:val="007C5140"/>
    <w:rsid w:val="007C52D9"/>
    <w:rsid w:val="007C5342"/>
    <w:rsid w:val="007C5B87"/>
    <w:rsid w:val="007C73A6"/>
    <w:rsid w:val="007C7554"/>
    <w:rsid w:val="007C7834"/>
    <w:rsid w:val="007D0210"/>
    <w:rsid w:val="007D353E"/>
    <w:rsid w:val="007D5BCD"/>
    <w:rsid w:val="007D67FF"/>
    <w:rsid w:val="007D6890"/>
    <w:rsid w:val="007E0E71"/>
    <w:rsid w:val="007E15FE"/>
    <w:rsid w:val="007E1C1E"/>
    <w:rsid w:val="007E1C82"/>
    <w:rsid w:val="007E1CAC"/>
    <w:rsid w:val="007E1D38"/>
    <w:rsid w:val="007E2972"/>
    <w:rsid w:val="007E6FA9"/>
    <w:rsid w:val="007E7526"/>
    <w:rsid w:val="007E7DC1"/>
    <w:rsid w:val="007F0DB4"/>
    <w:rsid w:val="007F1E33"/>
    <w:rsid w:val="007F219C"/>
    <w:rsid w:val="007F3FB7"/>
    <w:rsid w:val="007F46C4"/>
    <w:rsid w:val="007F4BE5"/>
    <w:rsid w:val="007F4CA1"/>
    <w:rsid w:val="007F5C25"/>
    <w:rsid w:val="007F64F5"/>
    <w:rsid w:val="007F68CE"/>
    <w:rsid w:val="007F6A3D"/>
    <w:rsid w:val="007F735B"/>
    <w:rsid w:val="007F75F7"/>
    <w:rsid w:val="007F7BFC"/>
    <w:rsid w:val="007F7D95"/>
    <w:rsid w:val="00800131"/>
    <w:rsid w:val="00800EE5"/>
    <w:rsid w:val="00801CFD"/>
    <w:rsid w:val="00801DF7"/>
    <w:rsid w:val="00802070"/>
    <w:rsid w:val="00803A48"/>
    <w:rsid w:val="00803B4F"/>
    <w:rsid w:val="00804E62"/>
    <w:rsid w:val="008054E6"/>
    <w:rsid w:val="008070FF"/>
    <w:rsid w:val="0081039F"/>
    <w:rsid w:val="008128A7"/>
    <w:rsid w:val="00812920"/>
    <w:rsid w:val="008144DF"/>
    <w:rsid w:val="00815478"/>
    <w:rsid w:val="0081564E"/>
    <w:rsid w:val="0082056C"/>
    <w:rsid w:val="00820819"/>
    <w:rsid w:val="008208E5"/>
    <w:rsid w:val="00820E95"/>
    <w:rsid w:val="0082104F"/>
    <w:rsid w:val="00821191"/>
    <w:rsid w:val="00821445"/>
    <w:rsid w:val="00821D94"/>
    <w:rsid w:val="00824977"/>
    <w:rsid w:val="00824A2C"/>
    <w:rsid w:val="00826E35"/>
    <w:rsid w:val="00826F7D"/>
    <w:rsid w:val="0083001C"/>
    <w:rsid w:val="0083009A"/>
    <w:rsid w:val="00830949"/>
    <w:rsid w:val="00830CF3"/>
    <w:rsid w:val="008314ED"/>
    <w:rsid w:val="00831D23"/>
    <w:rsid w:val="008322E1"/>
    <w:rsid w:val="008324F1"/>
    <w:rsid w:val="00832831"/>
    <w:rsid w:val="008333E3"/>
    <w:rsid w:val="00833841"/>
    <w:rsid w:val="0083475F"/>
    <w:rsid w:val="00834E70"/>
    <w:rsid w:val="008350F5"/>
    <w:rsid w:val="00835214"/>
    <w:rsid w:val="0083581A"/>
    <w:rsid w:val="00836263"/>
    <w:rsid w:val="008366A6"/>
    <w:rsid w:val="00837AF6"/>
    <w:rsid w:val="00840022"/>
    <w:rsid w:val="008403F7"/>
    <w:rsid w:val="00840ADD"/>
    <w:rsid w:val="0084178C"/>
    <w:rsid w:val="008436EC"/>
    <w:rsid w:val="00843D33"/>
    <w:rsid w:val="00844225"/>
    <w:rsid w:val="00844EFF"/>
    <w:rsid w:val="00845EAA"/>
    <w:rsid w:val="00846CEF"/>
    <w:rsid w:val="00850E67"/>
    <w:rsid w:val="008512C3"/>
    <w:rsid w:val="008519D0"/>
    <w:rsid w:val="00851AE2"/>
    <w:rsid w:val="00851B2E"/>
    <w:rsid w:val="00851EE6"/>
    <w:rsid w:val="00852D1F"/>
    <w:rsid w:val="00854056"/>
    <w:rsid w:val="0085425E"/>
    <w:rsid w:val="008544C2"/>
    <w:rsid w:val="008546C5"/>
    <w:rsid w:val="00854D45"/>
    <w:rsid w:val="00855112"/>
    <w:rsid w:val="008561B6"/>
    <w:rsid w:val="00860306"/>
    <w:rsid w:val="00860871"/>
    <w:rsid w:val="008612F0"/>
    <w:rsid w:val="008624D4"/>
    <w:rsid w:val="00862F88"/>
    <w:rsid w:val="008638A2"/>
    <w:rsid w:val="00866B6D"/>
    <w:rsid w:val="0086793A"/>
    <w:rsid w:val="00867A89"/>
    <w:rsid w:val="008700F1"/>
    <w:rsid w:val="00870253"/>
    <w:rsid w:val="008703F6"/>
    <w:rsid w:val="00871AB9"/>
    <w:rsid w:val="00874529"/>
    <w:rsid w:val="00874CD3"/>
    <w:rsid w:val="008759DE"/>
    <w:rsid w:val="0087707C"/>
    <w:rsid w:val="00877089"/>
    <w:rsid w:val="00880486"/>
    <w:rsid w:val="00882779"/>
    <w:rsid w:val="00882B01"/>
    <w:rsid w:val="00882F4E"/>
    <w:rsid w:val="008845F6"/>
    <w:rsid w:val="008848A4"/>
    <w:rsid w:val="00884F18"/>
    <w:rsid w:val="0088504D"/>
    <w:rsid w:val="00885757"/>
    <w:rsid w:val="0088577C"/>
    <w:rsid w:val="008862AB"/>
    <w:rsid w:val="00886DD8"/>
    <w:rsid w:val="00890FC3"/>
    <w:rsid w:val="00892B6D"/>
    <w:rsid w:val="0089322E"/>
    <w:rsid w:val="00893D17"/>
    <w:rsid w:val="008947A2"/>
    <w:rsid w:val="008955D8"/>
    <w:rsid w:val="00895767"/>
    <w:rsid w:val="008968CC"/>
    <w:rsid w:val="00896CDF"/>
    <w:rsid w:val="008974DB"/>
    <w:rsid w:val="008A0677"/>
    <w:rsid w:val="008A3020"/>
    <w:rsid w:val="008A315D"/>
    <w:rsid w:val="008A4346"/>
    <w:rsid w:val="008A4A45"/>
    <w:rsid w:val="008A5CCB"/>
    <w:rsid w:val="008A63DF"/>
    <w:rsid w:val="008A6678"/>
    <w:rsid w:val="008A687B"/>
    <w:rsid w:val="008A7747"/>
    <w:rsid w:val="008A78FF"/>
    <w:rsid w:val="008B016E"/>
    <w:rsid w:val="008B081C"/>
    <w:rsid w:val="008B0B9A"/>
    <w:rsid w:val="008B112F"/>
    <w:rsid w:val="008B16A1"/>
    <w:rsid w:val="008B1FE0"/>
    <w:rsid w:val="008B207A"/>
    <w:rsid w:val="008B240E"/>
    <w:rsid w:val="008B2B1E"/>
    <w:rsid w:val="008B2D86"/>
    <w:rsid w:val="008B32EE"/>
    <w:rsid w:val="008B3BED"/>
    <w:rsid w:val="008B3C50"/>
    <w:rsid w:val="008B3E16"/>
    <w:rsid w:val="008B73B8"/>
    <w:rsid w:val="008B791B"/>
    <w:rsid w:val="008C02A0"/>
    <w:rsid w:val="008C0F60"/>
    <w:rsid w:val="008C2B9F"/>
    <w:rsid w:val="008C4053"/>
    <w:rsid w:val="008C41AE"/>
    <w:rsid w:val="008C7458"/>
    <w:rsid w:val="008D0438"/>
    <w:rsid w:val="008D1089"/>
    <w:rsid w:val="008D123E"/>
    <w:rsid w:val="008D1D1D"/>
    <w:rsid w:val="008D32F6"/>
    <w:rsid w:val="008D4364"/>
    <w:rsid w:val="008D5892"/>
    <w:rsid w:val="008D5EB9"/>
    <w:rsid w:val="008D68B3"/>
    <w:rsid w:val="008D6BF3"/>
    <w:rsid w:val="008D7264"/>
    <w:rsid w:val="008E0847"/>
    <w:rsid w:val="008E18CA"/>
    <w:rsid w:val="008E18D2"/>
    <w:rsid w:val="008E22E5"/>
    <w:rsid w:val="008E3160"/>
    <w:rsid w:val="008E40DA"/>
    <w:rsid w:val="008E4215"/>
    <w:rsid w:val="008E4421"/>
    <w:rsid w:val="008E5067"/>
    <w:rsid w:val="008E65A4"/>
    <w:rsid w:val="008F1C28"/>
    <w:rsid w:val="008F2987"/>
    <w:rsid w:val="008F3C39"/>
    <w:rsid w:val="008F49E2"/>
    <w:rsid w:val="008F6F63"/>
    <w:rsid w:val="008F7422"/>
    <w:rsid w:val="008F74FF"/>
    <w:rsid w:val="0090066A"/>
    <w:rsid w:val="009008EF"/>
    <w:rsid w:val="00900FD8"/>
    <w:rsid w:val="0090118F"/>
    <w:rsid w:val="00901489"/>
    <w:rsid w:val="00901DE2"/>
    <w:rsid w:val="00903353"/>
    <w:rsid w:val="00903A91"/>
    <w:rsid w:val="009046D8"/>
    <w:rsid w:val="00904E8A"/>
    <w:rsid w:val="009056A8"/>
    <w:rsid w:val="0090784E"/>
    <w:rsid w:val="00907876"/>
    <w:rsid w:val="00907C37"/>
    <w:rsid w:val="009140F3"/>
    <w:rsid w:val="0091504C"/>
    <w:rsid w:val="00915FF9"/>
    <w:rsid w:val="00916C72"/>
    <w:rsid w:val="009176A5"/>
    <w:rsid w:val="00917C14"/>
    <w:rsid w:val="00917F72"/>
    <w:rsid w:val="009205A1"/>
    <w:rsid w:val="00920676"/>
    <w:rsid w:val="00920899"/>
    <w:rsid w:val="009212B4"/>
    <w:rsid w:val="00921380"/>
    <w:rsid w:val="00921FFA"/>
    <w:rsid w:val="00922004"/>
    <w:rsid w:val="00923FD9"/>
    <w:rsid w:val="0092483B"/>
    <w:rsid w:val="009250ED"/>
    <w:rsid w:val="00925670"/>
    <w:rsid w:val="009262AA"/>
    <w:rsid w:val="0092654B"/>
    <w:rsid w:val="009273D6"/>
    <w:rsid w:val="00927495"/>
    <w:rsid w:val="0092762C"/>
    <w:rsid w:val="00930083"/>
    <w:rsid w:val="0093012C"/>
    <w:rsid w:val="009312CF"/>
    <w:rsid w:val="00931D8A"/>
    <w:rsid w:val="009323C2"/>
    <w:rsid w:val="009325B2"/>
    <w:rsid w:val="0093280B"/>
    <w:rsid w:val="00933946"/>
    <w:rsid w:val="0093420A"/>
    <w:rsid w:val="00935613"/>
    <w:rsid w:val="009357AA"/>
    <w:rsid w:val="00936E30"/>
    <w:rsid w:val="00936E90"/>
    <w:rsid w:val="00937316"/>
    <w:rsid w:val="009407E9"/>
    <w:rsid w:val="00941771"/>
    <w:rsid w:val="00941966"/>
    <w:rsid w:val="00941E41"/>
    <w:rsid w:val="00942A0B"/>
    <w:rsid w:val="009430D5"/>
    <w:rsid w:val="009434FB"/>
    <w:rsid w:val="00943675"/>
    <w:rsid w:val="009440A6"/>
    <w:rsid w:val="009442CC"/>
    <w:rsid w:val="00944AF3"/>
    <w:rsid w:val="00944B37"/>
    <w:rsid w:val="00945997"/>
    <w:rsid w:val="00945A2A"/>
    <w:rsid w:val="00945A98"/>
    <w:rsid w:val="00947D8F"/>
    <w:rsid w:val="009505BC"/>
    <w:rsid w:val="00951A2A"/>
    <w:rsid w:val="00951A8F"/>
    <w:rsid w:val="009525E2"/>
    <w:rsid w:val="00953660"/>
    <w:rsid w:val="009540B2"/>
    <w:rsid w:val="0095523A"/>
    <w:rsid w:val="009565F7"/>
    <w:rsid w:val="009577FB"/>
    <w:rsid w:val="00960216"/>
    <w:rsid w:val="00960257"/>
    <w:rsid w:val="009603FE"/>
    <w:rsid w:val="0096060F"/>
    <w:rsid w:val="00961795"/>
    <w:rsid w:val="00962378"/>
    <w:rsid w:val="009625F7"/>
    <w:rsid w:val="00963201"/>
    <w:rsid w:val="00963DEF"/>
    <w:rsid w:val="00964591"/>
    <w:rsid w:val="0096591F"/>
    <w:rsid w:val="00965AA2"/>
    <w:rsid w:val="0096693D"/>
    <w:rsid w:val="00967DA1"/>
    <w:rsid w:val="00970302"/>
    <w:rsid w:val="0097126D"/>
    <w:rsid w:val="00971644"/>
    <w:rsid w:val="009732CC"/>
    <w:rsid w:val="0097335B"/>
    <w:rsid w:val="00973A50"/>
    <w:rsid w:val="00973DA3"/>
    <w:rsid w:val="00974A07"/>
    <w:rsid w:val="00974A6E"/>
    <w:rsid w:val="00975F28"/>
    <w:rsid w:val="009770E2"/>
    <w:rsid w:val="00977261"/>
    <w:rsid w:val="0097735E"/>
    <w:rsid w:val="00980D50"/>
    <w:rsid w:val="0098194E"/>
    <w:rsid w:val="0098288F"/>
    <w:rsid w:val="0098307D"/>
    <w:rsid w:val="009832FC"/>
    <w:rsid w:val="00983D3C"/>
    <w:rsid w:val="009840EC"/>
    <w:rsid w:val="00984AFC"/>
    <w:rsid w:val="00986275"/>
    <w:rsid w:val="00986761"/>
    <w:rsid w:val="00987456"/>
    <w:rsid w:val="0098795C"/>
    <w:rsid w:val="009901A2"/>
    <w:rsid w:val="009907B1"/>
    <w:rsid w:val="00991B5D"/>
    <w:rsid w:val="00993093"/>
    <w:rsid w:val="009933A4"/>
    <w:rsid w:val="00994BC6"/>
    <w:rsid w:val="009952A4"/>
    <w:rsid w:val="009957E8"/>
    <w:rsid w:val="00995CC5"/>
    <w:rsid w:val="00996993"/>
    <w:rsid w:val="00996E52"/>
    <w:rsid w:val="00997D2F"/>
    <w:rsid w:val="00997EB4"/>
    <w:rsid w:val="009A11ED"/>
    <w:rsid w:val="009A1670"/>
    <w:rsid w:val="009A1D39"/>
    <w:rsid w:val="009A1F43"/>
    <w:rsid w:val="009A2077"/>
    <w:rsid w:val="009A2354"/>
    <w:rsid w:val="009A256B"/>
    <w:rsid w:val="009A277C"/>
    <w:rsid w:val="009A3558"/>
    <w:rsid w:val="009A3809"/>
    <w:rsid w:val="009A3C5C"/>
    <w:rsid w:val="009A4315"/>
    <w:rsid w:val="009A4828"/>
    <w:rsid w:val="009A486D"/>
    <w:rsid w:val="009A4E50"/>
    <w:rsid w:val="009A798A"/>
    <w:rsid w:val="009A7B3B"/>
    <w:rsid w:val="009B0BC3"/>
    <w:rsid w:val="009B12E0"/>
    <w:rsid w:val="009B1AA2"/>
    <w:rsid w:val="009B2E27"/>
    <w:rsid w:val="009B560F"/>
    <w:rsid w:val="009C01D5"/>
    <w:rsid w:val="009C02FA"/>
    <w:rsid w:val="009C057A"/>
    <w:rsid w:val="009C0F6A"/>
    <w:rsid w:val="009C1119"/>
    <w:rsid w:val="009C17D2"/>
    <w:rsid w:val="009C1A8B"/>
    <w:rsid w:val="009C1EAD"/>
    <w:rsid w:val="009C2F71"/>
    <w:rsid w:val="009C3607"/>
    <w:rsid w:val="009C3D7A"/>
    <w:rsid w:val="009C4F5A"/>
    <w:rsid w:val="009C60B7"/>
    <w:rsid w:val="009C6B36"/>
    <w:rsid w:val="009D087D"/>
    <w:rsid w:val="009D1291"/>
    <w:rsid w:val="009D2126"/>
    <w:rsid w:val="009D23A2"/>
    <w:rsid w:val="009D271B"/>
    <w:rsid w:val="009D28C8"/>
    <w:rsid w:val="009D30D8"/>
    <w:rsid w:val="009D39E8"/>
    <w:rsid w:val="009D4419"/>
    <w:rsid w:val="009D6A68"/>
    <w:rsid w:val="009D6BFB"/>
    <w:rsid w:val="009D75DC"/>
    <w:rsid w:val="009D7CF9"/>
    <w:rsid w:val="009D7D0A"/>
    <w:rsid w:val="009E013E"/>
    <w:rsid w:val="009E125A"/>
    <w:rsid w:val="009E19FE"/>
    <w:rsid w:val="009E1BCD"/>
    <w:rsid w:val="009E29A7"/>
    <w:rsid w:val="009E2F42"/>
    <w:rsid w:val="009E47F3"/>
    <w:rsid w:val="009E5409"/>
    <w:rsid w:val="009E5BD8"/>
    <w:rsid w:val="009E731F"/>
    <w:rsid w:val="009E7AC5"/>
    <w:rsid w:val="009F076F"/>
    <w:rsid w:val="009F0A77"/>
    <w:rsid w:val="009F116E"/>
    <w:rsid w:val="009F1A65"/>
    <w:rsid w:val="009F31C4"/>
    <w:rsid w:val="009F3A67"/>
    <w:rsid w:val="009F509A"/>
    <w:rsid w:val="009F5860"/>
    <w:rsid w:val="009F5EF4"/>
    <w:rsid w:val="009F6228"/>
    <w:rsid w:val="009F658C"/>
    <w:rsid w:val="009F6C22"/>
    <w:rsid w:val="009F6D84"/>
    <w:rsid w:val="009F6DE2"/>
    <w:rsid w:val="009F6F02"/>
    <w:rsid w:val="009F7966"/>
    <w:rsid w:val="00A010FA"/>
    <w:rsid w:val="00A01341"/>
    <w:rsid w:val="00A02C8E"/>
    <w:rsid w:val="00A03185"/>
    <w:rsid w:val="00A0349B"/>
    <w:rsid w:val="00A03B76"/>
    <w:rsid w:val="00A03EDC"/>
    <w:rsid w:val="00A05147"/>
    <w:rsid w:val="00A06424"/>
    <w:rsid w:val="00A06AF7"/>
    <w:rsid w:val="00A104A6"/>
    <w:rsid w:val="00A11DFC"/>
    <w:rsid w:val="00A12A9D"/>
    <w:rsid w:val="00A13275"/>
    <w:rsid w:val="00A138D5"/>
    <w:rsid w:val="00A153BB"/>
    <w:rsid w:val="00A1588D"/>
    <w:rsid w:val="00A15ED6"/>
    <w:rsid w:val="00A17446"/>
    <w:rsid w:val="00A2013A"/>
    <w:rsid w:val="00A20E80"/>
    <w:rsid w:val="00A2112D"/>
    <w:rsid w:val="00A2162A"/>
    <w:rsid w:val="00A221CB"/>
    <w:rsid w:val="00A222DA"/>
    <w:rsid w:val="00A223D3"/>
    <w:rsid w:val="00A2305E"/>
    <w:rsid w:val="00A23E3A"/>
    <w:rsid w:val="00A24522"/>
    <w:rsid w:val="00A24F8D"/>
    <w:rsid w:val="00A26E0D"/>
    <w:rsid w:val="00A2767B"/>
    <w:rsid w:val="00A27B5A"/>
    <w:rsid w:val="00A305E5"/>
    <w:rsid w:val="00A31284"/>
    <w:rsid w:val="00A3215C"/>
    <w:rsid w:val="00A32466"/>
    <w:rsid w:val="00A32ABB"/>
    <w:rsid w:val="00A33057"/>
    <w:rsid w:val="00A33D1D"/>
    <w:rsid w:val="00A369DB"/>
    <w:rsid w:val="00A379FF"/>
    <w:rsid w:val="00A37B11"/>
    <w:rsid w:val="00A40251"/>
    <w:rsid w:val="00A4235A"/>
    <w:rsid w:val="00A42EC4"/>
    <w:rsid w:val="00A43A60"/>
    <w:rsid w:val="00A43EB9"/>
    <w:rsid w:val="00A447CF"/>
    <w:rsid w:val="00A448CA"/>
    <w:rsid w:val="00A44DA7"/>
    <w:rsid w:val="00A45B09"/>
    <w:rsid w:val="00A45BBA"/>
    <w:rsid w:val="00A4773F"/>
    <w:rsid w:val="00A50397"/>
    <w:rsid w:val="00A50D1D"/>
    <w:rsid w:val="00A518D5"/>
    <w:rsid w:val="00A5220A"/>
    <w:rsid w:val="00A5272C"/>
    <w:rsid w:val="00A54E9E"/>
    <w:rsid w:val="00A55095"/>
    <w:rsid w:val="00A55433"/>
    <w:rsid w:val="00A56694"/>
    <w:rsid w:val="00A5683C"/>
    <w:rsid w:val="00A57914"/>
    <w:rsid w:val="00A57CD2"/>
    <w:rsid w:val="00A60395"/>
    <w:rsid w:val="00A6086E"/>
    <w:rsid w:val="00A62733"/>
    <w:rsid w:val="00A62E39"/>
    <w:rsid w:val="00A63A54"/>
    <w:rsid w:val="00A6438F"/>
    <w:rsid w:val="00A6456A"/>
    <w:rsid w:val="00A6469A"/>
    <w:rsid w:val="00A65340"/>
    <w:rsid w:val="00A656CC"/>
    <w:rsid w:val="00A65FEE"/>
    <w:rsid w:val="00A6644B"/>
    <w:rsid w:val="00A66534"/>
    <w:rsid w:val="00A66D95"/>
    <w:rsid w:val="00A6778F"/>
    <w:rsid w:val="00A67F8A"/>
    <w:rsid w:val="00A7000B"/>
    <w:rsid w:val="00A71B8E"/>
    <w:rsid w:val="00A720E0"/>
    <w:rsid w:val="00A729CB"/>
    <w:rsid w:val="00A733F6"/>
    <w:rsid w:val="00A75BB6"/>
    <w:rsid w:val="00A75C4E"/>
    <w:rsid w:val="00A75E1E"/>
    <w:rsid w:val="00A75E3C"/>
    <w:rsid w:val="00A76790"/>
    <w:rsid w:val="00A772FA"/>
    <w:rsid w:val="00A7766D"/>
    <w:rsid w:val="00A77688"/>
    <w:rsid w:val="00A80C29"/>
    <w:rsid w:val="00A80D48"/>
    <w:rsid w:val="00A80E24"/>
    <w:rsid w:val="00A8109B"/>
    <w:rsid w:val="00A81F65"/>
    <w:rsid w:val="00A8284B"/>
    <w:rsid w:val="00A82CE7"/>
    <w:rsid w:val="00A834FF"/>
    <w:rsid w:val="00A8386D"/>
    <w:rsid w:val="00A84AAE"/>
    <w:rsid w:val="00A84F54"/>
    <w:rsid w:val="00A8537F"/>
    <w:rsid w:val="00A87143"/>
    <w:rsid w:val="00A90116"/>
    <w:rsid w:val="00A91266"/>
    <w:rsid w:val="00A91B50"/>
    <w:rsid w:val="00A9230E"/>
    <w:rsid w:val="00A93DD0"/>
    <w:rsid w:val="00A95655"/>
    <w:rsid w:val="00A95752"/>
    <w:rsid w:val="00A95D80"/>
    <w:rsid w:val="00A96736"/>
    <w:rsid w:val="00A969C1"/>
    <w:rsid w:val="00A96C60"/>
    <w:rsid w:val="00A97216"/>
    <w:rsid w:val="00A979A4"/>
    <w:rsid w:val="00AA1BD7"/>
    <w:rsid w:val="00AA24EF"/>
    <w:rsid w:val="00AA251A"/>
    <w:rsid w:val="00AA2E42"/>
    <w:rsid w:val="00AA4872"/>
    <w:rsid w:val="00AA4DD6"/>
    <w:rsid w:val="00AA5311"/>
    <w:rsid w:val="00AA64DA"/>
    <w:rsid w:val="00AA723B"/>
    <w:rsid w:val="00AA7BA6"/>
    <w:rsid w:val="00AA7FF7"/>
    <w:rsid w:val="00AB03AF"/>
    <w:rsid w:val="00AB251E"/>
    <w:rsid w:val="00AB26E4"/>
    <w:rsid w:val="00AB3874"/>
    <w:rsid w:val="00AB3E9A"/>
    <w:rsid w:val="00AB484C"/>
    <w:rsid w:val="00AB4EBB"/>
    <w:rsid w:val="00AB5239"/>
    <w:rsid w:val="00AB59C9"/>
    <w:rsid w:val="00AB6417"/>
    <w:rsid w:val="00AB7849"/>
    <w:rsid w:val="00AC294F"/>
    <w:rsid w:val="00AC2985"/>
    <w:rsid w:val="00AC52E0"/>
    <w:rsid w:val="00AC6513"/>
    <w:rsid w:val="00AC6A2F"/>
    <w:rsid w:val="00AC6A3E"/>
    <w:rsid w:val="00AD036B"/>
    <w:rsid w:val="00AD12F9"/>
    <w:rsid w:val="00AD1D21"/>
    <w:rsid w:val="00AD2E07"/>
    <w:rsid w:val="00AD347F"/>
    <w:rsid w:val="00AD362D"/>
    <w:rsid w:val="00AD44C2"/>
    <w:rsid w:val="00AD4838"/>
    <w:rsid w:val="00AD648C"/>
    <w:rsid w:val="00AD6C2E"/>
    <w:rsid w:val="00AD6CA1"/>
    <w:rsid w:val="00AD73AD"/>
    <w:rsid w:val="00AD7C3E"/>
    <w:rsid w:val="00AD7DF2"/>
    <w:rsid w:val="00AE0E55"/>
    <w:rsid w:val="00AE15DA"/>
    <w:rsid w:val="00AE19A7"/>
    <w:rsid w:val="00AE2D90"/>
    <w:rsid w:val="00AE5086"/>
    <w:rsid w:val="00AE5BE2"/>
    <w:rsid w:val="00AE633D"/>
    <w:rsid w:val="00AE6AD7"/>
    <w:rsid w:val="00AE74DF"/>
    <w:rsid w:val="00AE7976"/>
    <w:rsid w:val="00AF0425"/>
    <w:rsid w:val="00AF0F41"/>
    <w:rsid w:val="00AF174A"/>
    <w:rsid w:val="00AF1CFE"/>
    <w:rsid w:val="00AF1FBC"/>
    <w:rsid w:val="00AF221A"/>
    <w:rsid w:val="00AF2714"/>
    <w:rsid w:val="00AF2B2B"/>
    <w:rsid w:val="00AF2F22"/>
    <w:rsid w:val="00AF3341"/>
    <w:rsid w:val="00AF340F"/>
    <w:rsid w:val="00AF46FC"/>
    <w:rsid w:val="00AF4A6E"/>
    <w:rsid w:val="00AF6727"/>
    <w:rsid w:val="00AF7E7E"/>
    <w:rsid w:val="00B00D17"/>
    <w:rsid w:val="00B012DD"/>
    <w:rsid w:val="00B01A8C"/>
    <w:rsid w:val="00B01D29"/>
    <w:rsid w:val="00B0250F"/>
    <w:rsid w:val="00B03DC7"/>
    <w:rsid w:val="00B040A0"/>
    <w:rsid w:val="00B046F6"/>
    <w:rsid w:val="00B04B00"/>
    <w:rsid w:val="00B05276"/>
    <w:rsid w:val="00B05CCB"/>
    <w:rsid w:val="00B05CF1"/>
    <w:rsid w:val="00B063BC"/>
    <w:rsid w:val="00B07369"/>
    <w:rsid w:val="00B07CF5"/>
    <w:rsid w:val="00B104E4"/>
    <w:rsid w:val="00B11143"/>
    <w:rsid w:val="00B11D22"/>
    <w:rsid w:val="00B11EF8"/>
    <w:rsid w:val="00B132F5"/>
    <w:rsid w:val="00B16143"/>
    <w:rsid w:val="00B17968"/>
    <w:rsid w:val="00B203C6"/>
    <w:rsid w:val="00B20AFF"/>
    <w:rsid w:val="00B22E6C"/>
    <w:rsid w:val="00B232C2"/>
    <w:rsid w:val="00B2443F"/>
    <w:rsid w:val="00B24772"/>
    <w:rsid w:val="00B25475"/>
    <w:rsid w:val="00B272E5"/>
    <w:rsid w:val="00B3059B"/>
    <w:rsid w:val="00B32C50"/>
    <w:rsid w:val="00B3314B"/>
    <w:rsid w:val="00B332AC"/>
    <w:rsid w:val="00B33EE7"/>
    <w:rsid w:val="00B34B6E"/>
    <w:rsid w:val="00B36610"/>
    <w:rsid w:val="00B36A21"/>
    <w:rsid w:val="00B37CF6"/>
    <w:rsid w:val="00B37F83"/>
    <w:rsid w:val="00B409DE"/>
    <w:rsid w:val="00B412A6"/>
    <w:rsid w:val="00B44051"/>
    <w:rsid w:val="00B44B5C"/>
    <w:rsid w:val="00B4510D"/>
    <w:rsid w:val="00B47E12"/>
    <w:rsid w:val="00B50771"/>
    <w:rsid w:val="00B511E5"/>
    <w:rsid w:val="00B5165C"/>
    <w:rsid w:val="00B51D10"/>
    <w:rsid w:val="00B51D89"/>
    <w:rsid w:val="00B51F3B"/>
    <w:rsid w:val="00B52B1E"/>
    <w:rsid w:val="00B52CF8"/>
    <w:rsid w:val="00B52EB5"/>
    <w:rsid w:val="00B53E0C"/>
    <w:rsid w:val="00B540D6"/>
    <w:rsid w:val="00B54B12"/>
    <w:rsid w:val="00B55B22"/>
    <w:rsid w:val="00B55B59"/>
    <w:rsid w:val="00B55DFC"/>
    <w:rsid w:val="00B62662"/>
    <w:rsid w:val="00B6456C"/>
    <w:rsid w:val="00B64E6C"/>
    <w:rsid w:val="00B65D9F"/>
    <w:rsid w:val="00B6699F"/>
    <w:rsid w:val="00B6701C"/>
    <w:rsid w:val="00B6744E"/>
    <w:rsid w:val="00B6749F"/>
    <w:rsid w:val="00B67BC4"/>
    <w:rsid w:val="00B71A2D"/>
    <w:rsid w:val="00B7270D"/>
    <w:rsid w:val="00B73931"/>
    <w:rsid w:val="00B750C5"/>
    <w:rsid w:val="00B764D5"/>
    <w:rsid w:val="00B76C86"/>
    <w:rsid w:val="00B77704"/>
    <w:rsid w:val="00B80ED8"/>
    <w:rsid w:val="00B82CCF"/>
    <w:rsid w:val="00B836A4"/>
    <w:rsid w:val="00B83C98"/>
    <w:rsid w:val="00B8428C"/>
    <w:rsid w:val="00B856AB"/>
    <w:rsid w:val="00B85943"/>
    <w:rsid w:val="00B85EB6"/>
    <w:rsid w:val="00B863BC"/>
    <w:rsid w:val="00B8656B"/>
    <w:rsid w:val="00B879F1"/>
    <w:rsid w:val="00B900BE"/>
    <w:rsid w:val="00B91B0D"/>
    <w:rsid w:val="00B9281A"/>
    <w:rsid w:val="00B9283A"/>
    <w:rsid w:val="00B92C50"/>
    <w:rsid w:val="00B94251"/>
    <w:rsid w:val="00B942FF"/>
    <w:rsid w:val="00B9479E"/>
    <w:rsid w:val="00B94B3A"/>
    <w:rsid w:val="00B956F6"/>
    <w:rsid w:val="00B95DA9"/>
    <w:rsid w:val="00B972CC"/>
    <w:rsid w:val="00BA0A62"/>
    <w:rsid w:val="00BA0CE4"/>
    <w:rsid w:val="00BA0DBC"/>
    <w:rsid w:val="00BA1D21"/>
    <w:rsid w:val="00BA1F08"/>
    <w:rsid w:val="00BA1F61"/>
    <w:rsid w:val="00BA2279"/>
    <w:rsid w:val="00BA264B"/>
    <w:rsid w:val="00BA265E"/>
    <w:rsid w:val="00BA35E5"/>
    <w:rsid w:val="00BA36C3"/>
    <w:rsid w:val="00BA387B"/>
    <w:rsid w:val="00BA3B18"/>
    <w:rsid w:val="00BA41D2"/>
    <w:rsid w:val="00BA588C"/>
    <w:rsid w:val="00BA6504"/>
    <w:rsid w:val="00BA6704"/>
    <w:rsid w:val="00BA7E01"/>
    <w:rsid w:val="00BB0E67"/>
    <w:rsid w:val="00BB0F2C"/>
    <w:rsid w:val="00BB149F"/>
    <w:rsid w:val="00BB1C20"/>
    <w:rsid w:val="00BB31FD"/>
    <w:rsid w:val="00BB32EB"/>
    <w:rsid w:val="00BB4751"/>
    <w:rsid w:val="00BB47D2"/>
    <w:rsid w:val="00BB621F"/>
    <w:rsid w:val="00BB7F10"/>
    <w:rsid w:val="00BC09E9"/>
    <w:rsid w:val="00BC186A"/>
    <w:rsid w:val="00BC1A5C"/>
    <w:rsid w:val="00BC3A5E"/>
    <w:rsid w:val="00BC4446"/>
    <w:rsid w:val="00BC466B"/>
    <w:rsid w:val="00BC49E8"/>
    <w:rsid w:val="00BC4AE2"/>
    <w:rsid w:val="00BC58AD"/>
    <w:rsid w:val="00BC5C6F"/>
    <w:rsid w:val="00BC5D5E"/>
    <w:rsid w:val="00BC6A5E"/>
    <w:rsid w:val="00BC7C5E"/>
    <w:rsid w:val="00BD147E"/>
    <w:rsid w:val="00BD1780"/>
    <w:rsid w:val="00BD1FFC"/>
    <w:rsid w:val="00BD2A29"/>
    <w:rsid w:val="00BD3F14"/>
    <w:rsid w:val="00BD417A"/>
    <w:rsid w:val="00BD48CB"/>
    <w:rsid w:val="00BD5182"/>
    <w:rsid w:val="00BD6268"/>
    <w:rsid w:val="00BD6BA4"/>
    <w:rsid w:val="00BE04FA"/>
    <w:rsid w:val="00BE0576"/>
    <w:rsid w:val="00BE0FAD"/>
    <w:rsid w:val="00BE2111"/>
    <w:rsid w:val="00BE2DC3"/>
    <w:rsid w:val="00BE3108"/>
    <w:rsid w:val="00BE320A"/>
    <w:rsid w:val="00BE35D0"/>
    <w:rsid w:val="00BE3C86"/>
    <w:rsid w:val="00BE5398"/>
    <w:rsid w:val="00BE6786"/>
    <w:rsid w:val="00BE7242"/>
    <w:rsid w:val="00BF1518"/>
    <w:rsid w:val="00BF2ABC"/>
    <w:rsid w:val="00BF4C37"/>
    <w:rsid w:val="00BF55D9"/>
    <w:rsid w:val="00BF6253"/>
    <w:rsid w:val="00BF6277"/>
    <w:rsid w:val="00BF72E6"/>
    <w:rsid w:val="00BF77DD"/>
    <w:rsid w:val="00C004ED"/>
    <w:rsid w:val="00C01854"/>
    <w:rsid w:val="00C022FB"/>
    <w:rsid w:val="00C04EE3"/>
    <w:rsid w:val="00C05160"/>
    <w:rsid w:val="00C06549"/>
    <w:rsid w:val="00C06CB7"/>
    <w:rsid w:val="00C1241A"/>
    <w:rsid w:val="00C12D5A"/>
    <w:rsid w:val="00C138E9"/>
    <w:rsid w:val="00C14BF7"/>
    <w:rsid w:val="00C15EA9"/>
    <w:rsid w:val="00C16A75"/>
    <w:rsid w:val="00C16FC9"/>
    <w:rsid w:val="00C17624"/>
    <w:rsid w:val="00C17849"/>
    <w:rsid w:val="00C200D8"/>
    <w:rsid w:val="00C20221"/>
    <w:rsid w:val="00C22026"/>
    <w:rsid w:val="00C24064"/>
    <w:rsid w:val="00C24275"/>
    <w:rsid w:val="00C24A21"/>
    <w:rsid w:val="00C24B53"/>
    <w:rsid w:val="00C24D92"/>
    <w:rsid w:val="00C24E3C"/>
    <w:rsid w:val="00C2521A"/>
    <w:rsid w:val="00C25530"/>
    <w:rsid w:val="00C272CD"/>
    <w:rsid w:val="00C27EE7"/>
    <w:rsid w:val="00C30495"/>
    <w:rsid w:val="00C312EE"/>
    <w:rsid w:val="00C31D55"/>
    <w:rsid w:val="00C31FBD"/>
    <w:rsid w:val="00C349D3"/>
    <w:rsid w:val="00C35435"/>
    <w:rsid w:val="00C35578"/>
    <w:rsid w:val="00C36EF7"/>
    <w:rsid w:val="00C37080"/>
    <w:rsid w:val="00C37364"/>
    <w:rsid w:val="00C3740E"/>
    <w:rsid w:val="00C377A2"/>
    <w:rsid w:val="00C3799C"/>
    <w:rsid w:val="00C37A47"/>
    <w:rsid w:val="00C40308"/>
    <w:rsid w:val="00C403E4"/>
    <w:rsid w:val="00C4048F"/>
    <w:rsid w:val="00C40669"/>
    <w:rsid w:val="00C41496"/>
    <w:rsid w:val="00C42117"/>
    <w:rsid w:val="00C42DD5"/>
    <w:rsid w:val="00C43837"/>
    <w:rsid w:val="00C441A4"/>
    <w:rsid w:val="00C46EB3"/>
    <w:rsid w:val="00C47786"/>
    <w:rsid w:val="00C50B98"/>
    <w:rsid w:val="00C50C89"/>
    <w:rsid w:val="00C52197"/>
    <w:rsid w:val="00C5222B"/>
    <w:rsid w:val="00C527C1"/>
    <w:rsid w:val="00C53915"/>
    <w:rsid w:val="00C55F2D"/>
    <w:rsid w:val="00C577AE"/>
    <w:rsid w:val="00C61B66"/>
    <w:rsid w:val="00C61CF0"/>
    <w:rsid w:val="00C625CB"/>
    <w:rsid w:val="00C63ED7"/>
    <w:rsid w:val="00C64628"/>
    <w:rsid w:val="00C64FD5"/>
    <w:rsid w:val="00C654BF"/>
    <w:rsid w:val="00C65620"/>
    <w:rsid w:val="00C67FD0"/>
    <w:rsid w:val="00C703FE"/>
    <w:rsid w:val="00C70483"/>
    <w:rsid w:val="00C7065B"/>
    <w:rsid w:val="00C70DBB"/>
    <w:rsid w:val="00C72052"/>
    <w:rsid w:val="00C737C4"/>
    <w:rsid w:val="00C745A7"/>
    <w:rsid w:val="00C74BDA"/>
    <w:rsid w:val="00C74BF9"/>
    <w:rsid w:val="00C750FA"/>
    <w:rsid w:val="00C77881"/>
    <w:rsid w:val="00C77E1E"/>
    <w:rsid w:val="00C80BD4"/>
    <w:rsid w:val="00C815FF"/>
    <w:rsid w:val="00C81C1E"/>
    <w:rsid w:val="00C833BA"/>
    <w:rsid w:val="00C83A12"/>
    <w:rsid w:val="00C84C1D"/>
    <w:rsid w:val="00C85383"/>
    <w:rsid w:val="00C85E2D"/>
    <w:rsid w:val="00C86304"/>
    <w:rsid w:val="00C86385"/>
    <w:rsid w:val="00C86C0E"/>
    <w:rsid w:val="00C90494"/>
    <w:rsid w:val="00C9053F"/>
    <w:rsid w:val="00C905C7"/>
    <w:rsid w:val="00C90FD9"/>
    <w:rsid w:val="00C911CD"/>
    <w:rsid w:val="00C919D4"/>
    <w:rsid w:val="00C927E2"/>
    <w:rsid w:val="00C92C0B"/>
    <w:rsid w:val="00C944D2"/>
    <w:rsid w:val="00C9460D"/>
    <w:rsid w:val="00C948C3"/>
    <w:rsid w:val="00C94C18"/>
    <w:rsid w:val="00C94C28"/>
    <w:rsid w:val="00C94F97"/>
    <w:rsid w:val="00C95162"/>
    <w:rsid w:val="00C9518E"/>
    <w:rsid w:val="00C95379"/>
    <w:rsid w:val="00C953EE"/>
    <w:rsid w:val="00C95B1C"/>
    <w:rsid w:val="00C95B42"/>
    <w:rsid w:val="00C9626E"/>
    <w:rsid w:val="00C977CB"/>
    <w:rsid w:val="00C97B53"/>
    <w:rsid w:val="00C97D21"/>
    <w:rsid w:val="00CA0816"/>
    <w:rsid w:val="00CA1125"/>
    <w:rsid w:val="00CA12EE"/>
    <w:rsid w:val="00CA1727"/>
    <w:rsid w:val="00CA18CC"/>
    <w:rsid w:val="00CA1F2E"/>
    <w:rsid w:val="00CA2A0E"/>
    <w:rsid w:val="00CA3199"/>
    <w:rsid w:val="00CA38CC"/>
    <w:rsid w:val="00CA38E6"/>
    <w:rsid w:val="00CA3D43"/>
    <w:rsid w:val="00CA4A09"/>
    <w:rsid w:val="00CA4A3A"/>
    <w:rsid w:val="00CA5910"/>
    <w:rsid w:val="00CA5EAD"/>
    <w:rsid w:val="00CA6026"/>
    <w:rsid w:val="00CA63EE"/>
    <w:rsid w:val="00CA7E38"/>
    <w:rsid w:val="00CB1BA9"/>
    <w:rsid w:val="00CB286E"/>
    <w:rsid w:val="00CB2D3E"/>
    <w:rsid w:val="00CB4479"/>
    <w:rsid w:val="00CB4F3D"/>
    <w:rsid w:val="00CB5A1D"/>
    <w:rsid w:val="00CB677D"/>
    <w:rsid w:val="00CB7FF6"/>
    <w:rsid w:val="00CC2048"/>
    <w:rsid w:val="00CC2C14"/>
    <w:rsid w:val="00CC2E24"/>
    <w:rsid w:val="00CC2E48"/>
    <w:rsid w:val="00CC3086"/>
    <w:rsid w:val="00CC42C8"/>
    <w:rsid w:val="00CC44FF"/>
    <w:rsid w:val="00CC463F"/>
    <w:rsid w:val="00CC4B7B"/>
    <w:rsid w:val="00CC51A6"/>
    <w:rsid w:val="00CC582A"/>
    <w:rsid w:val="00CC5F44"/>
    <w:rsid w:val="00CC6B9A"/>
    <w:rsid w:val="00CC6EE0"/>
    <w:rsid w:val="00CC76E0"/>
    <w:rsid w:val="00CD00E5"/>
    <w:rsid w:val="00CD06F8"/>
    <w:rsid w:val="00CD09F1"/>
    <w:rsid w:val="00CD1496"/>
    <w:rsid w:val="00CD250D"/>
    <w:rsid w:val="00CD25DC"/>
    <w:rsid w:val="00CD3A3B"/>
    <w:rsid w:val="00CD40F3"/>
    <w:rsid w:val="00CD41B4"/>
    <w:rsid w:val="00CD46EC"/>
    <w:rsid w:val="00CD4C3F"/>
    <w:rsid w:val="00CD53E3"/>
    <w:rsid w:val="00CD568B"/>
    <w:rsid w:val="00CD6050"/>
    <w:rsid w:val="00CD77C9"/>
    <w:rsid w:val="00CD7D4A"/>
    <w:rsid w:val="00CE0ED9"/>
    <w:rsid w:val="00CE1DC1"/>
    <w:rsid w:val="00CE2706"/>
    <w:rsid w:val="00CE433C"/>
    <w:rsid w:val="00CE4932"/>
    <w:rsid w:val="00CE4BF6"/>
    <w:rsid w:val="00CE6037"/>
    <w:rsid w:val="00CE7AFD"/>
    <w:rsid w:val="00CE7CF5"/>
    <w:rsid w:val="00CF0C6F"/>
    <w:rsid w:val="00CF1EC5"/>
    <w:rsid w:val="00CF20CE"/>
    <w:rsid w:val="00CF2AB7"/>
    <w:rsid w:val="00CF3811"/>
    <w:rsid w:val="00CF4298"/>
    <w:rsid w:val="00CF72C7"/>
    <w:rsid w:val="00CF7939"/>
    <w:rsid w:val="00D01389"/>
    <w:rsid w:val="00D02103"/>
    <w:rsid w:val="00D02505"/>
    <w:rsid w:val="00D025BD"/>
    <w:rsid w:val="00D02603"/>
    <w:rsid w:val="00D02C3D"/>
    <w:rsid w:val="00D0309F"/>
    <w:rsid w:val="00D031CC"/>
    <w:rsid w:val="00D03278"/>
    <w:rsid w:val="00D03C21"/>
    <w:rsid w:val="00D03FDD"/>
    <w:rsid w:val="00D04C3C"/>
    <w:rsid w:val="00D052EF"/>
    <w:rsid w:val="00D053D1"/>
    <w:rsid w:val="00D074A9"/>
    <w:rsid w:val="00D07829"/>
    <w:rsid w:val="00D105A9"/>
    <w:rsid w:val="00D117CD"/>
    <w:rsid w:val="00D11A91"/>
    <w:rsid w:val="00D1299D"/>
    <w:rsid w:val="00D12C99"/>
    <w:rsid w:val="00D136A2"/>
    <w:rsid w:val="00D138B5"/>
    <w:rsid w:val="00D13C3F"/>
    <w:rsid w:val="00D14F2F"/>
    <w:rsid w:val="00D15284"/>
    <w:rsid w:val="00D16CE6"/>
    <w:rsid w:val="00D173B5"/>
    <w:rsid w:val="00D17DDB"/>
    <w:rsid w:val="00D20E8B"/>
    <w:rsid w:val="00D20F0E"/>
    <w:rsid w:val="00D21C45"/>
    <w:rsid w:val="00D21C96"/>
    <w:rsid w:val="00D222D5"/>
    <w:rsid w:val="00D224F1"/>
    <w:rsid w:val="00D22573"/>
    <w:rsid w:val="00D22BC7"/>
    <w:rsid w:val="00D24E91"/>
    <w:rsid w:val="00D25888"/>
    <w:rsid w:val="00D258DC"/>
    <w:rsid w:val="00D25C84"/>
    <w:rsid w:val="00D262A0"/>
    <w:rsid w:val="00D27163"/>
    <w:rsid w:val="00D27234"/>
    <w:rsid w:val="00D30FD0"/>
    <w:rsid w:val="00D31255"/>
    <w:rsid w:val="00D312F9"/>
    <w:rsid w:val="00D31621"/>
    <w:rsid w:val="00D32319"/>
    <w:rsid w:val="00D32800"/>
    <w:rsid w:val="00D32FCF"/>
    <w:rsid w:val="00D330BF"/>
    <w:rsid w:val="00D33F5A"/>
    <w:rsid w:val="00D3546E"/>
    <w:rsid w:val="00D3580C"/>
    <w:rsid w:val="00D365FA"/>
    <w:rsid w:val="00D36935"/>
    <w:rsid w:val="00D37540"/>
    <w:rsid w:val="00D37704"/>
    <w:rsid w:val="00D37AD1"/>
    <w:rsid w:val="00D37C30"/>
    <w:rsid w:val="00D37EA4"/>
    <w:rsid w:val="00D408BE"/>
    <w:rsid w:val="00D40D1E"/>
    <w:rsid w:val="00D40E75"/>
    <w:rsid w:val="00D40FAC"/>
    <w:rsid w:val="00D4298C"/>
    <w:rsid w:val="00D42DFB"/>
    <w:rsid w:val="00D44113"/>
    <w:rsid w:val="00D44412"/>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0DF3"/>
    <w:rsid w:val="00D6117B"/>
    <w:rsid w:val="00D615DB"/>
    <w:rsid w:val="00D628C4"/>
    <w:rsid w:val="00D62A3B"/>
    <w:rsid w:val="00D63548"/>
    <w:rsid w:val="00D6391A"/>
    <w:rsid w:val="00D63C2F"/>
    <w:rsid w:val="00D64034"/>
    <w:rsid w:val="00D644A2"/>
    <w:rsid w:val="00D64F9C"/>
    <w:rsid w:val="00D65282"/>
    <w:rsid w:val="00D65A9D"/>
    <w:rsid w:val="00D66A6A"/>
    <w:rsid w:val="00D66BCC"/>
    <w:rsid w:val="00D6740E"/>
    <w:rsid w:val="00D70334"/>
    <w:rsid w:val="00D71243"/>
    <w:rsid w:val="00D717AD"/>
    <w:rsid w:val="00D71B54"/>
    <w:rsid w:val="00D71EA3"/>
    <w:rsid w:val="00D72C36"/>
    <w:rsid w:val="00D73CA4"/>
    <w:rsid w:val="00D73EEC"/>
    <w:rsid w:val="00D7499E"/>
    <w:rsid w:val="00D753B9"/>
    <w:rsid w:val="00D75500"/>
    <w:rsid w:val="00D75587"/>
    <w:rsid w:val="00D755AE"/>
    <w:rsid w:val="00D764C6"/>
    <w:rsid w:val="00D77668"/>
    <w:rsid w:val="00D80026"/>
    <w:rsid w:val="00D8044A"/>
    <w:rsid w:val="00D80F65"/>
    <w:rsid w:val="00D827EF"/>
    <w:rsid w:val="00D829E6"/>
    <w:rsid w:val="00D83DB2"/>
    <w:rsid w:val="00D83E47"/>
    <w:rsid w:val="00D85C75"/>
    <w:rsid w:val="00D85ECE"/>
    <w:rsid w:val="00D86A7E"/>
    <w:rsid w:val="00D86C5F"/>
    <w:rsid w:val="00D86E8F"/>
    <w:rsid w:val="00D86EB9"/>
    <w:rsid w:val="00D87450"/>
    <w:rsid w:val="00D87A3B"/>
    <w:rsid w:val="00D90D5B"/>
    <w:rsid w:val="00D91AD5"/>
    <w:rsid w:val="00D92BB1"/>
    <w:rsid w:val="00D92CDF"/>
    <w:rsid w:val="00D93431"/>
    <w:rsid w:val="00D93F9F"/>
    <w:rsid w:val="00D94AC3"/>
    <w:rsid w:val="00D94B5A"/>
    <w:rsid w:val="00D95907"/>
    <w:rsid w:val="00D95F7A"/>
    <w:rsid w:val="00D968E9"/>
    <w:rsid w:val="00DA06C2"/>
    <w:rsid w:val="00DA0999"/>
    <w:rsid w:val="00DA10F6"/>
    <w:rsid w:val="00DA2E3B"/>
    <w:rsid w:val="00DA3CAD"/>
    <w:rsid w:val="00DA6A64"/>
    <w:rsid w:val="00DA78A1"/>
    <w:rsid w:val="00DA7920"/>
    <w:rsid w:val="00DB02F5"/>
    <w:rsid w:val="00DB0494"/>
    <w:rsid w:val="00DB090B"/>
    <w:rsid w:val="00DB0BC6"/>
    <w:rsid w:val="00DB0D78"/>
    <w:rsid w:val="00DB16AC"/>
    <w:rsid w:val="00DB27CE"/>
    <w:rsid w:val="00DB35C9"/>
    <w:rsid w:val="00DB4858"/>
    <w:rsid w:val="00DB486F"/>
    <w:rsid w:val="00DB58EE"/>
    <w:rsid w:val="00DB5F2B"/>
    <w:rsid w:val="00DB63B6"/>
    <w:rsid w:val="00DB7734"/>
    <w:rsid w:val="00DB7F30"/>
    <w:rsid w:val="00DB7FEE"/>
    <w:rsid w:val="00DC0377"/>
    <w:rsid w:val="00DC0991"/>
    <w:rsid w:val="00DC16B9"/>
    <w:rsid w:val="00DC2336"/>
    <w:rsid w:val="00DC4387"/>
    <w:rsid w:val="00DC46C7"/>
    <w:rsid w:val="00DC6922"/>
    <w:rsid w:val="00DC79DC"/>
    <w:rsid w:val="00DD245F"/>
    <w:rsid w:val="00DD265B"/>
    <w:rsid w:val="00DD286F"/>
    <w:rsid w:val="00DD2CAA"/>
    <w:rsid w:val="00DD46B7"/>
    <w:rsid w:val="00DD4C53"/>
    <w:rsid w:val="00DD6D50"/>
    <w:rsid w:val="00DE031C"/>
    <w:rsid w:val="00DE089E"/>
    <w:rsid w:val="00DE110A"/>
    <w:rsid w:val="00DE29DE"/>
    <w:rsid w:val="00DE33CC"/>
    <w:rsid w:val="00DE362D"/>
    <w:rsid w:val="00DE48E7"/>
    <w:rsid w:val="00DE6EC8"/>
    <w:rsid w:val="00DE744F"/>
    <w:rsid w:val="00DE74A2"/>
    <w:rsid w:val="00DE757E"/>
    <w:rsid w:val="00DE7E55"/>
    <w:rsid w:val="00DF0382"/>
    <w:rsid w:val="00DF058D"/>
    <w:rsid w:val="00DF1CCD"/>
    <w:rsid w:val="00DF1D75"/>
    <w:rsid w:val="00DF1E16"/>
    <w:rsid w:val="00DF225D"/>
    <w:rsid w:val="00DF2D6F"/>
    <w:rsid w:val="00DF44A0"/>
    <w:rsid w:val="00DF4831"/>
    <w:rsid w:val="00DF492D"/>
    <w:rsid w:val="00DF5778"/>
    <w:rsid w:val="00DF5B7B"/>
    <w:rsid w:val="00DF641A"/>
    <w:rsid w:val="00E00008"/>
    <w:rsid w:val="00E0027D"/>
    <w:rsid w:val="00E00626"/>
    <w:rsid w:val="00E00DC3"/>
    <w:rsid w:val="00E01973"/>
    <w:rsid w:val="00E01A8A"/>
    <w:rsid w:val="00E02787"/>
    <w:rsid w:val="00E02BDA"/>
    <w:rsid w:val="00E03B30"/>
    <w:rsid w:val="00E043A6"/>
    <w:rsid w:val="00E04413"/>
    <w:rsid w:val="00E05BD4"/>
    <w:rsid w:val="00E067E5"/>
    <w:rsid w:val="00E0771B"/>
    <w:rsid w:val="00E07C23"/>
    <w:rsid w:val="00E07D76"/>
    <w:rsid w:val="00E07EDA"/>
    <w:rsid w:val="00E10D0A"/>
    <w:rsid w:val="00E1125B"/>
    <w:rsid w:val="00E1166D"/>
    <w:rsid w:val="00E11F88"/>
    <w:rsid w:val="00E13082"/>
    <w:rsid w:val="00E131BA"/>
    <w:rsid w:val="00E1460D"/>
    <w:rsid w:val="00E14AD1"/>
    <w:rsid w:val="00E15550"/>
    <w:rsid w:val="00E170FE"/>
    <w:rsid w:val="00E17B85"/>
    <w:rsid w:val="00E17DA9"/>
    <w:rsid w:val="00E215DC"/>
    <w:rsid w:val="00E2250E"/>
    <w:rsid w:val="00E22DA1"/>
    <w:rsid w:val="00E23018"/>
    <w:rsid w:val="00E231DF"/>
    <w:rsid w:val="00E235F5"/>
    <w:rsid w:val="00E2434E"/>
    <w:rsid w:val="00E24A83"/>
    <w:rsid w:val="00E25E95"/>
    <w:rsid w:val="00E26369"/>
    <w:rsid w:val="00E2655D"/>
    <w:rsid w:val="00E2658D"/>
    <w:rsid w:val="00E2674B"/>
    <w:rsid w:val="00E2699F"/>
    <w:rsid w:val="00E26B54"/>
    <w:rsid w:val="00E27233"/>
    <w:rsid w:val="00E303DD"/>
    <w:rsid w:val="00E322B8"/>
    <w:rsid w:val="00E328BF"/>
    <w:rsid w:val="00E33FF5"/>
    <w:rsid w:val="00E34559"/>
    <w:rsid w:val="00E34C21"/>
    <w:rsid w:val="00E35BD2"/>
    <w:rsid w:val="00E35FCC"/>
    <w:rsid w:val="00E3624B"/>
    <w:rsid w:val="00E36CC1"/>
    <w:rsid w:val="00E36E69"/>
    <w:rsid w:val="00E375F6"/>
    <w:rsid w:val="00E37704"/>
    <w:rsid w:val="00E425FA"/>
    <w:rsid w:val="00E42C6A"/>
    <w:rsid w:val="00E4367B"/>
    <w:rsid w:val="00E43DCF"/>
    <w:rsid w:val="00E43F4C"/>
    <w:rsid w:val="00E45573"/>
    <w:rsid w:val="00E457CB"/>
    <w:rsid w:val="00E45E63"/>
    <w:rsid w:val="00E46A32"/>
    <w:rsid w:val="00E46F8F"/>
    <w:rsid w:val="00E47D92"/>
    <w:rsid w:val="00E50E8E"/>
    <w:rsid w:val="00E525D7"/>
    <w:rsid w:val="00E52B33"/>
    <w:rsid w:val="00E52B56"/>
    <w:rsid w:val="00E535AF"/>
    <w:rsid w:val="00E55039"/>
    <w:rsid w:val="00E55E07"/>
    <w:rsid w:val="00E56AE2"/>
    <w:rsid w:val="00E5738A"/>
    <w:rsid w:val="00E57ADB"/>
    <w:rsid w:val="00E57D4B"/>
    <w:rsid w:val="00E605D3"/>
    <w:rsid w:val="00E6188E"/>
    <w:rsid w:val="00E61CF3"/>
    <w:rsid w:val="00E6204E"/>
    <w:rsid w:val="00E62A52"/>
    <w:rsid w:val="00E62FDE"/>
    <w:rsid w:val="00E63028"/>
    <w:rsid w:val="00E63619"/>
    <w:rsid w:val="00E642DA"/>
    <w:rsid w:val="00E64D91"/>
    <w:rsid w:val="00E66AF8"/>
    <w:rsid w:val="00E66B82"/>
    <w:rsid w:val="00E70626"/>
    <w:rsid w:val="00E70DFF"/>
    <w:rsid w:val="00E722D9"/>
    <w:rsid w:val="00E733CB"/>
    <w:rsid w:val="00E73A1F"/>
    <w:rsid w:val="00E73A37"/>
    <w:rsid w:val="00E74A3D"/>
    <w:rsid w:val="00E74BA8"/>
    <w:rsid w:val="00E7560C"/>
    <w:rsid w:val="00E75EA7"/>
    <w:rsid w:val="00E76BDE"/>
    <w:rsid w:val="00E80DBD"/>
    <w:rsid w:val="00E80F8D"/>
    <w:rsid w:val="00E812AD"/>
    <w:rsid w:val="00E8141E"/>
    <w:rsid w:val="00E81B22"/>
    <w:rsid w:val="00E82926"/>
    <w:rsid w:val="00E83F34"/>
    <w:rsid w:val="00E844B3"/>
    <w:rsid w:val="00E85390"/>
    <w:rsid w:val="00E87323"/>
    <w:rsid w:val="00E929F2"/>
    <w:rsid w:val="00E933E1"/>
    <w:rsid w:val="00E93F11"/>
    <w:rsid w:val="00E9401B"/>
    <w:rsid w:val="00E94D41"/>
    <w:rsid w:val="00E96B92"/>
    <w:rsid w:val="00E96F34"/>
    <w:rsid w:val="00E97B2C"/>
    <w:rsid w:val="00E97D4B"/>
    <w:rsid w:val="00EA0A39"/>
    <w:rsid w:val="00EA2D80"/>
    <w:rsid w:val="00EA3A11"/>
    <w:rsid w:val="00EA3D8F"/>
    <w:rsid w:val="00EA43C9"/>
    <w:rsid w:val="00EA4D4A"/>
    <w:rsid w:val="00EA5073"/>
    <w:rsid w:val="00EA573E"/>
    <w:rsid w:val="00EA6825"/>
    <w:rsid w:val="00EA710C"/>
    <w:rsid w:val="00EA7789"/>
    <w:rsid w:val="00EB078B"/>
    <w:rsid w:val="00EB09C7"/>
    <w:rsid w:val="00EB1C04"/>
    <w:rsid w:val="00EB1DE7"/>
    <w:rsid w:val="00EB2618"/>
    <w:rsid w:val="00EB2CF2"/>
    <w:rsid w:val="00EB3206"/>
    <w:rsid w:val="00EB3F26"/>
    <w:rsid w:val="00EB41CF"/>
    <w:rsid w:val="00EB4252"/>
    <w:rsid w:val="00EB461F"/>
    <w:rsid w:val="00EB4F66"/>
    <w:rsid w:val="00EB5BA1"/>
    <w:rsid w:val="00EB5F52"/>
    <w:rsid w:val="00EB6458"/>
    <w:rsid w:val="00EB6B05"/>
    <w:rsid w:val="00EC0CE4"/>
    <w:rsid w:val="00EC0FDB"/>
    <w:rsid w:val="00EC3AF0"/>
    <w:rsid w:val="00EC3F24"/>
    <w:rsid w:val="00EC60CF"/>
    <w:rsid w:val="00EC6646"/>
    <w:rsid w:val="00EC7634"/>
    <w:rsid w:val="00EC77D4"/>
    <w:rsid w:val="00ED0750"/>
    <w:rsid w:val="00ED0F26"/>
    <w:rsid w:val="00ED1D17"/>
    <w:rsid w:val="00ED1D3A"/>
    <w:rsid w:val="00ED2B0D"/>
    <w:rsid w:val="00ED2D4D"/>
    <w:rsid w:val="00ED3818"/>
    <w:rsid w:val="00ED3DE5"/>
    <w:rsid w:val="00ED5426"/>
    <w:rsid w:val="00ED5E6B"/>
    <w:rsid w:val="00ED71EF"/>
    <w:rsid w:val="00ED7852"/>
    <w:rsid w:val="00ED7A82"/>
    <w:rsid w:val="00EE0996"/>
    <w:rsid w:val="00EE0EFD"/>
    <w:rsid w:val="00EE13DE"/>
    <w:rsid w:val="00EE1743"/>
    <w:rsid w:val="00EE1D0B"/>
    <w:rsid w:val="00EE21B0"/>
    <w:rsid w:val="00EE2C34"/>
    <w:rsid w:val="00EE30DF"/>
    <w:rsid w:val="00EE384D"/>
    <w:rsid w:val="00EE39D5"/>
    <w:rsid w:val="00EE3D6E"/>
    <w:rsid w:val="00EE42A7"/>
    <w:rsid w:val="00EE4536"/>
    <w:rsid w:val="00EE6E7D"/>
    <w:rsid w:val="00EE7A62"/>
    <w:rsid w:val="00EF096A"/>
    <w:rsid w:val="00EF240A"/>
    <w:rsid w:val="00EF55FF"/>
    <w:rsid w:val="00EF5E95"/>
    <w:rsid w:val="00EF62D8"/>
    <w:rsid w:val="00EF6606"/>
    <w:rsid w:val="00EF730B"/>
    <w:rsid w:val="00EF7386"/>
    <w:rsid w:val="00EF75D9"/>
    <w:rsid w:val="00EF7CCB"/>
    <w:rsid w:val="00F01F59"/>
    <w:rsid w:val="00F04A45"/>
    <w:rsid w:val="00F061EE"/>
    <w:rsid w:val="00F06CA1"/>
    <w:rsid w:val="00F06EC0"/>
    <w:rsid w:val="00F071B5"/>
    <w:rsid w:val="00F07870"/>
    <w:rsid w:val="00F07A56"/>
    <w:rsid w:val="00F07C26"/>
    <w:rsid w:val="00F109DD"/>
    <w:rsid w:val="00F11ABF"/>
    <w:rsid w:val="00F1214A"/>
    <w:rsid w:val="00F12320"/>
    <w:rsid w:val="00F123D5"/>
    <w:rsid w:val="00F139BE"/>
    <w:rsid w:val="00F145CA"/>
    <w:rsid w:val="00F14DAF"/>
    <w:rsid w:val="00F15F34"/>
    <w:rsid w:val="00F169DA"/>
    <w:rsid w:val="00F1711B"/>
    <w:rsid w:val="00F17645"/>
    <w:rsid w:val="00F17D57"/>
    <w:rsid w:val="00F17F1E"/>
    <w:rsid w:val="00F21662"/>
    <w:rsid w:val="00F22408"/>
    <w:rsid w:val="00F22E26"/>
    <w:rsid w:val="00F240C7"/>
    <w:rsid w:val="00F249BF"/>
    <w:rsid w:val="00F25613"/>
    <w:rsid w:val="00F25AE6"/>
    <w:rsid w:val="00F25DC6"/>
    <w:rsid w:val="00F27207"/>
    <w:rsid w:val="00F30966"/>
    <w:rsid w:val="00F30BAE"/>
    <w:rsid w:val="00F316F9"/>
    <w:rsid w:val="00F31777"/>
    <w:rsid w:val="00F31C86"/>
    <w:rsid w:val="00F3224A"/>
    <w:rsid w:val="00F3377A"/>
    <w:rsid w:val="00F348CA"/>
    <w:rsid w:val="00F34CA6"/>
    <w:rsid w:val="00F350E5"/>
    <w:rsid w:val="00F3567F"/>
    <w:rsid w:val="00F3594E"/>
    <w:rsid w:val="00F370E8"/>
    <w:rsid w:val="00F403BA"/>
    <w:rsid w:val="00F404F3"/>
    <w:rsid w:val="00F405E4"/>
    <w:rsid w:val="00F40E3F"/>
    <w:rsid w:val="00F410A7"/>
    <w:rsid w:val="00F4185A"/>
    <w:rsid w:val="00F42AE8"/>
    <w:rsid w:val="00F42E25"/>
    <w:rsid w:val="00F436AB"/>
    <w:rsid w:val="00F437D9"/>
    <w:rsid w:val="00F45016"/>
    <w:rsid w:val="00F45907"/>
    <w:rsid w:val="00F46BAC"/>
    <w:rsid w:val="00F4733D"/>
    <w:rsid w:val="00F47EA3"/>
    <w:rsid w:val="00F50015"/>
    <w:rsid w:val="00F50753"/>
    <w:rsid w:val="00F50BAC"/>
    <w:rsid w:val="00F536FA"/>
    <w:rsid w:val="00F53A17"/>
    <w:rsid w:val="00F53DCD"/>
    <w:rsid w:val="00F54937"/>
    <w:rsid w:val="00F55965"/>
    <w:rsid w:val="00F55ECB"/>
    <w:rsid w:val="00F56591"/>
    <w:rsid w:val="00F567A2"/>
    <w:rsid w:val="00F56AA2"/>
    <w:rsid w:val="00F573D3"/>
    <w:rsid w:val="00F57B02"/>
    <w:rsid w:val="00F57CA9"/>
    <w:rsid w:val="00F6016A"/>
    <w:rsid w:val="00F60BB8"/>
    <w:rsid w:val="00F610A3"/>
    <w:rsid w:val="00F6202F"/>
    <w:rsid w:val="00F6237D"/>
    <w:rsid w:val="00F6263B"/>
    <w:rsid w:val="00F62834"/>
    <w:rsid w:val="00F644EC"/>
    <w:rsid w:val="00F645E8"/>
    <w:rsid w:val="00F645F7"/>
    <w:rsid w:val="00F646C5"/>
    <w:rsid w:val="00F648B2"/>
    <w:rsid w:val="00F64ABD"/>
    <w:rsid w:val="00F64C9D"/>
    <w:rsid w:val="00F64CF4"/>
    <w:rsid w:val="00F652AB"/>
    <w:rsid w:val="00F65CC2"/>
    <w:rsid w:val="00F65D29"/>
    <w:rsid w:val="00F66612"/>
    <w:rsid w:val="00F671B0"/>
    <w:rsid w:val="00F718D4"/>
    <w:rsid w:val="00F71905"/>
    <w:rsid w:val="00F71F8F"/>
    <w:rsid w:val="00F721C1"/>
    <w:rsid w:val="00F72335"/>
    <w:rsid w:val="00F733A7"/>
    <w:rsid w:val="00F73E63"/>
    <w:rsid w:val="00F74852"/>
    <w:rsid w:val="00F7512B"/>
    <w:rsid w:val="00F76A45"/>
    <w:rsid w:val="00F76CAA"/>
    <w:rsid w:val="00F76E95"/>
    <w:rsid w:val="00F77FC8"/>
    <w:rsid w:val="00F80250"/>
    <w:rsid w:val="00F80261"/>
    <w:rsid w:val="00F8107C"/>
    <w:rsid w:val="00F81174"/>
    <w:rsid w:val="00F813E2"/>
    <w:rsid w:val="00F82E42"/>
    <w:rsid w:val="00F845B6"/>
    <w:rsid w:val="00F84B59"/>
    <w:rsid w:val="00F84F8C"/>
    <w:rsid w:val="00F85DBB"/>
    <w:rsid w:val="00F8632D"/>
    <w:rsid w:val="00F8724D"/>
    <w:rsid w:val="00F909A0"/>
    <w:rsid w:val="00F90DAF"/>
    <w:rsid w:val="00F91A09"/>
    <w:rsid w:val="00F91E2E"/>
    <w:rsid w:val="00F932D5"/>
    <w:rsid w:val="00F9351D"/>
    <w:rsid w:val="00F938C4"/>
    <w:rsid w:val="00F93E13"/>
    <w:rsid w:val="00F94372"/>
    <w:rsid w:val="00F9473C"/>
    <w:rsid w:val="00F9509E"/>
    <w:rsid w:val="00F958DF"/>
    <w:rsid w:val="00F972C1"/>
    <w:rsid w:val="00FA0074"/>
    <w:rsid w:val="00FA138A"/>
    <w:rsid w:val="00FA1553"/>
    <w:rsid w:val="00FA491D"/>
    <w:rsid w:val="00FA55E5"/>
    <w:rsid w:val="00FA599A"/>
    <w:rsid w:val="00FA7232"/>
    <w:rsid w:val="00FB0122"/>
    <w:rsid w:val="00FB242B"/>
    <w:rsid w:val="00FB29A7"/>
    <w:rsid w:val="00FB2E48"/>
    <w:rsid w:val="00FB61C8"/>
    <w:rsid w:val="00FB6236"/>
    <w:rsid w:val="00FB635A"/>
    <w:rsid w:val="00FB64F3"/>
    <w:rsid w:val="00FB7CF8"/>
    <w:rsid w:val="00FC01AD"/>
    <w:rsid w:val="00FC08EC"/>
    <w:rsid w:val="00FC10C9"/>
    <w:rsid w:val="00FC19CE"/>
    <w:rsid w:val="00FC1A17"/>
    <w:rsid w:val="00FC2236"/>
    <w:rsid w:val="00FC26CF"/>
    <w:rsid w:val="00FC3777"/>
    <w:rsid w:val="00FC4999"/>
    <w:rsid w:val="00FC572B"/>
    <w:rsid w:val="00FC6743"/>
    <w:rsid w:val="00FC6786"/>
    <w:rsid w:val="00FC6E2A"/>
    <w:rsid w:val="00FC7AEF"/>
    <w:rsid w:val="00FC7E62"/>
    <w:rsid w:val="00FD061C"/>
    <w:rsid w:val="00FD1D90"/>
    <w:rsid w:val="00FD3058"/>
    <w:rsid w:val="00FD3D5C"/>
    <w:rsid w:val="00FD42EA"/>
    <w:rsid w:val="00FD50A0"/>
    <w:rsid w:val="00FD5A4E"/>
    <w:rsid w:val="00FD68C2"/>
    <w:rsid w:val="00FD6DA8"/>
    <w:rsid w:val="00FD7AE2"/>
    <w:rsid w:val="00FE126B"/>
    <w:rsid w:val="00FE1761"/>
    <w:rsid w:val="00FE1B7E"/>
    <w:rsid w:val="00FE26E6"/>
    <w:rsid w:val="00FE2E59"/>
    <w:rsid w:val="00FE3332"/>
    <w:rsid w:val="00FE455A"/>
    <w:rsid w:val="00FE495A"/>
    <w:rsid w:val="00FE4EB5"/>
    <w:rsid w:val="00FE5304"/>
    <w:rsid w:val="00FF649E"/>
    <w:rsid w:val="00FF6C26"/>
    <w:rsid w:val="00FF6E9B"/>
    <w:rsid w:val="00FF7AC6"/>
    <w:rsid w:val="016E061E"/>
    <w:rsid w:val="017A4FEE"/>
    <w:rsid w:val="01942967"/>
    <w:rsid w:val="01A1394E"/>
    <w:rsid w:val="01E73028"/>
    <w:rsid w:val="01EB160F"/>
    <w:rsid w:val="02D54A04"/>
    <w:rsid w:val="02DA5FC0"/>
    <w:rsid w:val="033F683B"/>
    <w:rsid w:val="035E4919"/>
    <w:rsid w:val="036C34DA"/>
    <w:rsid w:val="043013E0"/>
    <w:rsid w:val="043953AC"/>
    <w:rsid w:val="0482068E"/>
    <w:rsid w:val="048B3E34"/>
    <w:rsid w:val="05765502"/>
    <w:rsid w:val="061C0CA8"/>
    <w:rsid w:val="062C280A"/>
    <w:rsid w:val="068F5723"/>
    <w:rsid w:val="06977CBB"/>
    <w:rsid w:val="06BB2961"/>
    <w:rsid w:val="07285B25"/>
    <w:rsid w:val="073F2CB4"/>
    <w:rsid w:val="0774308E"/>
    <w:rsid w:val="07B2792A"/>
    <w:rsid w:val="07C0798B"/>
    <w:rsid w:val="07DB137D"/>
    <w:rsid w:val="080422A1"/>
    <w:rsid w:val="08417FA7"/>
    <w:rsid w:val="08716219"/>
    <w:rsid w:val="08B04E26"/>
    <w:rsid w:val="090A1E75"/>
    <w:rsid w:val="091343F8"/>
    <w:rsid w:val="0942292F"/>
    <w:rsid w:val="09624208"/>
    <w:rsid w:val="09C67499"/>
    <w:rsid w:val="09EA6F07"/>
    <w:rsid w:val="0A0B1D7B"/>
    <w:rsid w:val="0A234826"/>
    <w:rsid w:val="0A375EC4"/>
    <w:rsid w:val="0A43499A"/>
    <w:rsid w:val="0AAE62EE"/>
    <w:rsid w:val="0ADF0362"/>
    <w:rsid w:val="0B280BE4"/>
    <w:rsid w:val="0B306A87"/>
    <w:rsid w:val="0B713897"/>
    <w:rsid w:val="0B89747F"/>
    <w:rsid w:val="0BC814CA"/>
    <w:rsid w:val="0C2627C8"/>
    <w:rsid w:val="0C2F1F81"/>
    <w:rsid w:val="0C4B7A88"/>
    <w:rsid w:val="0C512583"/>
    <w:rsid w:val="0CC26726"/>
    <w:rsid w:val="0D2701B4"/>
    <w:rsid w:val="0D292138"/>
    <w:rsid w:val="0D5F6FBA"/>
    <w:rsid w:val="0D6252B1"/>
    <w:rsid w:val="0D66530B"/>
    <w:rsid w:val="0D6E78E5"/>
    <w:rsid w:val="0DDB7541"/>
    <w:rsid w:val="0DDC3A66"/>
    <w:rsid w:val="0DFE385A"/>
    <w:rsid w:val="0E3E38D2"/>
    <w:rsid w:val="0E7458B3"/>
    <w:rsid w:val="0E941B37"/>
    <w:rsid w:val="0EA16002"/>
    <w:rsid w:val="0EE851DC"/>
    <w:rsid w:val="0F202505"/>
    <w:rsid w:val="0F4933A8"/>
    <w:rsid w:val="0F70022C"/>
    <w:rsid w:val="0FAA09F8"/>
    <w:rsid w:val="0FCA7555"/>
    <w:rsid w:val="0FFC31AA"/>
    <w:rsid w:val="101F3294"/>
    <w:rsid w:val="10554E67"/>
    <w:rsid w:val="10594229"/>
    <w:rsid w:val="10756CB1"/>
    <w:rsid w:val="10A92A68"/>
    <w:rsid w:val="10FB5E9E"/>
    <w:rsid w:val="11537A88"/>
    <w:rsid w:val="11951E4E"/>
    <w:rsid w:val="11A5481D"/>
    <w:rsid w:val="11F62ADD"/>
    <w:rsid w:val="12386621"/>
    <w:rsid w:val="12BF360E"/>
    <w:rsid w:val="136F5E09"/>
    <w:rsid w:val="137419BE"/>
    <w:rsid w:val="13B7657C"/>
    <w:rsid w:val="140516B9"/>
    <w:rsid w:val="14135CE9"/>
    <w:rsid w:val="14231303"/>
    <w:rsid w:val="14360C4C"/>
    <w:rsid w:val="143962E3"/>
    <w:rsid w:val="143F7994"/>
    <w:rsid w:val="144855D7"/>
    <w:rsid w:val="14556E24"/>
    <w:rsid w:val="145C09B6"/>
    <w:rsid w:val="14BB05AE"/>
    <w:rsid w:val="14BC4EF0"/>
    <w:rsid w:val="14FC603E"/>
    <w:rsid w:val="15AC68D1"/>
    <w:rsid w:val="15E564DA"/>
    <w:rsid w:val="161C2B3E"/>
    <w:rsid w:val="1647748F"/>
    <w:rsid w:val="16611280"/>
    <w:rsid w:val="16710354"/>
    <w:rsid w:val="168B41CB"/>
    <w:rsid w:val="17A45FD6"/>
    <w:rsid w:val="185070FD"/>
    <w:rsid w:val="19066338"/>
    <w:rsid w:val="19107E5B"/>
    <w:rsid w:val="192523EA"/>
    <w:rsid w:val="197C0CF2"/>
    <w:rsid w:val="19951875"/>
    <w:rsid w:val="19AD1CFF"/>
    <w:rsid w:val="19D76D7C"/>
    <w:rsid w:val="19F02C95"/>
    <w:rsid w:val="1A09059C"/>
    <w:rsid w:val="1AAE4BBA"/>
    <w:rsid w:val="1ADA0FF4"/>
    <w:rsid w:val="1B3A63F9"/>
    <w:rsid w:val="1B574A59"/>
    <w:rsid w:val="1B8076CB"/>
    <w:rsid w:val="1BD172B9"/>
    <w:rsid w:val="1BDB0DA5"/>
    <w:rsid w:val="1BFD0D1C"/>
    <w:rsid w:val="1C8C3FCD"/>
    <w:rsid w:val="1C9D63C3"/>
    <w:rsid w:val="1CB30F2D"/>
    <w:rsid w:val="1D007D32"/>
    <w:rsid w:val="1D2740EC"/>
    <w:rsid w:val="1D2F58A1"/>
    <w:rsid w:val="1D4C3787"/>
    <w:rsid w:val="1DA5019F"/>
    <w:rsid w:val="1DB66E1B"/>
    <w:rsid w:val="1DDB7627"/>
    <w:rsid w:val="1E4578B6"/>
    <w:rsid w:val="1F220A99"/>
    <w:rsid w:val="1F5D2C27"/>
    <w:rsid w:val="1F5D2D9A"/>
    <w:rsid w:val="1F927B91"/>
    <w:rsid w:val="1F957098"/>
    <w:rsid w:val="1FD004F5"/>
    <w:rsid w:val="1FEA57F8"/>
    <w:rsid w:val="1FEF51AF"/>
    <w:rsid w:val="205A38A2"/>
    <w:rsid w:val="20644422"/>
    <w:rsid w:val="206C06CB"/>
    <w:rsid w:val="209C0C13"/>
    <w:rsid w:val="209F043A"/>
    <w:rsid w:val="21E52FF8"/>
    <w:rsid w:val="22087117"/>
    <w:rsid w:val="2216159F"/>
    <w:rsid w:val="22196C03"/>
    <w:rsid w:val="22225B31"/>
    <w:rsid w:val="223D2C87"/>
    <w:rsid w:val="22BD3DDC"/>
    <w:rsid w:val="23224A8E"/>
    <w:rsid w:val="2368442E"/>
    <w:rsid w:val="23FE1D32"/>
    <w:rsid w:val="24101F8A"/>
    <w:rsid w:val="24180599"/>
    <w:rsid w:val="24372A2E"/>
    <w:rsid w:val="24A547E2"/>
    <w:rsid w:val="24C92CF8"/>
    <w:rsid w:val="253E46DE"/>
    <w:rsid w:val="255703EC"/>
    <w:rsid w:val="25C63ABC"/>
    <w:rsid w:val="25D52D09"/>
    <w:rsid w:val="25F25922"/>
    <w:rsid w:val="26030761"/>
    <w:rsid w:val="262A1543"/>
    <w:rsid w:val="26A5778B"/>
    <w:rsid w:val="26D959CA"/>
    <w:rsid w:val="26F40FE2"/>
    <w:rsid w:val="277025E4"/>
    <w:rsid w:val="277245D4"/>
    <w:rsid w:val="2793091A"/>
    <w:rsid w:val="27DA4607"/>
    <w:rsid w:val="27DF7465"/>
    <w:rsid w:val="28114720"/>
    <w:rsid w:val="282D78E2"/>
    <w:rsid w:val="28973522"/>
    <w:rsid w:val="28AA503E"/>
    <w:rsid w:val="28B7736C"/>
    <w:rsid w:val="28CF63F4"/>
    <w:rsid w:val="2916166F"/>
    <w:rsid w:val="29326DC7"/>
    <w:rsid w:val="293D745F"/>
    <w:rsid w:val="296A57B2"/>
    <w:rsid w:val="29A95915"/>
    <w:rsid w:val="29F257C4"/>
    <w:rsid w:val="29F26F2A"/>
    <w:rsid w:val="29F3375E"/>
    <w:rsid w:val="2A343B53"/>
    <w:rsid w:val="2A397ADB"/>
    <w:rsid w:val="2AB03CE1"/>
    <w:rsid w:val="2B4179B6"/>
    <w:rsid w:val="2BC16C32"/>
    <w:rsid w:val="2BEA0F0F"/>
    <w:rsid w:val="2C146DD1"/>
    <w:rsid w:val="2C506CA2"/>
    <w:rsid w:val="2C532E03"/>
    <w:rsid w:val="2C7E04F1"/>
    <w:rsid w:val="2C85746B"/>
    <w:rsid w:val="2CC855D1"/>
    <w:rsid w:val="2D917516"/>
    <w:rsid w:val="2DDD422B"/>
    <w:rsid w:val="2E3410B8"/>
    <w:rsid w:val="2E3B2638"/>
    <w:rsid w:val="2E84548B"/>
    <w:rsid w:val="2F2B1A5B"/>
    <w:rsid w:val="2FA8323D"/>
    <w:rsid w:val="2FC9681B"/>
    <w:rsid w:val="2FE6010E"/>
    <w:rsid w:val="304965C5"/>
    <w:rsid w:val="30E43E01"/>
    <w:rsid w:val="31014D28"/>
    <w:rsid w:val="310503D6"/>
    <w:rsid w:val="31642EB0"/>
    <w:rsid w:val="31B646F4"/>
    <w:rsid w:val="32102420"/>
    <w:rsid w:val="32627574"/>
    <w:rsid w:val="326579F4"/>
    <w:rsid w:val="32AB67C9"/>
    <w:rsid w:val="33844870"/>
    <w:rsid w:val="33B73835"/>
    <w:rsid w:val="33DC5263"/>
    <w:rsid w:val="343D57A7"/>
    <w:rsid w:val="343E7CCC"/>
    <w:rsid w:val="34473024"/>
    <w:rsid w:val="345377F3"/>
    <w:rsid w:val="34E62D8C"/>
    <w:rsid w:val="34E74E6C"/>
    <w:rsid w:val="352571F3"/>
    <w:rsid w:val="356E0C38"/>
    <w:rsid w:val="358A057D"/>
    <w:rsid w:val="35FB623F"/>
    <w:rsid w:val="360F3372"/>
    <w:rsid w:val="36625EF3"/>
    <w:rsid w:val="366E3B3C"/>
    <w:rsid w:val="36751A3F"/>
    <w:rsid w:val="367D2EC8"/>
    <w:rsid w:val="36A52284"/>
    <w:rsid w:val="36BE7DF1"/>
    <w:rsid w:val="36CB2CF1"/>
    <w:rsid w:val="36F47B2C"/>
    <w:rsid w:val="370F0BCD"/>
    <w:rsid w:val="3715098A"/>
    <w:rsid w:val="372455AC"/>
    <w:rsid w:val="377C6EFA"/>
    <w:rsid w:val="37E200B3"/>
    <w:rsid w:val="382A2A41"/>
    <w:rsid w:val="38397DA1"/>
    <w:rsid w:val="38737243"/>
    <w:rsid w:val="39157688"/>
    <w:rsid w:val="391C2754"/>
    <w:rsid w:val="3A1844F4"/>
    <w:rsid w:val="3AA064F3"/>
    <w:rsid w:val="3B1209F3"/>
    <w:rsid w:val="3B1503C1"/>
    <w:rsid w:val="3B2576DD"/>
    <w:rsid w:val="3BA011E5"/>
    <w:rsid w:val="3BDD5ED6"/>
    <w:rsid w:val="3BE22C01"/>
    <w:rsid w:val="3C3519B4"/>
    <w:rsid w:val="3C593507"/>
    <w:rsid w:val="3C5C5F5C"/>
    <w:rsid w:val="3CBE19AA"/>
    <w:rsid w:val="3D022BFB"/>
    <w:rsid w:val="3D61381D"/>
    <w:rsid w:val="3D8F1598"/>
    <w:rsid w:val="3DEE62BF"/>
    <w:rsid w:val="3E596370"/>
    <w:rsid w:val="3EFE69D5"/>
    <w:rsid w:val="3F6C673B"/>
    <w:rsid w:val="3FBC6BAA"/>
    <w:rsid w:val="404339FD"/>
    <w:rsid w:val="40865941"/>
    <w:rsid w:val="40C90CF4"/>
    <w:rsid w:val="40F548D7"/>
    <w:rsid w:val="411C57F0"/>
    <w:rsid w:val="416318D4"/>
    <w:rsid w:val="417F239B"/>
    <w:rsid w:val="41A53138"/>
    <w:rsid w:val="41F25792"/>
    <w:rsid w:val="426B5CC1"/>
    <w:rsid w:val="42974085"/>
    <w:rsid w:val="42CD488F"/>
    <w:rsid w:val="43010842"/>
    <w:rsid w:val="433A40A2"/>
    <w:rsid w:val="4367487C"/>
    <w:rsid w:val="43EE29D1"/>
    <w:rsid w:val="43FE09EC"/>
    <w:rsid w:val="44036D28"/>
    <w:rsid w:val="441F20E4"/>
    <w:rsid w:val="4464552C"/>
    <w:rsid w:val="44C76E3B"/>
    <w:rsid w:val="44D0237B"/>
    <w:rsid w:val="451B276B"/>
    <w:rsid w:val="452139A6"/>
    <w:rsid w:val="452B5932"/>
    <w:rsid w:val="45497D2B"/>
    <w:rsid w:val="45AB2CE7"/>
    <w:rsid w:val="45C11FF3"/>
    <w:rsid w:val="468F04AB"/>
    <w:rsid w:val="47150D60"/>
    <w:rsid w:val="47424A3E"/>
    <w:rsid w:val="47775AD7"/>
    <w:rsid w:val="47D24C2E"/>
    <w:rsid w:val="47EA7AF7"/>
    <w:rsid w:val="481515C0"/>
    <w:rsid w:val="486D24D6"/>
    <w:rsid w:val="49670529"/>
    <w:rsid w:val="49965699"/>
    <w:rsid w:val="49B6311A"/>
    <w:rsid w:val="4A03390B"/>
    <w:rsid w:val="4A1F4764"/>
    <w:rsid w:val="4A3C7E3F"/>
    <w:rsid w:val="4A9833D4"/>
    <w:rsid w:val="4AA42F8A"/>
    <w:rsid w:val="4B0D67DA"/>
    <w:rsid w:val="4B104729"/>
    <w:rsid w:val="4B561588"/>
    <w:rsid w:val="4B673700"/>
    <w:rsid w:val="4BEB03BD"/>
    <w:rsid w:val="4C054A64"/>
    <w:rsid w:val="4C0C0D76"/>
    <w:rsid w:val="4C0D2006"/>
    <w:rsid w:val="4C556343"/>
    <w:rsid w:val="4CBA6D83"/>
    <w:rsid w:val="4DDF5C24"/>
    <w:rsid w:val="4E807534"/>
    <w:rsid w:val="4EBF1908"/>
    <w:rsid w:val="4F0C6D1A"/>
    <w:rsid w:val="4FD4302B"/>
    <w:rsid w:val="4FF61E22"/>
    <w:rsid w:val="50BE485B"/>
    <w:rsid w:val="51081D15"/>
    <w:rsid w:val="51204589"/>
    <w:rsid w:val="51232801"/>
    <w:rsid w:val="51426B05"/>
    <w:rsid w:val="51601F38"/>
    <w:rsid w:val="51A1583A"/>
    <w:rsid w:val="51A96FF1"/>
    <w:rsid w:val="51BC0756"/>
    <w:rsid w:val="51CE7479"/>
    <w:rsid w:val="51E24515"/>
    <w:rsid w:val="51E75002"/>
    <w:rsid w:val="51F83758"/>
    <w:rsid w:val="522977A9"/>
    <w:rsid w:val="52507470"/>
    <w:rsid w:val="52FB3500"/>
    <w:rsid w:val="52FE5AB1"/>
    <w:rsid w:val="530A12B1"/>
    <w:rsid w:val="53122572"/>
    <w:rsid w:val="531243A6"/>
    <w:rsid w:val="535B3A9A"/>
    <w:rsid w:val="53764934"/>
    <w:rsid w:val="53DA317B"/>
    <w:rsid w:val="53E774F6"/>
    <w:rsid w:val="54103AAC"/>
    <w:rsid w:val="54455AEF"/>
    <w:rsid w:val="5482205B"/>
    <w:rsid w:val="548412D3"/>
    <w:rsid w:val="549A5B63"/>
    <w:rsid w:val="54AF6350"/>
    <w:rsid w:val="55190490"/>
    <w:rsid w:val="554C03ED"/>
    <w:rsid w:val="55675005"/>
    <w:rsid w:val="562A7471"/>
    <w:rsid w:val="56665134"/>
    <w:rsid w:val="56A01764"/>
    <w:rsid w:val="57096E9F"/>
    <w:rsid w:val="570E509F"/>
    <w:rsid w:val="577855E2"/>
    <w:rsid w:val="57B17D9D"/>
    <w:rsid w:val="57CD7FAB"/>
    <w:rsid w:val="57D5394B"/>
    <w:rsid w:val="5838665C"/>
    <w:rsid w:val="58CE435E"/>
    <w:rsid w:val="58DE337E"/>
    <w:rsid w:val="59125B5B"/>
    <w:rsid w:val="594D23E8"/>
    <w:rsid w:val="59596D85"/>
    <w:rsid w:val="596D7A8B"/>
    <w:rsid w:val="59EE20D9"/>
    <w:rsid w:val="5A5B099B"/>
    <w:rsid w:val="5AC62D26"/>
    <w:rsid w:val="5AC95C92"/>
    <w:rsid w:val="5AE8436A"/>
    <w:rsid w:val="5AF14B5D"/>
    <w:rsid w:val="5B124A58"/>
    <w:rsid w:val="5B51367B"/>
    <w:rsid w:val="5B5D3146"/>
    <w:rsid w:val="5BCD5FD8"/>
    <w:rsid w:val="5CED4F6D"/>
    <w:rsid w:val="5D630B87"/>
    <w:rsid w:val="5D650917"/>
    <w:rsid w:val="5D720862"/>
    <w:rsid w:val="5DE55AD7"/>
    <w:rsid w:val="5DFE20F6"/>
    <w:rsid w:val="5E653E57"/>
    <w:rsid w:val="5EDC31F2"/>
    <w:rsid w:val="5EEB532D"/>
    <w:rsid w:val="5F1B6C09"/>
    <w:rsid w:val="5FD6799D"/>
    <w:rsid w:val="5FE175D9"/>
    <w:rsid w:val="602001CC"/>
    <w:rsid w:val="60624BBE"/>
    <w:rsid w:val="60915A2A"/>
    <w:rsid w:val="61CB22EF"/>
    <w:rsid w:val="621E6BB3"/>
    <w:rsid w:val="629F59D2"/>
    <w:rsid w:val="62AB5AC9"/>
    <w:rsid w:val="6341364F"/>
    <w:rsid w:val="636B1307"/>
    <w:rsid w:val="63C64EB3"/>
    <w:rsid w:val="64047065"/>
    <w:rsid w:val="643D66E9"/>
    <w:rsid w:val="64540922"/>
    <w:rsid w:val="648D0D03"/>
    <w:rsid w:val="653E278E"/>
    <w:rsid w:val="654222D3"/>
    <w:rsid w:val="66134468"/>
    <w:rsid w:val="662C3B8C"/>
    <w:rsid w:val="66B3122D"/>
    <w:rsid w:val="66C24EF1"/>
    <w:rsid w:val="66CC0AAD"/>
    <w:rsid w:val="67134A65"/>
    <w:rsid w:val="674675C6"/>
    <w:rsid w:val="67515045"/>
    <w:rsid w:val="676544A8"/>
    <w:rsid w:val="67E3539F"/>
    <w:rsid w:val="689A3E47"/>
    <w:rsid w:val="68AE5B14"/>
    <w:rsid w:val="68B27C41"/>
    <w:rsid w:val="68FF12F9"/>
    <w:rsid w:val="690F7B9A"/>
    <w:rsid w:val="691F478A"/>
    <w:rsid w:val="6977720C"/>
    <w:rsid w:val="697A70E8"/>
    <w:rsid w:val="698C52DE"/>
    <w:rsid w:val="6A113314"/>
    <w:rsid w:val="6A256711"/>
    <w:rsid w:val="6A30127F"/>
    <w:rsid w:val="6A9126D7"/>
    <w:rsid w:val="6A9E19E4"/>
    <w:rsid w:val="6AB96073"/>
    <w:rsid w:val="6ABB5084"/>
    <w:rsid w:val="6AC13E4D"/>
    <w:rsid w:val="6AC67AF8"/>
    <w:rsid w:val="6AE61F48"/>
    <w:rsid w:val="6AF2504C"/>
    <w:rsid w:val="6AFA41F9"/>
    <w:rsid w:val="6B2A658B"/>
    <w:rsid w:val="6B912F3A"/>
    <w:rsid w:val="6BCC359A"/>
    <w:rsid w:val="6C5C0714"/>
    <w:rsid w:val="6C691082"/>
    <w:rsid w:val="6C74221C"/>
    <w:rsid w:val="6CB00A5F"/>
    <w:rsid w:val="6CFB4D33"/>
    <w:rsid w:val="6D657A9C"/>
    <w:rsid w:val="6D761CA9"/>
    <w:rsid w:val="6D834B4D"/>
    <w:rsid w:val="6D870C0C"/>
    <w:rsid w:val="6DAD1C8C"/>
    <w:rsid w:val="6DB63E53"/>
    <w:rsid w:val="6DE1645F"/>
    <w:rsid w:val="6E15104F"/>
    <w:rsid w:val="6EA339BF"/>
    <w:rsid w:val="6F0364DE"/>
    <w:rsid w:val="6F207AEE"/>
    <w:rsid w:val="6F4C4B8E"/>
    <w:rsid w:val="6F4D3385"/>
    <w:rsid w:val="6FA40805"/>
    <w:rsid w:val="6FDB6AFA"/>
    <w:rsid w:val="70550787"/>
    <w:rsid w:val="7086429A"/>
    <w:rsid w:val="70E909E4"/>
    <w:rsid w:val="710A6D7C"/>
    <w:rsid w:val="71181384"/>
    <w:rsid w:val="711D5908"/>
    <w:rsid w:val="71213AE5"/>
    <w:rsid w:val="71DE4E50"/>
    <w:rsid w:val="71F119CB"/>
    <w:rsid w:val="72147D8C"/>
    <w:rsid w:val="72876A5D"/>
    <w:rsid w:val="72AC5C87"/>
    <w:rsid w:val="72C735DA"/>
    <w:rsid w:val="737722D7"/>
    <w:rsid w:val="739D2285"/>
    <w:rsid w:val="73AB4364"/>
    <w:rsid w:val="73FC27DC"/>
    <w:rsid w:val="74171020"/>
    <w:rsid w:val="7461635C"/>
    <w:rsid w:val="74FF083E"/>
    <w:rsid w:val="75033A86"/>
    <w:rsid w:val="752A4728"/>
    <w:rsid w:val="75973FDD"/>
    <w:rsid w:val="75A23C19"/>
    <w:rsid w:val="75AD133B"/>
    <w:rsid w:val="75DB20BD"/>
    <w:rsid w:val="760333B2"/>
    <w:rsid w:val="76484008"/>
    <w:rsid w:val="767B0330"/>
    <w:rsid w:val="76CF5F86"/>
    <w:rsid w:val="76F263F7"/>
    <w:rsid w:val="77106AAF"/>
    <w:rsid w:val="7722680D"/>
    <w:rsid w:val="772269FE"/>
    <w:rsid w:val="777D0D1B"/>
    <w:rsid w:val="78204054"/>
    <w:rsid w:val="78254F2C"/>
    <w:rsid w:val="788F1E71"/>
    <w:rsid w:val="78947487"/>
    <w:rsid w:val="789E1E5D"/>
    <w:rsid w:val="78D708DB"/>
    <w:rsid w:val="79256059"/>
    <w:rsid w:val="79A123D6"/>
    <w:rsid w:val="79C36333"/>
    <w:rsid w:val="7A2362C7"/>
    <w:rsid w:val="7A434722"/>
    <w:rsid w:val="7A502F4A"/>
    <w:rsid w:val="7ABF72FD"/>
    <w:rsid w:val="7BC62B6D"/>
    <w:rsid w:val="7BE25C57"/>
    <w:rsid w:val="7C391AAD"/>
    <w:rsid w:val="7CF56221"/>
    <w:rsid w:val="7D353CCF"/>
    <w:rsid w:val="7D4563EB"/>
    <w:rsid w:val="7D624885"/>
    <w:rsid w:val="7E684EF7"/>
    <w:rsid w:val="7E8E4A25"/>
    <w:rsid w:val="7EA824A9"/>
    <w:rsid w:val="7EB65FCC"/>
    <w:rsid w:val="7EB77AE3"/>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8"/>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69"/>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link w:val="410"/>
    <w:qFormat/>
    <w:uiPriority w:val="0"/>
    <w:pPr>
      <w:keepNext/>
      <w:outlineLvl w:val="3"/>
    </w:pPr>
    <w:rPr>
      <w:sz w:val="28"/>
      <w:szCs w:val="20"/>
    </w:rPr>
  </w:style>
  <w:style w:type="paragraph" w:styleId="6">
    <w:name w:val="heading 5"/>
    <w:basedOn w:val="1"/>
    <w:next w:val="1"/>
    <w:link w:val="70"/>
    <w:qFormat/>
    <w:uiPriority w:val="0"/>
    <w:pPr>
      <w:keepNext/>
      <w:keepLines/>
      <w:spacing w:before="280" w:after="290" w:line="376" w:lineRule="auto"/>
      <w:outlineLvl w:val="4"/>
    </w:pPr>
    <w:rPr>
      <w:b/>
      <w:bCs/>
      <w:sz w:val="28"/>
      <w:szCs w:val="28"/>
    </w:rPr>
  </w:style>
  <w:style w:type="paragraph" w:styleId="7">
    <w:name w:val="heading 6"/>
    <w:basedOn w:val="1"/>
    <w:next w:val="1"/>
    <w:link w:val="41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412"/>
    <w:qFormat/>
    <w:uiPriority w:val="0"/>
    <w:pPr>
      <w:keepNext/>
      <w:keepLines/>
      <w:spacing w:before="240" w:after="64" w:line="320" w:lineRule="auto"/>
      <w:outlineLvl w:val="6"/>
    </w:pPr>
    <w:rPr>
      <w:b/>
      <w:bCs/>
      <w:sz w:val="24"/>
    </w:rPr>
  </w:style>
  <w:style w:type="paragraph" w:styleId="9">
    <w:name w:val="heading 8"/>
    <w:basedOn w:val="1"/>
    <w:next w:val="1"/>
    <w:link w:val="413"/>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414"/>
    <w:qFormat/>
    <w:uiPriority w:val="0"/>
    <w:pPr>
      <w:keepNext/>
      <w:keepLines/>
      <w:spacing w:before="240" w:after="64" w:line="320" w:lineRule="auto"/>
      <w:outlineLvl w:val="8"/>
    </w:pPr>
    <w:rPr>
      <w:rFonts w:ascii="Arial" w:hAnsi="Arial" w:eastAsia="黑体"/>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szCs w:val="22"/>
    </w:rPr>
  </w:style>
  <w:style w:type="paragraph" w:styleId="12">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qFormat/>
    <w:uiPriority w:val="0"/>
    <w:pPr>
      <w:tabs>
        <w:tab w:val="left" w:pos="360"/>
      </w:tabs>
      <w:ind w:left="360" w:hanging="200" w:hangingChars="200"/>
    </w:pPr>
  </w:style>
  <w:style w:type="paragraph" w:styleId="15">
    <w:name w:val="Normal Indent"/>
    <w:basedOn w:val="1"/>
    <w:link w:val="7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caption"/>
    <w:basedOn w:val="1"/>
    <w:next w:val="1"/>
    <w:link w:val="406"/>
    <w:qFormat/>
    <w:uiPriority w:val="0"/>
    <w:pPr>
      <w:spacing w:before="152" w:after="160"/>
      <w:jc w:val="center"/>
    </w:pPr>
    <w:rPr>
      <w:rFonts w:ascii="Arial" w:hAnsi="Arial" w:eastAsia="黑体"/>
      <w:szCs w:val="20"/>
    </w:rPr>
  </w:style>
  <w:style w:type="paragraph" w:styleId="17">
    <w:name w:val="List Bullet"/>
    <w:basedOn w:val="1"/>
    <w:qFormat/>
    <w:uiPriority w:val="99"/>
    <w:pPr>
      <w:tabs>
        <w:tab w:val="left" w:pos="360"/>
      </w:tabs>
      <w:ind w:left="360" w:hanging="360"/>
    </w:pPr>
    <w:rPr>
      <w:sz w:val="24"/>
    </w:rPr>
  </w:style>
  <w:style w:type="paragraph" w:styleId="18">
    <w:name w:val="Document Map"/>
    <w:basedOn w:val="1"/>
    <w:link w:val="72"/>
    <w:qFormat/>
    <w:uiPriority w:val="0"/>
    <w:rPr>
      <w:rFonts w:ascii="宋体"/>
      <w:sz w:val="18"/>
      <w:szCs w:val="18"/>
    </w:rPr>
  </w:style>
  <w:style w:type="paragraph" w:styleId="19">
    <w:name w:val="annotation text"/>
    <w:basedOn w:val="1"/>
    <w:link w:val="73"/>
    <w:qFormat/>
    <w:uiPriority w:val="0"/>
    <w:pPr>
      <w:jc w:val="left"/>
    </w:pPr>
    <w:rPr>
      <w:szCs w:val="20"/>
    </w:rPr>
  </w:style>
  <w:style w:type="paragraph" w:styleId="20">
    <w:name w:val="Body Text 3"/>
    <w:basedOn w:val="1"/>
    <w:link w:val="74"/>
    <w:qFormat/>
    <w:uiPriority w:val="99"/>
    <w:pPr>
      <w:spacing w:after="120"/>
    </w:pPr>
    <w:rPr>
      <w:sz w:val="16"/>
      <w:szCs w:val="16"/>
    </w:rPr>
  </w:style>
  <w:style w:type="paragraph" w:styleId="21">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2">
    <w:name w:val="Body Text"/>
    <w:basedOn w:val="1"/>
    <w:link w:val="75"/>
    <w:qFormat/>
    <w:uiPriority w:val="99"/>
    <w:rPr>
      <w:sz w:val="28"/>
      <w:szCs w:val="20"/>
    </w:rPr>
  </w:style>
  <w:style w:type="paragraph" w:styleId="23">
    <w:name w:val="Body Text Indent"/>
    <w:basedOn w:val="1"/>
    <w:link w:val="76"/>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4">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5">
    <w:name w:val="List 2"/>
    <w:basedOn w:val="1"/>
    <w:qFormat/>
    <w:uiPriority w:val="0"/>
    <w:pPr>
      <w:ind w:left="100" w:leftChars="200" w:hanging="200" w:hangingChars="200"/>
    </w:pPr>
  </w:style>
  <w:style w:type="paragraph" w:styleId="26">
    <w:name w:val="List Bullet 2"/>
    <w:basedOn w:val="1"/>
    <w:next w:val="27"/>
    <w:qFormat/>
    <w:uiPriority w:val="99"/>
    <w:pPr>
      <w:keepLines/>
      <w:tabs>
        <w:tab w:val="left" w:pos="780"/>
      </w:tabs>
      <w:spacing w:afterLines="20" w:line="264" w:lineRule="auto"/>
      <w:ind w:left="780" w:hanging="360"/>
    </w:pPr>
    <w:rPr>
      <w:rFonts w:ascii="宋体"/>
      <w:sz w:val="24"/>
      <w:szCs w:val="21"/>
    </w:rPr>
  </w:style>
  <w:style w:type="paragraph" w:styleId="27">
    <w:name w:val="Body Text First Indent"/>
    <w:basedOn w:val="22"/>
    <w:link w:val="77"/>
    <w:qFormat/>
    <w:uiPriority w:val="0"/>
    <w:pPr>
      <w:spacing w:after="120"/>
      <w:ind w:firstLine="210" w:firstLineChars="100"/>
    </w:pPr>
    <w:rPr>
      <w:kern w:val="0"/>
      <w:sz w:val="20"/>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0"/>
    <w:pPr>
      <w:ind w:left="1680" w:leftChars="800"/>
    </w:pPr>
    <w:rPr>
      <w:rFonts w:ascii="Calibri" w:hAnsi="Calibri"/>
      <w:szCs w:val="22"/>
    </w:rPr>
  </w:style>
  <w:style w:type="paragraph" w:styleId="30">
    <w:name w:val="toc 3"/>
    <w:basedOn w:val="1"/>
    <w:next w:val="1"/>
    <w:qFormat/>
    <w:uiPriority w:val="0"/>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8"/>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0"/>
    <w:pPr>
      <w:ind w:left="2940" w:leftChars="1400"/>
    </w:pPr>
    <w:rPr>
      <w:rFonts w:ascii="Calibri" w:hAnsi="Calibri"/>
      <w:szCs w:val="22"/>
    </w:rPr>
  </w:style>
  <w:style w:type="paragraph" w:styleId="35">
    <w:name w:val="Date"/>
    <w:basedOn w:val="1"/>
    <w:next w:val="1"/>
    <w:link w:val="79"/>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80"/>
    <w:qFormat/>
    <w:uiPriority w:val="0"/>
    <w:rPr>
      <w:sz w:val="18"/>
      <w:szCs w:val="18"/>
    </w:rPr>
  </w:style>
  <w:style w:type="paragraph" w:styleId="38">
    <w:name w:val="footer"/>
    <w:basedOn w:val="1"/>
    <w:link w:val="81"/>
    <w:qFormat/>
    <w:uiPriority w:val="0"/>
    <w:pPr>
      <w:tabs>
        <w:tab w:val="center" w:pos="4153"/>
        <w:tab w:val="right" w:pos="8306"/>
      </w:tabs>
      <w:snapToGrid w:val="0"/>
      <w:jc w:val="left"/>
    </w:pPr>
    <w:rPr>
      <w:sz w:val="18"/>
      <w:szCs w:val="18"/>
    </w:rPr>
  </w:style>
  <w:style w:type="paragraph" w:styleId="39">
    <w:name w:val="header"/>
    <w:basedOn w:val="1"/>
    <w:link w:val="82"/>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0"/>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3"/>
    <w:qFormat/>
    <w:uiPriority w:val="0"/>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0"/>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index 9"/>
    <w:basedOn w:val="1"/>
    <w:next w:val="1"/>
    <w:semiHidden/>
    <w:qFormat/>
    <w:uiPriority w:val="0"/>
    <w:pPr>
      <w:ind w:left="1600" w:leftChars="1600"/>
    </w:pPr>
  </w:style>
  <w:style w:type="paragraph" w:styleId="49">
    <w:name w:val="table of figures"/>
    <w:basedOn w:val="1"/>
    <w:next w:val="1"/>
    <w:semiHidden/>
    <w:qFormat/>
    <w:uiPriority w:val="0"/>
    <w:pPr>
      <w:ind w:left="200" w:leftChars="200" w:hanging="200" w:hangingChars="200"/>
    </w:pPr>
  </w:style>
  <w:style w:type="paragraph" w:styleId="50">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51">
    <w:name w:val="toc 9"/>
    <w:basedOn w:val="1"/>
    <w:next w:val="1"/>
    <w:unhideWhenUsed/>
    <w:qFormat/>
    <w:uiPriority w:val="0"/>
    <w:pPr>
      <w:ind w:left="3360" w:leftChars="1600"/>
    </w:pPr>
    <w:rPr>
      <w:rFonts w:ascii="Calibri" w:hAnsi="Calibri"/>
      <w:szCs w:val="22"/>
    </w:rPr>
  </w:style>
  <w:style w:type="paragraph" w:styleId="52">
    <w:name w:val="Body Text 2"/>
    <w:basedOn w:val="1"/>
    <w:link w:val="84"/>
    <w:qFormat/>
    <w:uiPriority w:val="99"/>
    <w:rPr>
      <w:color w:val="FF0000"/>
      <w:kern w:val="0"/>
      <w:sz w:val="20"/>
      <w:szCs w:val="20"/>
    </w:rPr>
  </w:style>
  <w:style w:type="paragraph" w:styleId="53">
    <w:name w:val="HTML Preformatted"/>
    <w:basedOn w:val="1"/>
    <w:link w:val="41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4">
    <w:name w:val="Normal (Web)"/>
    <w:basedOn w:val="1"/>
    <w:qFormat/>
    <w:uiPriority w:val="0"/>
    <w:rPr>
      <w:sz w:val="24"/>
    </w:rPr>
  </w:style>
  <w:style w:type="paragraph" w:styleId="55">
    <w:name w:val="Title"/>
    <w:basedOn w:val="1"/>
    <w:next w:val="1"/>
    <w:link w:val="416"/>
    <w:qFormat/>
    <w:uiPriority w:val="0"/>
    <w:pPr>
      <w:spacing w:before="240" w:after="60"/>
      <w:jc w:val="center"/>
      <w:outlineLvl w:val="0"/>
    </w:pPr>
    <w:rPr>
      <w:rFonts w:ascii="Cambria" w:hAnsi="Cambria"/>
      <w:b/>
      <w:bCs/>
      <w:sz w:val="32"/>
      <w:szCs w:val="32"/>
    </w:rPr>
  </w:style>
  <w:style w:type="paragraph" w:styleId="56">
    <w:name w:val="annotation subject"/>
    <w:basedOn w:val="19"/>
    <w:next w:val="19"/>
    <w:link w:val="85"/>
    <w:qFormat/>
    <w:uiPriority w:val="0"/>
    <w:rPr>
      <w:b/>
      <w:bCs/>
    </w:rPr>
  </w:style>
  <w:style w:type="paragraph" w:styleId="57">
    <w:name w:val="Body Text First Indent 2"/>
    <w:basedOn w:val="23"/>
    <w:link w:val="86"/>
    <w:unhideWhenUsed/>
    <w:qFormat/>
    <w:uiPriority w:val="0"/>
    <w:pPr>
      <w:ind w:firstLine="420" w:firstLineChars="200"/>
    </w:p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99"/>
    <w:rPr>
      <w:b/>
      <w:bCs/>
    </w:rPr>
  </w:style>
  <w:style w:type="character" w:styleId="62">
    <w:name w:val="page number"/>
    <w:qFormat/>
    <w:uiPriority w:val="0"/>
  </w:style>
  <w:style w:type="character" w:styleId="63">
    <w:name w:val="FollowedHyperlink"/>
    <w:qFormat/>
    <w:uiPriority w:val="99"/>
    <w:rPr>
      <w:color w:val="800080"/>
      <w:u w:val="single"/>
    </w:rPr>
  </w:style>
  <w:style w:type="character" w:styleId="64">
    <w:name w:val="Emphasis"/>
    <w:qFormat/>
    <w:uiPriority w:val="20"/>
    <w:rPr>
      <w:i/>
      <w:iCs/>
    </w:rPr>
  </w:style>
  <w:style w:type="character" w:styleId="65">
    <w:name w:val="Hyperlink"/>
    <w:unhideWhenUsed/>
    <w:qFormat/>
    <w:uiPriority w:val="99"/>
    <w:rPr>
      <w:color w:val="0000FF"/>
      <w:u w:val="single"/>
    </w:rPr>
  </w:style>
  <w:style w:type="character" w:styleId="66">
    <w:name w:val="annotation reference"/>
    <w:qFormat/>
    <w:uiPriority w:val="0"/>
    <w:rPr>
      <w:sz w:val="21"/>
      <w:szCs w:val="21"/>
    </w:rPr>
  </w:style>
  <w:style w:type="character" w:customStyle="1" w:styleId="67">
    <w:name w:val="标题 1 字符"/>
    <w:link w:val="3"/>
    <w:qFormat/>
    <w:uiPriority w:val="0"/>
    <w:rPr>
      <w:rFonts w:eastAsia="黑体"/>
      <w:bCs/>
      <w:kern w:val="44"/>
      <w:sz w:val="30"/>
      <w:szCs w:val="44"/>
    </w:rPr>
  </w:style>
  <w:style w:type="character" w:customStyle="1" w:styleId="68">
    <w:name w:val="标题 2 字符"/>
    <w:link w:val="4"/>
    <w:qFormat/>
    <w:uiPriority w:val="0"/>
    <w:rPr>
      <w:rFonts w:ascii="Arial" w:hAnsi="Arial" w:eastAsia="黑体"/>
      <w:bCs/>
      <w:kern w:val="2"/>
      <w:sz w:val="28"/>
      <w:szCs w:val="32"/>
    </w:rPr>
  </w:style>
  <w:style w:type="character" w:customStyle="1" w:styleId="69">
    <w:name w:val="标题 3 字符"/>
    <w:link w:val="5"/>
    <w:qFormat/>
    <w:uiPriority w:val="0"/>
    <w:rPr>
      <w:rFonts w:ascii="黑体" w:eastAsia="黑体"/>
      <w:sz w:val="28"/>
    </w:rPr>
  </w:style>
  <w:style w:type="character" w:customStyle="1" w:styleId="70">
    <w:name w:val="标题 5 字符"/>
    <w:link w:val="6"/>
    <w:qFormat/>
    <w:uiPriority w:val="0"/>
    <w:rPr>
      <w:b/>
      <w:bCs/>
      <w:kern w:val="2"/>
      <w:sz w:val="28"/>
      <w:szCs w:val="28"/>
    </w:rPr>
  </w:style>
  <w:style w:type="character" w:customStyle="1" w:styleId="71">
    <w:name w:val="正文缩进 字符"/>
    <w:link w:val="15"/>
    <w:qFormat/>
    <w:uiPriority w:val="0"/>
    <w:rPr>
      <w:rFonts w:ascii="楷体_GB2312" w:eastAsia="楷体_GB2312"/>
      <w:sz w:val="28"/>
    </w:rPr>
  </w:style>
  <w:style w:type="character" w:customStyle="1" w:styleId="72">
    <w:name w:val="文档结构图 字符"/>
    <w:link w:val="18"/>
    <w:semiHidden/>
    <w:qFormat/>
    <w:uiPriority w:val="0"/>
    <w:rPr>
      <w:rFonts w:ascii="宋体"/>
      <w:kern w:val="2"/>
      <w:sz w:val="18"/>
      <w:szCs w:val="18"/>
    </w:rPr>
  </w:style>
  <w:style w:type="character" w:customStyle="1" w:styleId="73">
    <w:name w:val="批注文字 字符"/>
    <w:link w:val="19"/>
    <w:qFormat/>
    <w:uiPriority w:val="0"/>
    <w:rPr>
      <w:rFonts w:eastAsia="宋体"/>
      <w:kern w:val="2"/>
      <w:sz w:val="21"/>
      <w:lang w:val="en-US" w:eastAsia="zh-CN" w:bidi="ar-SA"/>
    </w:rPr>
  </w:style>
  <w:style w:type="character" w:customStyle="1" w:styleId="74">
    <w:name w:val="正文文本 3 字符"/>
    <w:link w:val="20"/>
    <w:qFormat/>
    <w:uiPriority w:val="99"/>
    <w:rPr>
      <w:kern w:val="2"/>
      <w:sz w:val="16"/>
      <w:szCs w:val="16"/>
    </w:rPr>
  </w:style>
  <w:style w:type="character" w:customStyle="1" w:styleId="75">
    <w:name w:val="正文文本 字符"/>
    <w:link w:val="22"/>
    <w:qFormat/>
    <w:uiPriority w:val="99"/>
    <w:rPr>
      <w:kern w:val="2"/>
      <w:sz w:val="28"/>
    </w:rPr>
  </w:style>
  <w:style w:type="character" w:customStyle="1" w:styleId="76">
    <w:name w:val="正文文本缩进 字符"/>
    <w:link w:val="23"/>
    <w:qFormat/>
    <w:uiPriority w:val="0"/>
    <w:rPr>
      <w:rFonts w:ascii="楷体_GB2312" w:eastAsia="楷体_GB2312"/>
      <w:sz w:val="28"/>
    </w:rPr>
  </w:style>
  <w:style w:type="character" w:customStyle="1" w:styleId="77">
    <w:name w:val="正文文本首行缩进 字符"/>
    <w:link w:val="27"/>
    <w:qFormat/>
    <w:locked/>
    <w:uiPriority w:val="0"/>
  </w:style>
  <w:style w:type="character" w:customStyle="1" w:styleId="78">
    <w:name w:val="纯文本 字符"/>
    <w:link w:val="31"/>
    <w:qFormat/>
    <w:uiPriority w:val="99"/>
    <w:rPr>
      <w:rFonts w:ascii="宋体" w:hAnsi="Courier New"/>
      <w:kern w:val="2"/>
      <w:sz w:val="21"/>
    </w:rPr>
  </w:style>
  <w:style w:type="character" w:customStyle="1" w:styleId="79">
    <w:name w:val="日期 字符"/>
    <w:link w:val="35"/>
    <w:qFormat/>
    <w:uiPriority w:val="99"/>
    <w:rPr>
      <w:kern w:val="2"/>
      <w:sz w:val="21"/>
    </w:rPr>
  </w:style>
  <w:style w:type="character" w:customStyle="1" w:styleId="80">
    <w:name w:val="批注框文本 字符"/>
    <w:link w:val="37"/>
    <w:qFormat/>
    <w:uiPriority w:val="0"/>
    <w:rPr>
      <w:kern w:val="2"/>
      <w:sz w:val="18"/>
      <w:szCs w:val="18"/>
    </w:rPr>
  </w:style>
  <w:style w:type="character" w:customStyle="1" w:styleId="81">
    <w:name w:val="页脚 字符"/>
    <w:link w:val="38"/>
    <w:qFormat/>
    <w:uiPriority w:val="0"/>
    <w:rPr>
      <w:kern w:val="2"/>
      <w:sz w:val="18"/>
      <w:szCs w:val="18"/>
    </w:rPr>
  </w:style>
  <w:style w:type="character" w:customStyle="1" w:styleId="82">
    <w:name w:val="页眉 字符"/>
    <w:link w:val="39"/>
    <w:qFormat/>
    <w:uiPriority w:val="0"/>
    <w:rPr>
      <w:kern w:val="2"/>
      <w:sz w:val="18"/>
      <w:szCs w:val="18"/>
    </w:rPr>
  </w:style>
  <w:style w:type="character" w:customStyle="1" w:styleId="83">
    <w:name w:val="副标题 字符"/>
    <w:link w:val="44"/>
    <w:qFormat/>
    <w:uiPriority w:val="0"/>
    <w:rPr>
      <w:rFonts w:ascii="Cambria" w:hAnsi="Cambria" w:cs="黑体"/>
      <w:b/>
      <w:bCs/>
      <w:kern w:val="28"/>
      <w:sz w:val="32"/>
      <w:szCs w:val="32"/>
    </w:rPr>
  </w:style>
  <w:style w:type="character" w:customStyle="1" w:styleId="84">
    <w:name w:val="正文文本 2 字符"/>
    <w:link w:val="52"/>
    <w:qFormat/>
    <w:locked/>
    <w:uiPriority w:val="99"/>
    <w:rPr>
      <w:color w:val="FF0000"/>
    </w:rPr>
  </w:style>
  <w:style w:type="character" w:customStyle="1" w:styleId="85">
    <w:name w:val="批注主题 字符"/>
    <w:link w:val="56"/>
    <w:qFormat/>
    <w:uiPriority w:val="0"/>
    <w:rPr>
      <w:rFonts w:eastAsia="宋体"/>
      <w:b/>
      <w:bCs/>
      <w:kern w:val="2"/>
      <w:sz w:val="21"/>
      <w:lang w:val="en-US" w:eastAsia="zh-CN" w:bidi="ar-SA"/>
    </w:rPr>
  </w:style>
  <w:style w:type="character" w:customStyle="1" w:styleId="86">
    <w:name w:val="正文文本首行缩进 2 字符"/>
    <w:link w:val="57"/>
    <w:qFormat/>
    <w:uiPriority w:val="0"/>
    <w:rPr>
      <w:rFonts w:ascii="楷体_GB2312" w:eastAsia="楷体_GB2312"/>
      <w:sz w:val="28"/>
    </w:rPr>
  </w:style>
  <w:style w:type="character" w:customStyle="1" w:styleId="87">
    <w:name w:val="标题 1 Char"/>
    <w:qFormat/>
    <w:uiPriority w:val="0"/>
    <w:rPr>
      <w:rFonts w:ascii="黑体"/>
      <w:b/>
      <w:kern w:val="44"/>
      <w:sz w:val="32"/>
    </w:rPr>
  </w:style>
  <w:style w:type="character" w:customStyle="1" w:styleId="88">
    <w:name w:val="纯文本 Char"/>
    <w:qFormat/>
    <w:uiPriority w:val="0"/>
    <w:rPr>
      <w:rFonts w:ascii="宋体" w:hAnsi="Courier New" w:eastAsia="宋体" w:cs="Times New Roman"/>
      <w:szCs w:val="20"/>
    </w:rPr>
  </w:style>
  <w:style w:type="character" w:customStyle="1" w:styleId="89">
    <w:name w:val="正文文本 Char"/>
    <w:qFormat/>
    <w:uiPriority w:val="99"/>
    <w:rPr>
      <w:rFonts w:ascii="Times New Roman" w:hAnsi="Times New Roman" w:eastAsia="宋体" w:cs="Times New Roman"/>
      <w:sz w:val="28"/>
      <w:szCs w:val="20"/>
    </w:rPr>
  </w:style>
  <w:style w:type="character" w:customStyle="1" w:styleId="90">
    <w:name w:val="访问过的超链接1"/>
    <w:qFormat/>
    <w:uiPriority w:val="0"/>
    <w:rPr>
      <w:color w:val="800080"/>
      <w:u w:val="single"/>
    </w:rPr>
  </w:style>
  <w:style w:type="character" w:customStyle="1" w:styleId="91">
    <w:name w:val="href"/>
    <w:qFormat/>
    <w:uiPriority w:val="0"/>
    <w:rPr>
      <w:color w:val="0000FF"/>
      <w:u w:val="single"/>
    </w:rPr>
  </w:style>
  <w:style w:type="character" w:customStyle="1" w:styleId="92">
    <w:name w:val="first-child"/>
    <w:qFormat/>
    <w:uiPriority w:val="0"/>
    <w:rPr>
      <w:vanish/>
    </w:rPr>
  </w:style>
  <w:style w:type="character" w:customStyle="1" w:styleId="93">
    <w:name w:val="标题 9 Char"/>
    <w:qFormat/>
    <w:uiPriority w:val="99"/>
    <w:rPr>
      <w:rFonts w:ascii="Arial" w:hAnsi="Arial" w:eastAsia="黑体" w:cs="Times New Roman"/>
      <w:szCs w:val="21"/>
    </w:rPr>
  </w:style>
  <w:style w:type="character" w:customStyle="1" w:styleId="94">
    <w:name w:val="正文文本缩进 2 Char"/>
    <w:qFormat/>
    <w:uiPriority w:val="99"/>
    <w:rPr>
      <w:rFonts w:ascii="仿宋_GB2312" w:hAnsi="宋体" w:eastAsia="仿宋_GB2312" w:cs="Times New Roman"/>
      <w:sz w:val="24"/>
      <w:szCs w:val="24"/>
    </w:rPr>
  </w:style>
  <w:style w:type="character" w:customStyle="1" w:styleId="95">
    <w:name w:val="列表段落 字符"/>
    <w:link w:val="96"/>
    <w:qFormat/>
    <w:uiPriority w:val="99"/>
    <w:rPr>
      <w:kern w:val="2"/>
      <w:sz w:val="21"/>
    </w:rPr>
  </w:style>
  <w:style w:type="paragraph" w:styleId="96">
    <w:name w:val="List Paragraph"/>
    <w:basedOn w:val="1"/>
    <w:link w:val="95"/>
    <w:qFormat/>
    <w:uiPriority w:val="34"/>
    <w:pPr>
      <w:ind w:firstLine="420" w:firstLineChars="200"/>
    </w:pPr>
  </w:style>
  <w:style w:type="paragraph" w:customStyle="1" w:styleId="97">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8">
    <w:name w:val="批注文字 Char1"/>
    <w:qFormat/>
    <w:uiPriority w:val="0"/>
    <w:rPr>
      <w:kern w:val="2"/>
      <w:sz w:val="21"/>
    </w:rPr>
  </w:style>
  <w:style w:type="character" w:customStyle="1" w:styleId="99">
    <w:name w:val="标题 8 Char"/>
    <w:qFormat/>
    <w:uiPriority w:val="99"/>
    <w:rPr>
      <w:rFonts w:ascii="Arial" w:hAnsi="Arial" w:eastAsia="黑体" w:cs="Times New Roman"/>
      <w:sz w:val="24"/>
      <w:szCs w:val="24"/>
    </w:rPr>
  </w:style>
  <w:style w:type="character" w:customStyle="1" w:styleId="100">
    <w:name w:val="列出段落 Char1"/>
    <w:qFormat/>
    <w:uiPriority w:val="99"/>
    <w:rPr>
      <w:kern w:val="2"/>
      <w:sz w:val="21"/>
      <w:szCs w:val="24"/>
    </w:rPr>
  </w:style>
  <w:style w:type="character" w:customStyle="1" w:styleId="101">
    <w:name w:val="正文文本缩进 3 Char"/>
    <w:qFormat/>
    <w:uiPriority w:val="99"/>
    <w:rPr>
      <w:rFonts w:ascii="Times New Roman" w:hAnsi="Times New Roman" w:eastAsia="宋体" w:cs="Times New Roman"/>
      <w:sz w:val="24"/>
      <w:szCs w:val="20"/>
    </w:rPr>
  </w:style>
  <w:style w:type="character" w:customStyle="1" w:styleId="102">
    <w:name w:val="标题 6 Char"/>
    <w:qFormat/>
    <w:uiPriority w:val="99"/>
    <w:rPr>
      <w:rFonts w:ascii="Arial" w:hAnsi="Arial" w:eastAsia="黑体" w:cs="Times New Roman"/>
      <w:b/>
      <w:bCs/>
      <w:sz w:val="24"/>
      <w:szCs w:val="24"/>
    </w:rPr>
  </w:style>
  <w:style w:type="character" w:customStyle="1" w:styleId="103">
    <w:name w:val="正文文本缩进 Char"/>
    <w:qFormat/>
    <w:uiPriority w:val="99"/>
    <w:rPr>
      <w:rFonts w:ascii="楷体_GB2312" w:eastAsia="楷体_GB2312"/>
      <w:sz w:val="28"/>
    </w:rPr>
  </w:style>
  <w:style w:type="character" w:customStyle="1" w:styleId="104">
    <w:name w:val="标题 Char"/>
    <w:qFormat/>
    <w:uiPriority w:val="0"/>
    <w:rPr>
      <w:rFonts w:ascii="Cambria" w:hAnsi="Cambria" w:cs="Times New Roman"/>
      <w:b/>
      <w:bCs/>
      <w:kern w:val="2"/>
      <w:sz w:val="32"/>
      <w:szCs w:val="32"/>
    </w:rPr>
  </w:style>
  <w:style w:type="character" w:customStyle="1" w:styleId="105">
    <w:name w:val="标题 4 Char"/>
    <w:qFormat/>
    <w:uiPriority w:val="99"/>
    <w:rPr>
      <w:rFonts w:ascii="Times New Roman" w:hAnsi="Times New Roman" w:eastAsia="宋体" w:cs="Times New Roman"/>
      <w:sz w:val="28"/>
      <w:szCs w:val="20"/>
    </w:rPr>
  </w:style>
  <w:style w:type="character" w:customStyle="1" w:styleId="106">
    <w:name w:val="蓝色显示 Char"/>
    <w:link w:val="107"/>
    <w:qFormat/>
    <w:uiPriority w:val="0"/>
    <w:rPr>
      <w:b/>
      <w:color w:val="0070C0"/>
      <w:kern w:val="2"/>
      <w:sz w:val="21"/>
      <w:szCs w:val="24"/>
    </w:rPr>
  </w:style>
  <w:style w:type="paragraph" w:customStyle="1" w:styleId="107">
    <w:name w:val="蓝色显示"/>
    <w:basedOn w:val="1"/>
    <w:link w:val="106"/>
    <w:qFormat/>
    <w:uiPriority w:val="0"/>
    <w:pPr>
      <w:spacing w:before="340" w:after="330" w:line="400" w:lineRule="exact"/>
    </w:pPr>
    <w:rPr>
      <w:b/>
      <w:color w:val="0070C0"/>
    </w:rPr>
  </w:style>
  <w:style w:type="character" w:customStyle="1" w:styleId="108">
    <w:name w:val="标题 5 Char"/>
    <w:qFormat/>
    <w:uiPriority w:val="99"/>
    <w:rPr>
      <w:rFonts w:ascii="Times New Roman" w:hAnsi="Times New Roman" w:eastAsia="宋体" w:cs="Times New Roman"/>
      <w:b/>
      <w:bCs/>
      <w:sz w:val="28"/>
      <w:szCs w:val="28"/>
    </w:rPr>
  </w:style>
  <w:style w:type="character" w:customStyle="1" w:styleId="109">
    <w:name w:val="Char Char1"/>
    <w:qFormat/>
    <w:uiPriority w:val="0"/>
    <w:rPr>
      <w:rFonts w:ascii="楷体_GB2312" w:eastAsia="楷体_GB2312"/>
      <w:sz w:val="28"/>
    </w:rPr>
  </w:style>
  <w:style w:type="character" w:customStyle="1" w:styleId="110">
    <w:name w:val="标题3 Char"/>
    <w:link w:val="111"/>
    <w:qFormat/>
    <w:uiPriority w:val="0"/>
    <w:rPr>
      <w:rFonts w:ascii="宋体" w:hAnsi="宋体"/>
      <w:color w:val="000000"/>
      <w:sz w:val="21"/>
      <w:szCs w:val="21"/>
    </w:rPr>
  </w:style>
  <w:style w:type="paragraph" w:customStyle="1" w:styleId="111">
    <w:name w:val="标题3"/>
    <w:basedOn w:val="15"/>
    <w:link w:val="110"/>
    <w:qFormat/>
    <w:uiPriority w:val="0"/>
    <w:pPr>
      <w:numPr>
        <w:ilvl w:val="0"/>
        <w:numId w:val="2"/>
      </w:numPr>
      <w:spacing w:line="240" w:lineRule="auto"/>
    </w:pPr>
    <w:rPr>
      <w:rFonts w:ascii="宋体" w:hAnsi="宋体" w:eastAsia="宋体"/>
      <w:color w:val="000000"/>
      <w:sz w:val="21"/>
      <w:szCs w:val="21"/>
    </w:rPr>
  </w:style>
  <w:style w:type="character" w:customStyle="1" w:styleId="112">
    <w:name w:val="Char Char"/>
    <w:qFormat/>
    <w:uiPriority w:val="0"/>
    <w:rPr>
      <w:rFonts w:ascii="宋体"/>
      <w:kern w:val="2"/>
      <w:sz w:val="18"/>
      <w:szCs w:val="18"/>
    </w:rPr>
  </w:style>
  <w:style w:type="character" w:customStyle="1" w:styleId="113">
    <w:name w:val="标题 2 Char Char Char"/>
    <w:qFormat/>
    <w:uiPriority w:val="0"/>
    <w:rPr>
      <w:rFonts w:ascii="Arial" w:hAnsi="Arial" w:eastAsia="黑体" w:cs="Times New Roman"/>
      <w:b/>
      <w:bCs/>
      <w:kern w:val="2"/>
      <w:sz w:val="32"/>
      <w:szCs w:val="32"/>
      <w:lang w:val="en-US" w:eastAsia="zh-CN" w:bidi="ar-SA"/>
    </w:rPr>
  </w:style>
  <w:style w:type="character" w:customStyle="1" w:styleId="114">
    <w:name w:val="标题 7 Char"/>
    <w:qFormat/>
    <w:uiPriority w:val="99"/>
    <w:rPr>
      <w:rFonts w:ascii="Times New Roman" w:hAnsi="Times New Roman" w:eastAsia="宋体" w:cs="Times New Roman"/>
      <w:b/>
      <w:bCs/>
      <w:sz w:val="24"/>
      <w:szCs w:val="24"/>
    </w:rPr>
  </w:style>
  <w:style w:type="paragraph" w:customStyle="1" w:styleId="115">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6">
    <w:name w:val="Normal_0"/>
    <w:qFormat/>
    <w:uiPriority w:val="0"/>
    <w:pPr>
      <w:widowControl w:val="0"/>
      <w:jc w:val="both"/>
    </w:pPr>
    <w:rPr>
      <w:rFonts w:ascii="Calibri" w:hAnsi="Calibri" w:eastAsia="宋体" w:cs="Times New Roman"/>
      <w:lang w:val="en-US" w:eastAsia="zh-CN" w:bidi="ar-SA"/>
    </w:rPr>
  </w:style>
  <w:style w:type="paragraph" w:customStyle="1" w:styleId="117">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8">
    <w:name w:val="样式 标题 2 + Times New Roman 四号 非加粗 段前: 5 磅 段后: 0 磅 行距: 固定值 20..._0"/>
    <w:basedOn w:val="119"/>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9">
    <w:name w:val="标题 2_0"/>
    <w:basedOn w:val="120"/>
    <w:next w:val="120"/>
    <w:unhideWhenUsed/>
    <w:qFormat/>
    <w:uiPriority w:val="0"/>
    <w:pPr>
      <w:keepNext/>
      <w:keepLines/>
      <w:spacing w:before="260" w:after="260" w:line="416" w:lineRule="auto"/>
      <w:outlineLvl w:val="1"/>
    </w:pPr>
    <w:rPr>
      <w:rFonts w:ascii="Cambria" w:hAnsi="Cambria"/>
      <w:b/>
      <w:bCs/>
      <w:sz w:val="32"/>
      <w:szCs w:val="32"/>
    </w:rPr>
  </w:style>
  <w:style w:type="paragraph" w:customStyle="1" w:styleId="120">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Blockquote_0_0"/>
    <w:basedOn w:val="120"/>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3">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4">
    <w:name w:val="Comment Text"/>
    <w:basedOn w:val="116"/>
    <w:unhideWhenUsed/>
    <w:qFormat/>
    <w:uiPriority w:val="0"/>
    <w:pPr>
      <w:jc w:val="left"/>
    </w:pPr>
    <w:rPr>
      <w:rFonts w:eastAsia="Times New Roman"/>
    </w:rPr>
  </w:style>
  <w:style w:type="paragraph" w:customStyle="1" w:styleId="125">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6">
    <w:name w:val="标题 55"/>
    <w:basedOn w:val="6"/>
    <w:qFormat/>
    <w:uiPriority w:val="0"/>
    <w:rPr>
      <w:rFonts w:ascii="方正黑体简体" w:eastAsia="方正黑体简体"/>
      <w:b w:val="0"/>
      <w:bCs w:val="0"/>
    </w:rPr>
  </w:style>
  <w:style w:type="paragraph" w:customStyle="1" w:styleId="127">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8">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30">
    <w:name w:val="Blockquote_0"/>
    <w:basedOn w:val="12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1">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2">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3">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4">
    <w:name w:val="列出段落2"/>
    <w:basedOn w:val="1"/>
    <w:qFormat/>
    <w:uiPriority w:val="99"/>
    <w:pPr>
      <w:ind w:firstLine="420" w:firstLineChars="200"/>
    </w:pPr>
    <w:rPr>
      <w:szCs w:val="20"/>
    </w:rPr>
  </w:style>
  <w:style w:type="paragraph" w:customStyle="1" w:styleId="135">
    <w:name w:val="Blockquote_1"/>
    <w:basedOn w:val="13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6">
    <w:name w:val="bt1bt1"/>
    <w:basedOn w:val="3"/>
    <w:qFormat/>
    <w:uiPriority w:val="0"/>
    <w:pPr>
      <w:spacing w:line="240" w:lineRule="auto"/>
    </w:pPr>
    <w:rPr>
      <w:rFonts w:ascii="黑体"/>
      <w:sz w:val="36"/>
      <w:szCs w:val="36"/>
    </w:rPr>
  </w:style>
  <w:style w:type="paragraph" w:customStyle="1" w:styleId="137">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8">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9">
    <w:name w:val="标题 60"/>
    <w:basedOn w:val="7"/>
    <w:qFormat/>
    <w:uiPriority w:val="0"/>
    <w:pPr>
      <w:spacing w:line="319" w:lineRule="auto"/>
      <w:ind w:firstLine="200" w:firstLineChars="200"/>
    </w:pPr>
    <w:rPr>
      <w:b w:val="0"/>
      <w:bCs w:val="0"/>
    </w:rPr>
  </w:style>
  <w:style w:type="paragraph" w:customStyle="1" w:styleId="140">
    <w:name w:val="列出段落11"/>
    <w:basedOn w:val="1"/>
    <w:qFormat/>
    <w:uiPriority w:val="99"/>
    <w:pPr>
      <w:ind w:firstLine="420" w:firstLineChars="200"/>
    </w:pPr>
    <w:rPr>
      <w:szCs w:val="20"/>
    </w:rPr>
  </w:style>
  <w:style w:type="paragraph" w:customStyle="1" w:styleId="141">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2">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3">
    <w:name w:val="_Style 36"/>
    <w:basedOn w:val="1"/>
    <w:qFormat/>
    <w:uiPriority w:val="0"/>
    <w:pPr>
      <w:ind w:firstLine="420" w:firstLineChars="200"/>
    </w:pPr>
    <w:rPr>
      <w:szCs w:val="20"/>
    </w:rPr>
  </w:style>
  <w:style w:type="paragraph" w:customStyle="1" w:styleId="144">
    <w:name w:val="正文00"/>
    <w:basedOn w:val="1"/>
    <w:qFormat/>
    <w:uiPriority w:val="0"/>
    <w:pPr>
      <w:topLinePunct/>
      <w:spacing w:line="360" w:lineRule="auto"/>
      <w:ind w:firstLine="200" w:firstLineChars="200"/>
    </w:pPr>
    <w:rPr>
      <w:sz w:val="24"/>
      <w:szCs w:val="21"/>
    </w:rPr>
  </w:style>
  <w:style w:type="paragraph" w:customStyle="1" w:styleId="145">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6">
    <w:name w:val="列出段落1"/>
    <w:basedOn w:val="1"/>
    <w:qFormat/>
    <w:uiPriority w:val="0"/>
    <w:pPr>
      <w:ind w:firstLine="420" w:firstLineChars="200"/>
    </w:pPr>
  </w:style>
  <w:style w:type="paragraph" w:customStyle="1" w:styleId="147">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8">
    <w:name w:val="正文_0_1"/>
    <w:qFormat/>
    <w:uiPriority w:val="0"/>
    <w:pPr>
      <w:widowControl w:val="0"/>
      <w:jc w:val="both"/>
    </w:pPr>
    <w:rPr>
      <w:rFonts w:ascii="Calibri" w:hAnsi="Calibri" w:eastAsia="宋体" w:cs="Times New Roman"/>
      <w:lang w:val="en-US" w:eastAsia="zh-CN" w:bidi="ar-SA"/>
    </w:rPr>
  </w:style>
  <w:style w:type="paragraph" w:customStyle="1" w:styleId="149">
    <w:name w:val="节"/>
    <w:basedOn w:val="4"/>
    <w:qFormat/>
    <w:uiPriority w:val="0"/>
    <w:pPr>
      <w:spacing w:line="240" w:lineRule="auto"/>
    </w:pPr>
    <w:rPr>
      <w:rFonts w:ascii="黑体"/>
      <w:szCs w:val="28"/>
    </w:rPr>
  </w:style>
  <w:style w:type="paragraph" w:customStyle="1" w:styleId="150">
    <w:name w:val="新定义正文"/>
    <w:basedOn w:val="1"/>
    <w:qFormat/>
    <w:uiPriority w:val="0"/>
    <w:pPr>
      <w:widowControl/>
    </w:pPr>
    <w:rPr>
      <w:color w:val="000000"/>
      <w:szCs w:val="21"/>
    </w:rPr>
  </w:style>
  <w:style w:type="paragraph" w:customStyle="1" w:styleId="151">
    <w:name w:val="纯文本1"/>
    <w:basedOn w:val="1"/>
    <w:qFormat/>
    <w:uiPriority w:val="0"/>
    <w:rPr>
      <w:rFonts w:ascii="宋体" w:hAnsi="Courier New"/>
      <w:szCs w:val="20"/>
    </w:rPr>
  </w:style>
  <w:style w:type="paragraph" w:customStyle="1" w:styleId="152">
    <w:name w:val="Char Char Char Char Char Char Char Char Char Char Char Char Char"/>
    <w:basedOn w:val="18"/>
    <w:qFormat/>
    <w:uiPriority w:val="0"/>
    <w:pPr>
      <w:shd w:val="clear" w:color="auto" w:fill="000080"/>
    </w:pPr>
    <w:rPr>
      <w:rFonts w:ascii="Tahoma" w:hAnsi="Tahoma"/>
      <w:sz w:val="24"/>
      <w:szCs w:val="24"/>
    </w:rPr>
  </w:style>
  <w:style w:type="paragraph" w:customStyle="1" w:styleId="153">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4">
    <w:name w:val="Heading 9 Char"/>
    <w:semiHidden/>
    <w:qFormat/>
    <w:locked/>
    <w:uiPriority w:val="99"/>
    <w:rPr>
      <w:rFonts w:ascii="Cambria" w:hAnsi="Cambria" w:eastAsia="宋体" w:cs="Times New Roman"/>
      <w:kern w:val="2"/>
    </w:rPr>
  </w:style>
  <w:style w:type="character" w:customStyle="1" w:styleId="155">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6">
    <w:name w:val="项目 1 Char Char Char"/>
    <w:qFormat/>
    <w:uiPriority w:val="99"/>
    <w:rPr>
      <w:rFonts w:ascii="Tahoma" w:hAnsi="Tahoma" w:eastAsia="宋体" w:cs="Times New Roman"/>
      <w:kern w:val="2"/>
      <w:sz w:val="24"/>
      <w:szCs w:val="24"/>
      <w:lang w:val="en-US" w:eastAsia="zh-CN" w:bidi="ar-SA"/>
    </w:rPr>
  </w:style>
  <w:style w:type="character" w:customStyle="1" w:styleId="157">
    <w:name w:val="p131"/>
    <w:qFormat/>
    <w:uiPriority w:val="99"/>
    <w:rPr>
      <w:rFonts w:cs="Times New Roman"/>
      <w:sz w:val="22"/>
      <w:szCs w:val="22"/>
      <w:u w:val="none"/>
    </w:rPr>
  </w:style>
  <w:style w:type="character" w:customStyle="1" w:styleId="158">
    <w:name w:val="样式 标题 3h3H3l3CTheading 3Level 3 Headlevel_3PIM 3sect1.2... Char"/>
    <w:link w:val="159"/>
    <w:qFormat/>
    <w:uiPriority w:val="0"/>
    <w:rPr>
      <w:rFonts w:ascii="Arial" w:hAnsi="Arial" w:eastAsia="黑体"/>
      <w:bCs/>
      <w:kern w:val="2"/>
      <w:sz w:val="24"/>
      <w:szCs w:val="32"/>
    </w:rPr>
  </w:style>
  <w:style w:type="paragraph" w:customStyle="1" w:styleId="159">
    <w:name w:val="样式 标题 3h3H3l3CTheading 3Level 3 Headlevel_3PIM 3sect1.2..."/>
    <w:basedOn w:val="5"/>
    <w:link w:val="158"/>
    <w:qFormat/>
    <w:uiPriority w:val="0"/>
    <w:pPr>
      <w:autoSpaceDE/>
      <w:autoSpaceDN/>
      <w:adjustRightInd/>
      <w:spacing w:beforeLines="50" w:afterLines="50" w:line="360" w:lineRule="auto"/>
    </w:pPr>
    <w:rPr>
      <w:rFonts w:ascii="Arial" w:hAnsi="Arial"/>
      <w:bCs/>
      <w:kern w:val="2"/>
      <w:sz w:val="24"/>
      <w:szCs w:val="32"/>
    </w:rPr>
  </w:style>
  <w:style w:type="character" w:customStyle="1" w:styleId="160">
    <w:name w:val="Heading 3 Char"/>
    <w:semiHidden/>
    <w:qFormat/>
    <w:uiPriority w:val="9"/>
    <w:rPr>
      <w:rFonts w:ascii="Cambria" w:hAnsi="Cambria" w:eastAsia="宋体" w:cs="Times New Roman"/>
      <w:b/>
      <w:bCs/>
      <w:kern w:val="2"/>
      <w:sz w:val="26"/>
      <w:szCs w:val="26"/>
    </w:rPr>
  </w:style>
  <w:style w:type="character" w:customStyle="1" w:styleId="161">
    <w:name w:val="无间距字符"/>
    <w:link w:val="162"/>
    <w:qFormat/>
    <w:uiPriority w:val="1"/>
    <w:rPr>
      <w:sz w:val="22"/>
      <w:szCs w:val="22"/>
      <w:lang w:val="en-US" w:eastAsia="zh-CN" w:bidi="ar-SA"/>
    </w:rPr>
  </w:style>
  <w:style w:type="paragraph" w:customStyle="1" w:styleId="162">
    <w:name w:val="无间距"/>
    <w:link w:val="161"/>
    <w:qFormat/>
    <w:uiPriority w:val="1"/>
    <w:rPr>
      <w:rFonts w:ascii="Times New Roman" w:hAnsi="Times New Roman" w:eastAsia="宋体" w:cs="Times New Roman"/>
      <w:sz w:val="22"/>
      <w:szCs w:val="22"/>
      <w:lang w:val="en-US" w:eastAsia="zh-CN" w:bidi="ar-SA"/>
    </w:rPr>
  </w:style>
  <w:style w:type="character" w:customStyle="1" w:styleId="163">
    <w:name w:val="5级标题nbm Char"/>
    <w:link w:val="164"/>
    <w:qFormat/>
    <w:uiPriority w:val="0"/>
    <w:rPr>
      <w:rFonts w:ascii="宋体" w:hAnsi="宋体"/>
      <w:kern w:val="2"/>
      <w:sz w:val="21"/>
      <w:szCs w:val="21"/>
    </w:rPr>
  </w:style>
  <w:style w:type="paragraph" w:customStyle="1" w:styleId="164">
    <w:name w:val="5级标题nbm"/>
    <w:basedOn w:val="4"/>
    <w:link w:val="163"/>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5">
    <w:name w:val="Heading 6 Char"/>
    <w:semiHidden/>
    <w:qFormat/>
    <w:locked/>
    <w:uiPriority w:val="99"/>
    <w:rPr>
      <w:rFonts w:ascii="Calibri" w:hAnsi="Calibri" w:eastAsia="宋体" w:cs="Times New Roman"/>
      <w:b/>
      <w:bCs/>
      <w:kern w:val="2"/>
    </w:rPr>
  </w:style>
  <w:style w:type="character" w:customStyle="1" w:styleId="166">
    <w:name w:val="Heading 3 Char2"/>
    <w:qFormat/>
    <w:locked/>
    <w:uiPriority w:val="99"/>
    <w:rPr>
      <w:rFonts w:eastAsia="宋体" w:cs="Times New Roman"/>
      <w:b/>
      <w:bCs/>
      <w:kern w:val="2"/>
      <w:sz w:val="32"/>
      <w:szCs w:val="32"/>
      <w:lang w:val="en-US" w:eastAsia="zh-CN" w:bidi="ar-SA"/>
    </w:rPr>
  </w:style>
  <w:style w:type="character" w:customStyle="1" w:styleId="167">
    <w:name w:val="2级标题nbm Char"/>
    <w:link w:val="168"/>
    <w:qFormat/>
    <w:uiPriority w:val="0"/>
    <w:rPr>
      <w:rFonts w:ascii="宋体" w:hAnsi="宋体"/>
      <w:bCs/>
      <w:kern w:val="2"/>
      <w:sz w:val="21"/>
      <w:szCs w:val="21"/>
    </w:rPr>
  </w:style>
  <w:style w:type="paragraph" w:customStyle="1" w:styleId="168">
    <w:name w:val="2级标题nbm"/>
    <w:basedOn w:val="4"/>
    <w:link w:val="167"/>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9">
    <w:name w:val="3级标题nbm Char"/>
    <w:link w:val="170"/>
    <w:qFormat/>
    <w:uiPriority w:val="0"/>
    <w:rPr>
      <w:rFonts w:ascii="宋体" w:hAnsi="宋体"/>
      <w:bCs/>
      <w:kern w:val="2"/>
      <w:sz w:val="21"/>
      <w:szCs w:val="21"/>
    </w:rPr>
  </w:style>
  <w:style w:type="paragraph" w:customStyle="1" w:styleId="170">
    <w:name w:val="3级标题nbm"/>
    <w:basedOn w:val="168"/>
    <w:link w:val="169"/>
    <w:qFormat/>
    <w:uiPriority w:val="0"/>
    <w:pPr>
      <w:tabs>
        <w:tab w:val="left" w:pos="720"/>
        <w:tab w:val="clear" w:pos="756"/>
      </w:tabs>
      <w:ind w:left="720" w:hanging="720"/>
      <w:outlineLvl w:val="2"/>
    </w:pPr>
  </w:style>
  <w:style w:type="character" w:customStyle="1" w:styleId="171">
    <w:name w:val="font1"/>
    <w:qFormat/>
    <w:uiPriority w:val="99"/>
    <w:rPr>
      <w:rFonts w:cs="Times New Roman"/>
      <w:color w:val="000000"/>
      <w:sz w:val="18"/>
      <w:szCs w:val="18"/>
    </w:rPr>
  </w:style>
  <w:style w:type="character" w:customStyle="1" w:styleId="172">
    <w:name w:val="t181"/>
    <w:qFormat/>
    <w:uiPriority w:val="99"/>
    <w:rPr>
      <w:rFonts w:cs="Times New Roman"/>
      <w:color w:val="000000"/>
      <w:sz w:val="21"/>
      <w:szCs w:val="21"/>
    </w:rPr>
  </w:style>
  <w:style w:type="character" w:customStyle="1" w:styleId="173">
    <w:name w:val="标题 4 Char1"/>
    <w:qFormat/>
    <w:uiPriority w:val="99"/>
    <w:rPr>
      <w:rFonts w:eastAsia="宋体" w:cs="Times New Roman"/>
      <w:b/>
      <w:bCs/>
      <w:kern w:val="2"/>
      <w:sz w:val="28"/>
      <w:szCs w:val="28"/>
      <w:lang w:val="en-US" w:eastAsia="zh-CN" w:bidi="ar-SA"/>
    </w:rPr>
  </w:style>
  <w:style w:type="character" w:customStyle="1" w:styleId="174">
    <w:name w:val="标题 2 Char1"/>
    <w:qFormat/>
    <w:uiPriority w:val="99"/>
    <w:rPr>
      <w:rFonts w:ascii="Arial" w:hAnsi="Arial" w:eastAsia="黑体" w:cs="Times New Roman"/>
      <w:b/>
      <w:bCs/>
      <w:kern w:val="2"/>
      <w:sz w:val="32"/>
      <w:szCs w:val="32"/>
      <w:lang w:val="en-US" w:eastAsia="zh-CN" w:bidi="ar-SA"/>
    </w:rPr>
  </w:style>
  <w:style w:type="character" w:customStyle="1" w:styleId="175">
    <w:name w:val="Heading 2 Char"/>
    <w:semiHidden/>
    <w:qFormat/>
    <w:locked/>
    <w:uiPriority w:val="99"/>
    <w:rPr>
      <w:rFonts w:ascii="Cambria" w:hAnsi="Cambria" w:eastAsia="宋体" w:cs="Times New Roman"/>
      <w:b/>
      <w:bCs/>
      <w:i/>
      <w:iCs/>
      <w:kern w:val="2"/>
      <w:sz w:val="28"/>
      <w:szCs w:val="28"/>
    </w:rPr>
  </w:style>
  <w:style w:type="character" w:customStyle="1" w:styleId="176">
    <w:name w:val="4级标题nbm Char"/>
    <w:link w:val="177"/>
    <w:qFormat/>
    <w:uiPriority w:val="0"/>
    <w:rPr>
      <w:rFonts w:ascii="宋体" w:hAnsi="宋体"/>
      <w:kern w:val="2"/>
      <w:sz w:val="21"/>
      <w:szCs w:val="21"/>
    </w:rPr>
  </w:style>
  <w:style w:type="paragraph" w:customStyle="1" w:styleId="177">
    <w:name w:val="4级标题nbm"/>
    <w:basedOn w:val="4"/>
    <w:link w:val="176"/>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8">
    <w:name w:val="Heading 8 Char"/>
    <w:semiHidden/>
    <w:qFormat/>
    <w:locked/>
    <w:uiPriority w:val="99"/>
    <w:rPr>
      <w:rFonts w:ascii="Calibri" w:hAnsi="Calibri" w:eastAsia="宋体" w:cs="Times New Roman"/>
      <w:i/>
      <w:iCs/>
      <w:kern w:val="2"/>
      <w:sz w:val="24"/>
      <w:szCs w:val="24"/>
    </w:rPr>
  </w:style>
  <w:style w:type="character" w:customStyle="1" w:styleId="179">
    <w:name w:val="表正文 Char1"/>
    <w:qFormat/>
    <w:uiPriority w:val="99"/>
    <w:rPr>
      <w:rFonts w:eastAsia="宋体" w:cs="Times New Roman"/>
      <w:kern w:val="2"/>
      <w:sz w:val="24"/>
      <w:szCs w:val="24"/>
      <w:lang w:val="en-US" w:eastAsia="zh-CN" w:bidi="ar-SA"/>
    </w:rPr>
  </w:style>
  <w:style w:type="character" w:customStyle="1" w:styleId="180">
    <w:name w:val="样式3 Char"/>
    <w:qFormat/>
    <w:uiPriority w:val="99"/>
    <w:rPr>
      <w:rFonts w:eastAsia="宋体" w:cs="Times New Roman"/>
      <w:kern w:val="2"/>
      <w:sz w:val="24"/>
      <w:szCs w:val="24"/>
      <w:lang w:val="en-US" w:eastAsia="zh-CN" w:bidi="ar-SA"/>
    </w:rPr>
  </w:style>
  <w:style w:type="character" w:customStyle="1" w:styleId="181">
    <w:name w:val="Heading 3 Char3"/>
    <w:semiHidden/>
    <w:qFormat/>
    <w:locked/>
    <w:uiPriority w:val="99"/>
    <w:rPr>
      <w:rFonts w:ascii="Cambria" w:hAnsi="Cambria" w:eastAsia="宋体" w:cs="Times New Roman"/>
      <w:b/>
      <w:bCs/>
      <w:kern w:val="2"/>
      <w:sz w:val="26"/>
      <w:szCs w:val="26"/>
    </w:rPr>
  </w:style>
  <w:style w:type="character" w:customStyle="1" w:styleId="182">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3">
    <w:name w:val="编号列表 Char"/>
    <w:qFormat/>
    <w:uiPriority w:val="99"/>
    <w:rPr>
      <w:rFonts w:ascii="Verdana" w:hAnsi="Verdana" w:eastAsia="宋体" w:cs="Times New Roman"/>
      <w:kern w:val="2"/>
      <w:sz w:val="24"/>
      <w:szCs w:val="24"/>
      <w:lang w:val="en-US" w:eastAsia="zh-CN" w:bidi="ar-SA"/>
    </w:rPr>
  </w:style>
  <w:style w:type="character" w:customStyle="1" w:styleId="184">
    <w:name w:val="二级条标题 Char"/>
    <w:link w:val="185"/>
    <w:qFormat/>
    <w:locked/>
    <w:uiPriority w:val="99"/>
    <w:rPr>
      <w:rFonts w:ascii="宋体"/>
    </w:rPr>
  </w:style>
  <w:style w:type="paragraph" w:customStyle="1" w:styleId="185">
    <w:name w:val="二级条标题"/>
    <w:basedOn w:val="1"/>
    <w:next w:val="1"/>
    <w:link w:val="184"/>
    <w:qFormat/>
    <w:uiPriority w:val="99"/>
    <w:pPr>
      <w:widowControl/>
      <w:spacing w:beforeLines="50" w:afterLines="50"/>
      <w:outlineLvl w:val="3"/>
    </w:pPr>
    <w:rPr>
      <w:rFonts w:ascii="宋体"/>
      <w:kern w:val="0"/>
      <w:sz w:val="20"/>
      <w:szCs w:val="20"/>
    </w:rPr>
  </w:style>
  <w:style w:type="character" w:customStyle="1" w:styleId="186">
    <w:name w:val="Heading 4 Char"/>
    <w:semiHidden/>
    <w:qFormat/>
    <w:locked/>
    <w:uiPriority w:val="99"/>
    <w:rPr>
      <w:rFonts w:ascii="Calibri" w:hAnsi="Calibri" w:eastAsia="宋体" w:cs="Times New Roman"/>
      <w:b/>
      <w:bCs/>
      <w:kern w:val="2"/>
      <w:sz w:val="28"/>
      <w:szCs w:val="28"/>
    </w:rPr>
  </w:style>
  <w:style w:type="character" w:customStyle="1" w:styleId="187">
    <w:name w:val="Heading 5 Char"/>
    <w:semiHidden/>
    <w:qFormat/>
    <w:locked/>
    <w:uiPriority w:val="99"/>
    <w:rPr>
      <w:rFonts w:ascii="Calibri" w:hAnsi="Calibri" w:eastAsia="宋体" w:cs="Times New Roman"/>
      <w:b/>
      <w:bCs/>
      <w:i/>
      <w:iCs/>
      <w:kern w:val="2"/>
      <w:sz w:val="26"/>
      <w:szCs w:val="26"/>
    </w:rPr>
  </w:style>
  <w:style w:type="character" w:customStyle="1" w:styleId="188">
    <w:name w:val="title_emph1"/>
    <w:qFormat/>
    <w:uiPriority w:val="99"/>
    <w:rPr>
      <w:rFonts w:ascii="Arial" w:hAnsi="Arial" w:cs="Arial"/>
      <w:b/>
      <w:bCs/>
      <w:sz w:val="20"/>
      <w:szCs w:val="20"/>
    </w:rPr>
  </w:style>
  <w:style w:type="paragraph" w:customStyle="1" w:styleId="189">
    <w:name w:val="样式 正文缩进正文（首行缩进两字）表正文正文非缩进特点标题4段1 + 首行缩进:  2 字符"/>
    <w:basedOn w:val="1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90">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91">
    <w:name w:val="正文首行缩进 Char1"/>
    <w:qFormat/>
    <w:uiPriority w:val="0"/>
    <w:rPr>
      <w:kern w:val="2"/>
      <w:sz w:val="21"/>
      <w:szCs w:val="24"/>
    </w:rPr>
  </w:style>
  <w:style w:type="paragraph" w:customStyle="1" w:styleId="192">
    <w:name w:val="2"/>
    <w:basedOn w:val="1"/>
    <w:next w:val="23"/>
    <w:qFormat/>
    <w:uiPriority w:val="0"/>
    <w:pPr>
      <w:spacing w:line="440" w:lineRule="exact"/>
      <w:ind w:firstLine="420"/>
    </w:pPr>
    <w:rPr>
      <w:sz w:val="28"/>
      <w:szCs w:val="20"/>
    </w:rPr>
  </w:style>
  <w:style w:type="paragraph" w:customStyle="1" w:styleId="193">
    <w:name w:val="Char1 Char Char Char"/>
    <w:basedOn w:val="1"/>
    <w:qFormat/>
    <w:uiPriority w:val="0"/>
    <w:pPr>
      <w:tabs>
        <w:tab w:val="left" w:pos="420"/>
      </w:tabs>
      <w:ind w:left="420" w:hanging="420"/>
    </w:pPr>
    <w:rPr>
      <w:rFonts w:ascii="Tahoma" w:hAnsi="Tahoma"/>
      <w:sz w:val="24"/>
      <w:szCs w:val="20"/>
    </w:rPr>
  </w:style>
  <w:style w:type="paragraph" w:customStyle="1" w:styleId="194">
    <w:name w:val="font10"/>
    <w:basedOn w:val="1"/>
    <w:qFormat/>
    <w:uiPriority w:val="99"/>
    <w:pPr>
      <w:widowControl/>
      <w:spacing w:before="100" w:beforeAutospacing="1" w:after="100" w:afterAutospacing="1"/>
      <w:jc w:val="left"/>
    </w:pPr>
    <w:rPr>
      <w:kern w:val="0"/>
      <w:sz w:val="20"/>
      <w:szCs w:val="20"/>
    </w:rPr>
  </w:style>
  <w:style w:type="paragraph" w:customStyle="1" w:styleId="195">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6">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7">
    <w:name w:val="正文文字（缩进2字）"/>
    <w:basedOn w:val="22"/>
    <w:qFormat/>
    <w:uiPriority w:val="99"/>
    <w:pPr>
      <w:spacing w:beforeLines="50" w:afterLines="50"/>
      <w:ind w:firstLine="200" w:firstLineChars="200"/>
    </w:pPr>
    <w:rPr>
      <w:kern w:val="0"/>
      <w:sz w:val="20"/>
    </w:rPr>
  </w:style>
  <w:style w:type="paragraph" w:customStyle="1" w:styleId="198">
    <w:name w:val="Char Char2"/>
    <w:basedOn w:val="1"/>
    <w:qFormat/>
    <w:uiPriority w:val="99"/>
    <w:rPr>
      <w:rFonts w:ascii="Tahoma" w:hAnsi="Tahoma"/>
      <w:sz w:val="24"/>
      <w:szCs w:val="20"/>
    </w:rPr>
  </w:style>
  <w:style w:type="paragraph" w:customStyle="1" w:styleId="199">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200">
    <w:name w:val="Char Char Char"/>
    <w:basedOn w:val="18"/>
    <w:qFormat/>
    <w:uiPriority w:val="0"/>
    <w:pPr>
      <w:shd w:val="clear" w:color="auto" w:fill="000080"/>
    </w:pPr>
    <w:rPr>
      <w:rFonts w:ascii="Tahoma" w:hAnsi="Tahoma"/>
      <w:kern w:val="0"/>
      <w:sz w:val="24"/>
      <w:szCs w:val="24"/>
    </w:rPr>
  </w:style>
  <w:style w:type="paragraph" w:customStyle="1" w:styleId="201">
    <w:name w:val="默认段落字体 Para Char Char Char Char Char Char Char"/>
    <w:basedOn w:val="1"/>
    <w:qFormat/>
    <w:uiPriority w:val="99"/>
    <w:rPr>
      <w:rFonts w:ascii="Tahoma" w:hAnsi="Tahoma"/>
      <w:sz w:val="24"/>
      <w:szCs w:val="20"/>
    </w:rPr>
  </w:style>
  <w:style w:type="paragraph" w:customStyle="1" w:styleId="202">
    <w:name w:val="文章标题"/>
    <w:basedOn w:val="1"/>
    <w:qFormat/>
    <w:uiPriority w:val="99"/>
    <w:pPr>
      <w:spacing w:beforeLines="200" w:afterLines="200"/>
      <w:jc w:val="center"/>
    </w:pPr>
    <w:rPr>
      <w:b/>
      <w:sz w:val="44"/>
    </w:rPr>
  </w:style>
  <w:style w:type="paragraph" w:customStyle="1" w:styleId="203">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4">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5">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6">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7">
    <w:name w:val="Centered"/>
    <w:basedOn w:val="1"/>
    <w:next w:val="22"/>
    <w:qFormat/>
    <w:uiPriority w:val="99"/>
    <w:pPr>
      <w:widowControl/>
      <w:spacing w:after="240" w:line="240" w:lineRule="exact"/>
      <w:jc w:val="center"/>
    </w:pPr>
    <w:rPr>
      <w:kern w:val="0"/>
      <w:sz w:val="24"/>
      <w:lang w:val="en-GB"/>
    </w:rPr>
  </w:style>
  <w:style w:type="paragraph" w:customStyle="1" w:styleId="208">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9">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0">
    <w:name w:val="样式4"/>
    <w:qFormat/>
    <w:uiPriority w:val="99"/>
    <w:rPr>
      <w:rFonts w:ascii="宋体" w:hAnsi="宋体" w:eastAsia="宋体" w:cs="Times New Roman"/>
      <w:b/>
      <w:bCs/>
      <w:kern w:val="2"/>
      <w:sz w:val="28"/>
      <w:szCs w:val="28"/>
      <w:lang w:val="en-US" w:eastAsia="zh-CN" w:bidi="ar-SA"/>
    </w:rPr>
  </w:style>
  <w:style w:type="paragraph" w:customStyle="1" w:styleId="211">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1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3">
    <w:name w:val="Char Char21"/>
    <w:basedOn w:val="1"/>
    <w:qFormat/>
    <w:uiPriority w:val="99"/>
    <w:rPr>
      <w:rFonts w:ascii="Tahoma" w:hAnsi="Tahoma"/>
      <w:sz w:val="24"/>
      <w:szCs w:val="20"/>
    </w:rPr>
  </w:style>
  <w:style w:type="paragraph" w:customStyle="1" w:styleId="214">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5">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6">
    <w:name w:val="P8"/>
    <w:basedOn w:val="205"/>
    <w:qFormat/>
    <w:uiPriority w:val="99"/>
    <w:pPr>
      <w:ind w:left="4032"/>
    </w:pPr>
  </w:style>
  <w:style w:type="paragraph" w:customStyle="1" w:styleId="217">
    <w:name w:val="xl23"/>
    <w:basedOn w:val="1"/>
    <w:qFormat/>
    <w:uiPriority w:val="99"/>
    <w:pPr>
      <w:widowControl/>
      <w:spacing w:beforeAutospacing="1" w:afterAutospacing="1"/>
    </w:pPr>
    <w:rPr>
      <w:rFonts w:eastAsia="Arial Unicode MS"/>
      <w:kern w:val="0"/>
      <w:szCs w:val="20"/>
    </w:rPr>
  </w:style>
  <w:style w:type="paragraph" w:customStyle="1" w:styleId="218">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9">
    <w:name w:val="6"/>
    <w:basedOn w:val="1"/>
    <w:next w:val="54"/>
    <w:qFormat/>
    <w:uiPriority w:val="99"/>
    <w:pPr>
      <w:adjustRightInd w:val="0"/>
      <w:snapToGrid w:val="0"/>
    </w:pPr>
    <w:rPr>
      <w:sz w:val="24"/>
    </w:rPr>
  </w:style>
  <w:style w:type="paragraph" w:customStyle="1" w:styleId="220">
    <w:name w:val="正文表格"/>
    <w:basedOn w:val="1"/>
    <w:qFormat/>
    <w:uiPriority w:val="99"/>
    <w:pPr>
      <w:ind w:left="10" w:leftChars="10" w:right="10" w:rightChars="10"/>
    </w:pPr>
    <w:rPr>
      <w:bCs/>
    </w:rPr>
  </w:style>
  <w:style w:type="paragraph" w:customStyle="1" w:styleId="221">
    <w:name w:val="图中文字"/>
    <w:basedOn w:val="1"/>
    <w:qFormat/>
    <w:uiPriority w:val="99"/>
    <w:pPr>
      <w:adjustRightInd w:val="0"/>
      <w:snapToGrid w:val="0"/>
      <w:spacing w:line="240" w:lineRule="atLeast"/>
      <w:jc w:val="center"/>
    </w:pPr>
    <w:rPr>
      <w:szCs w:val="20"/>
    </w:rPr>
  </w:style>
  <w:style w:type="paragraph" w:customStyle="1" w:styleId="222">
    <w:name w:val="正文（首行缩进）"/>
    <w:basedOn w:val="1"/>
    <w:qFormat/>
    <w:uiPriority w:val="99"/>
    <w:pPr>
      <w:spacing w:line="360" w:lineRule="auto"/>
      <w:ind w:firstLine="420"/>
    </w:pPr>
    <w:rPr>
      <w:sz w:val="24"/>
      <w:szCs w:val="20"/>
    </w:rPr>
  </w:style>
  <w:style w:type="paragraph" w:customStyle="1" w:styleId="223">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4">
    <w:name w:val="样式 Tahoma 行距: 单倍行距"/>
    <w:basedOn w:val="1"/>
    <w:qFormat/>
    <w:uiPriority w:val="0"/>
    <w:pPr>
      <w:ind w:firstLine="420" w:firstLineChars="200"/>
    </w:pPr>
    <w:rPr>
      <w:rFonts w:ascii="Tahoma" w:hAnsi="Tahoma" w:cs="宋体"/>
      <w:szCs w:val="21"/>
    </w:rPr>
  </w:style>
  <w:style w:type="paragraph" w:customStyle="1" w:styleId="225">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6">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7">
    <w:name w:val="彩色列表 - 强调文字颜色 11"/>
    <w:basedOn w:val="1"/>
    <w:qFormat/>
    <w:uiPriority w:val="99"/>
    <w:pPr>
      <w:ind w:firstLine="420" w:firstLineChars="200"/>
    </w:pPr>
  </w:style>
  <w:style w:type="paragraph" w:customStyle="1" w:styleId="228">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9">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30">
    <w:name w:val="Normal Cenered"/>
    <w:basedOn w:val="1"/>
    <w:qFormat/>
    <w:uiPriority w:val="99"/>
    <w:pPr>
      <w:widowControl/>
      <w:tabs>
        <w:tab w:val="left" w:pos="6660"/>
      </w:tabs>
      <w:spacing w:before="240" w:after="120" w:line="288" w:lineRule="auto"/>
      <w:jc w:val="center"/>
    </w:pPr>
    <w:rPr>
      <w:kern w:val="0"/>
    </w:rPr>
  </w:style>
  <w:style w:type="paragraph" w:customStyle="1" w:styleId="231">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2">
    <w:name w:val="Table Text"/>
    <w:basedOn w:val="1"/>
    <w:qFormat/>
    <w:uiPriority w:val="99"/>
    <w:pPr>
      <w:widowControl/>
      <w:autoSpaceDE w:val="0"/>
      <w:autoSpaceDN w:val="0"/>
      <w:spacing w:before="60" w:after="60"/>
      <w:jc w:val="left"/>
    </w:pPr>
    <w:rPr>
      <w:kern w:val="0"/>
      <w:szCs w:val="20"/>
    </w:rPr>
  </w:style>
  <w:style w:type="paragraph" w:customStyle="1" w:styleId="233">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4">
    <w:name w:val="强调列表"/>
    <w:basedOn w:val="1"/>
    <w:qFormat/>
    <w:uiPriority w:val="99"/>
    <w:pPr>
      <w:tabs>
        <w:tab w:val="left" w:pos="1742"/>
      </w:tabs>
      <w:ind w:left="1742" w:hanging="420"/>
    </w:pPr>
    <w:rPr>
      <w:sz w:val="24"/>
      <w:szCs w:val="20"/>
    </w:rPr>
  </w:style>
  <w:style w:type="paragraph" w:customStyle="1" w:styleId="235">
    <w:name w:val="Char"/>
    <w:basedOn w:val="1"/>
    <w:qFormat/>
    <w:uiPriority w:val="99"/>
    <w:pPr>
      <w:tabs>
        <w:tab w:val="left" w:pos="360"/>
      </w:tabs>
      <w:ind w:left="360" w:hanging="360" w:hangingChars="200"/>
    </w:pPr>
    <w:rPr>
      <w:sz w:val="24"/>
    </w:rPr>
  </w:style>
  <w:style w:type="character" w:customStyle="1" w:styleId="236">
    <w:name w:val="正文文本 2 Char1"/>
    <w:semiHidden/>
    <w:qFormat/>
    <w:uiPriority w:val="0"/>
    <w:rPr>
      <w:kern w:val="2"/>
      <w:sz w:val="21"/>
      <w:szCs w:val="24"/>
    </w:rPr>
  </w:style>
  <w:style w:type="paragraph" w:customStyle="1" w:styleId="237">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8">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9">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40">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41">
    <w:name w:val="表格项目符号 2"/>
    <w:basedOn w:val="26"/>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2">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3">
    <w:name w:val="Heading B"/>
    <w:basedOn w:val="4"/>
    <w:next w:val="22"/>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4">
    <w:name w:val="Table Heading"/>
    <w:basedOn w:val="232"/>
    <w:qFormat/>
    <w:uiPriority w:val="0"/>
    <w:pPr>
      <w:autoSpaceDE/>
      <w:autoSpaceDN/>
      <w:spacing w:line="288" w:lineRule="auto"/>
      <w:jc w:val="center"/>
    </w:pPr>
    <w:rPr>
      <w:rFonts w:ascii="宋体" w:hAnsi="宋体"/>
      <w:b/>
    </w:rPr>
  </w:style>
  <w:style w:type="paragraph" w:customStyle="1" w:styleId="245">
    <w:name w:val="Heading A"/>
    <w:basedOn w:val="3"/>
    <w:next w:val="22"/>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7">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9">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50">
    <w:name w:val="Char1 Char Char Char Char Char Char"/>
    <w:basedOn w:val="1"/>
    <w:qFormat/>
    <w:uiPriority w:val="99"/>
    <w:rPr>
      <w:rFonts w:ascii="Tahoma" w:hAnsi="Tahoma"/>
      <w:sz w:val="24"/>
      <w:szCs w:val="20"/>
    </w:rPr>
  </w:style>
  <w:style w:type="paragraph" w:customStyle="1" w:styleId="251">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2">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3">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4">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5">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6">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7">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8">
    <w:name w:val="空项目内容"/>
    <w:basedOn w:val="1"/>
    <w:qFormat/>
    <w:uiPriority w:val="99"/>
    <w:pPr>
      <w:tabs>
        <w:tab w:val="left" w:pos="720"/>
      </w:tabs>
      <w:spacing w:line="360" w:lineRule="auto"/>
      <w:ind w:left="720" w:hanging="720"/>
    </w:pPr>
    <w:rPr>
      <w:sz w:val="24"/>
    </w:rPr>
  </w:style>
  <w:style w:type="paragraph" w:customStyle="1" w:styleId="25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60">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61">
    <w:name w:val="Char2"/>
    <w:basedOn w:val="1"/>
    <w:qFormat/>
    <w:uiPriority w:val="99"/>
    <w:pPr>
      <w:spacing w:line="360" w:lineRule="auto"/>
      <w:ind w:firstLine="200" w:firstLineChars="200"/>
    </w:pPr>
    <w:rPr>
      <w:rFonts w:ascii="Tahoma" w:hAnsi="Tahoma"/>
      <w:sz w:val="24"/>
      <w:szCs w:val="20"/>
    </w:rPr>
  </w:style>
  <w:style w:type="paragraph" w:customStyle="1" w:styleId="262">
    <w:name w:val="标题下列示"/>
    <w:basedOn w:val="263"/>
    <w:next w:val="264"/>
    <w:qFormat/>
    <w:uiPriority w:val="99"/>
    <w:pPr>
      <w:tabs>
        <w:tab w:val="left" w:pos="420"/>
        <w:tab w:val="left" w:pos="1680"/>
      </w:tabs>
      <w:ind w:left="1680"/>
    </w:pPr>
  </w:style>
  <w:style w:type="paragraph" w:customStyle="1" w:styleId="263">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4">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5">
    <w:name w:val="图片"/>
    <w:basedOn w:val="1"/>
    <w:next w:val="266"/>
    <w:qFormat/>
    <w:uiPriority w:val="99"/>
    <w:pPr>
      <w:spacing w:beforeLines="50" w:afterLines="50"/>
      <w:jc w:val="center"/>
    </w:pPr>
  </w:style>
  <w:style w:type="paragraph" w:customStyle="1" w:styleId="266">
    <w:name w:val="图名"/>
    <w:basedOn w:val="1"/>
    <w:next w:val="15"/>
    <w:qFormat/>
    <w:uiPriority w:val="99"/>
    <w:pPr>
      <w:spacing w:line="360" w:lineRule="auto"/>
      <w:jc w:val="center"/>
    </w:pPr>
    <w:rPr>
      <w:rFonts w:ascii="Arial" w:hAnsi="Arial" w:eastAsia="黑体"/>
      <w:b/>
    </w:rPr>
  </w:style>
  <w:style w:type="paragraph" w:customStyle="1" w:styleId="267">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8">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9">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0">
    <w:name w:val="一级标题"/>
    <w:basedOn w:val="18"/>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71">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2">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3">
    <w:name w:val="正文文字(ALT+W)"/>
    <w:basedOn w:val="1"/>
    <w:next w:val="15"/>
    <w:qFormat/>
    <w:uiPriority w:val="99"/>
    <w:pPr>
      <w:adjustRightInd w:val="0"/>
      <w:snapToGrid w:val="0"/>
      <w:spacing w:line="360" w:lineRule="auto"/>
      <w:ind w:firstLine="420"/>
    </w:pPr>
    <w:rPr>
      <w:sz w:val="24"/>
      <w:szCs w:val="20"/>
    </w:rPr>
  </w:style>
  <w:style w:type="paragraph" w:customStyle="1" w:styleId="274">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5">
    <w:name w:val="项目"/>
    <w:basedOn w:val="23"/>
    <w:qFormat/>
    <w:uiPriority w:val="99"/>
    <w:pPr>
      <w:autoSpaceDE/>
      <w:autoSpaceDN/>
      <w:adjustRightInd/>
      <w:spacing w:line="240" w:lineRule="auto"/>
      <w:ind w:left="0"/>
      <w:jc w:val="center"/>
    </w:pPr>
    <w:rPr>
      <w:b/>
      <w:sz w:val="24"/>
    </w:rPr>
  </w:style>
  <w:style w:type="paragraph" w:customStyle="1" w:styleId="276">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7">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9">
    <w:name w:val="Char Char Char Char Char Char1 Char Char Char Char Char Char"/>
    <w:basedOn w:val="1"/>
    <w:qFormat/>
    <w:uiPriority w:val="99"/>
    <w:rPr>
      <w:rFonts w:ascii="Tahoma" w:hAnsi="Tahoma"/>
      <w:sz w:val="24"/>
      <w:szCs w:val="20"/>
    </w:rPr>
  </w:style>
  <w:style w:type="paragraph" w:customStyle="1" w:styleId="280">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81">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2">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3">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4">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5">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6">
    <w:name w:val="文本框样式1"/>
    <w:basedOn w:val="1"/>
    <w:qFormat/>
    <w:uiPriority w:val="99"/>
    <w:pPr>
      <w:adjustRightInd w:val="0"/>
      <w:snapToGrid w:val="0"/>
      <w:spacing w:before="60" w:line="180" w:lineRule="exact"/>
      <w:jc w:val="center"/>
    </w:pPr>
    <w:rPr>
      <w:szCs w:val="21"/>
    </w:rPr>
  </w:style>
  <w:style w:type="paragraph" w:customStyle="1" w:styleId="287">
    <w:name w:val="aria"/>
    <w:basedOn w:val="1"/>
    <w:qFormat/>
    <w:uiPriority w:val="99"/>
    <w:pPr>
      <w:spacing w:line="360" w:lineRule="auto"/>
    </w:pPr>
    <w:rPr>
      <w:b/>
      <w:sz w:val="24"/>
    </w:rPr>
  </w:style>
  <w:style w:type="paragraph" w:customStyle="1" w:styleId="288">
    <w:name w:val="首行缩进 1"/>
    <w:basedOn w:val="1"/>
    <w:qFormat/>
    <w:uiPriority w:val="99"/>
    <w:pPr>
      <w:spacing w:after="120" w:line="360" w:lineRule="auto"/>
      <w:ind w:firstLine="200" w:firstLineChars="200"/>
    </w:pPr>
    <w:rPr>
      <w:sz w:val="24"/>
    </w:rPr>
  </w:style>
  <w:style w:type="paragraph" w:customStyle="1" w:styleId="289">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90">
    <w:name w:val="表格"/>
    <w:basedOn w:val="1"/>
    <w:qFormat/>
    <w:uiPriority w:val="99"/>
    <w:pPr>
      <w:jc w:val="left"/>
    </w:pPr>
    <w:rPr>
      <w:bCs/>
      <w:color w:val="000000"/>
      <w:szCs w:val="21"/>
    </w:rPr>
  </w:style>
  <w:style w:type="paragraph" w:customStyle="1" w:styleId="291">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2">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3">
    <w:name w:val="缺省文本"/>
    <w:basedOn w:val="1"/>
    <w:qFormat/>
    <w:uiPriority w:val="99"/>
    <w:pPr>
      <w:autoSpaceDE w:val="0"/>
      <w:autoSpaceDN w:val="0"/>
      <w:adjustRightInd w:val="0"/>
      <w:jc w:val="left"/>
    </w:pPr>
    <w:rPr>
      <w:kern w:val="0"/>
      <w:sz w:val="24"/>
      <w:szCs w:val="20"/>
    </w:rPr>
  </w:style>
  <w:style w:type="paragraph" w:customStyle="1" w:styleId="294">
    <w:name w:val="序4"/>
    <w:basedOn w:val="1"/>
    <w:qFormat/>
    <w:uiPriority w:val="99"/>
    <w:pPr>
      <w:tabs>
        <w:tab w:val="left" w:pos="1680"/>
      </w:tabs>
      <w:spacing w:before="120"/>
      <w:ind w:left="1680" w:hanging="420"/>
      <w:jc w:val="left"/>
    </w:pPr>
    <w:rPr>
      <w:rFonts w:eastAsia="黑体"/>
      <w:b/>
      <w:bCs/>
      <w:caps/>
      <w:sz w:val="24"/>
    </w:rPr>
  </w:style>
  <w:style w:type="paragraph" w:customStyle="1" w:styleId="295">
    <w:name w:val="我的正文下级"/>
    <w:basedOn w:val="1"/>
    <w:qFormat/>
    <w:uiPriority w:val="99"/>
    <w:rPr>
      <w:rFonts w:ascii="仿宋_GB2312" w:hAnsi="宋体" w:eastAsia="仿宋_GB2312"/>
      <w:kern w:val="0"/>
      <w:sz w:val="28"/>
    </w:rPr>
  </w:style>
  <w:style w:type="paragraph" w:customStyle="1" w:styleId="296">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7">
    <w:name w:val="序3"/>
    <w:basedOn w:val="1"/>
    <w:qFormat/>
    <w:uiPriority w:val="99"/>
    <w:pPr>
      <w:tabs>
        <w:tab w:val="left" w:pos="0"/>
        <w:tab w:val="left" w:pos="643"/>
      </w:tabs>
      <w:ind w:left="643" w:hanging="360"/>
    </w:pPr>
    <w:rPr>
      <w:rFonts w:eastAsia="楷体_GB2312"/>
      <w:b/>
      <w:bCs/>
      <w:sz w:val="32"/>
    </w:rPr>
  </w:style>
  <w:style w:type="paragraph" w:customStyle="1" w:styleId="298">
    <w:name w:val="Char Char1 Char Char Char Char1 Char Char Char Char Char Char Char Char Char Char Char Char"/>
    <w:basedOn w:val="1"/>
    <w:qFormat/>
    <w:uiPriority w:val="99"/>
    <w:rPr>
      <w:rFonts w:ascii="Tahoma" w:hAnsi="Tahoma"/>
      <w:sz w:val="24"/>
      <w:szCs w:val="20"/>
    </w:rPr>
  </w:style>
  <w:style w:type="paragraph" w:customStyle="1" w:styleId="299">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300">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301">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2">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3">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4">
    <w:name w:val="*8. General Text"/>
    <w:basedOn w:val="121"/>
    <w:next w:val="121"/>
    <w:qFormat/>
    <w:uiPriority w:val="0"/>
    <w:pPr>
      <w:spacing w:after="120"/>
    </w:pPr>
    <w:rPr>
      <w:color w:val="auto"/>
    </w:rPr>
  </w:style>
  <w:style w:type="paragraph" w:customStyle="1" w:styleId="305">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6">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7">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8">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9">
    <w:name w:val="注释文字"/>
    <w:basedOn w:val="1"/>
    <w:qFormat/>
    <w:uiPriority w:val="99"/>
    <w:pPr>
      <w:tabs>
        <w:tab w:val="left" w:pos="620"/>
        <w:tab w:val="left" w:pos="720"/>
      </w:tabs>
      <w:ind w:left="620" w:hanging="420"/>
      <w:jc w:val="left"/>
    </w:pPr>
    <w:rPr>
      <w:color w:val="008080"/>
      <w:sz w:val="24"/>
      <w:u w:val="words"/>
    </w:rPr>
  </w:style>
  <w:style w:type="paragraph" w:customStyle="1" w:styleId="310">
    <w:name w:val="可研正文"/>
    <w:basedOn w:val="22"/>
    <w:qFormat/>
    <w:uiPriority w:val="99"/>
    <w:pPr>
      <w:adjustRightInd w:val="0"/>
      <w:snapToGrid w:val="0"/>
      <w:spacing w:line="440" w:lineRule="exact"/>
      <w:ind w:firstLine="567"/>
    </w:pPr>
    <w:rPr>
      <w:rFonts w:ascii="仿宋_GB2312" w:eastAsia="仿宋_GB2312"/>
      <w:kern w:val="0"/>
    </w:rPr>
  </w:style>
  <w:style w:type="paragraph" w:customStyle="1" w:styleId="311">
    <w:name w:val="表格文字（大）"/>
    <w:basedOn w:val="1"/>
    <w:qFormat/>
    <w:uiPriority w:val="99"/>
    <w:pPr>
      <w:spacing w:before="20" w:after="20"/>
    </w:pPr>
    <w:rPr>
      <w:rFonts w:ascii="Century Gothic" w:hAnsi="Century Gothic"/>
      <w:sz w:val="24"/>
      <w:szCs w:val="20"/>
    </w:rPr>
  </w:style>
  <w:style w:type="paragraph" w:customStyle="1" w:styleId="312">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3">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4">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5">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7">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8">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9">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0">
    <w:name w:val="gczx正文"/>
    <w:basedOn w:val="1"/>
    <w:qFormat/>
    <w:uiPriority w:val="99"/>
    <w:pPr>
      <w:spacing w:beforeLines="25" w:afterLines="25" w:line="440" w:lineRule="exact"/>
      <w:ind w:firstLine="200" w:firstLineChars="200"/>
    </w:pPr>
    <w:rPr>
      <w:sz w:val="24"/>
      <w:szCs w:val="20"/>
    </w:rPr>
  </w:style>
  <w:style w:type="paragraph" w:customStyle="1" w:styleId="321">
    <w:name w:val="Char1 Char Char Char Char Char"/>
    <w:basedOn w:val="1"/>
    <w:qFormat/>
    <w:uiPriority w:val="99"/>
    <w:pPr>
      <w:adjustRightInd w:val="0"/>
    </w:pPr>
    <w:rPr>
      <w:rFonts w:ascii="Tahoma" w:hAnsi="Tahoma"/>
      <w:sz w:val="24"/>
      <w:szCs w:val="20"/>
    </w:rPr>
  </w:style>
  <w:style w:type="paragraph" w:customStyle="1" w:styleId="322">
    <w:name w:val="序2"/>
    <w:basedOn w:val="1"/>
    <w:qFormat/>
    <w:uiPriority w:val="99"/>
    <w:pPr>
      <w:tabs>
        <w:tab w:val="left" w:pos="360"/>
        <w:tab w:val="left" w:pos="840"/>
      </w:tabs>
      <w:ind w:left="360" w:hanging="360"/>
    </w:pPr>
    <w:rPr>
      <w:rFonts w:eastAsia="黑体"/>
      <w:b/>
      <w:bCs/>
      <w:sz w:val="44"/>
    </w:rPr>
  </w:style>
  <w:style w:type="paragraph" w:customStyle="1" w:styleId="323">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4">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5">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6">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7">
    <w:name w:val="编号正文"/>
    <w:basedOn w:val="211"/>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8">
    <w:name w:val="楷体粗正文文字"/>
    <w:basedOn w:val="1"/>
    <w:next w:val="47"/>
    <w:qFormat/>
    <w:uiPriority w:val="99"/>
    <w:pPr>
      <w:snapToGrid w:val="0"/>
      <w:spacing w:line="480" w:lineRule="exact"/>
      <w:ind w:firstLine="560"/>
    </w:pPr>
    <w:rPr>
      <w:sz w:val="28"/>
      <w:szCs w:val="20"/>
    </w:rPr>
  </w:style>
  <w:style w:type="paragraph" w:customStyle="1" w:styleId="329">
    <w:name w:val="标题下列示顺序"/>
    <w:basedOn w:val="264"/>
    <w:qFormat/>
    <w:uiPriority w:val="99"/>
    <w:pPr>
      <w:tabs>
        <w:tab w:val="left" w:pos="1680"/>
      </w:tabs>
      <w:ind w:left="1680" w:leftChars="0" w:hanging="420"/>
    </w:pPr>
  </w:style>
  <w:style w:type="paragraph" w:customStyle="1" w:styleId="330">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31">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2">
    <w:name w:val="招标文件》"/>
    <w:basedOn w:val="237"/>
    <w:qFormat/>
    <w:uiPriority w:val="99"/>
    <w:pPr>
      <w:tabs>
        <w:tab w:val="left" w:pos="560"/>
      </w:tabs>
      <w:ind w:left="200" w:firstLine="0" w:firstLineChars="0"/>
    </w:pPr>
  </w:style>
  <w:style w:type="paragraph" w:customStyle="1" w:styleId="333">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4">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5">
    <w:name w:val="1 Char"/>
    <w:basedOn w:val="1"/>
    <w:qFormat/>
    <w:uiPriority w:val="99"/>
    <w:rPr>
      <w:rFonts w:ascii="Tahoma" w:hAnsi="Tahoma"/>
      <w:sz w:val="24"/>
      <w:szCs w:val="20"/>
    </w:rPr>
  </w:style>
  <w:style w:type="paragraph" w:customStyle="1" w:styleId="336">
    <w:name w:val="*4. Head 1"/>
    <w:basedOn w:val="121"/>
    <w:next w:val="121"/>
    <w:qFormat/>
    <w:uiPriority w:val="99"/>
    <w:pPr>
      <w:spacing w:before="180" w:after="60"/>
    </w:pPr>
    <w:rPr>
      <w:rFonts w:ascii="Arial" w:hAnsi="Arial"/>
      <w:color w:val="auto"/>
    </w:rPr>
  </w:style>
  <w:style w:type="paragraph" w:customStyle="1" w:styleId="337">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8">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9">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40">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41">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2">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3">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4">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5">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6">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7">
    <w:name w:val="默认段落字体 Para Char"/>
    <w:basedOn w:val="1"/>
    <w:qFormat/>
    <w:uiPriority w:val="99"/>
    <w:rPr>
      <w:rFonts w:ascii="Tahoma" w:hAnsi="Tahoma"/>
      <w:sz w:val="24"/>
      <w:szCs w:val="20"/>
    </w:rPr>
  </w:style>
  <w:style w:type="paragraph" w:customStyle="1" w:styleId="348">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9">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50">
    <w:name w:val="表格首行"/>
    <w:basedOn w:val="1"/>
    <w:qFormat/>
    <w:uiPriority w:val="99"/>
    <w:pPr>
      <w:jc w:val="center"/>
    </w:pPr>
    <w:rPr>
      <w:rFonts w:ascii="宋体" w:hAnsi="宋体"/>
    </w:rPr>
  </w:style>
  <w:style w:type="paragraph" w:customStyle="1" w:styleId="351">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2">
    <w:name w:val="黑正体次次级"/>
    <w:basedOn w:val="303"/>
    <w:qFormat/>
    <w:uiPriority w:val="99"/>
    <w:pPr>
      <w:tabs>
        <w:tab w:val="left" w:pos="425"/>
      </w:tabs>
      <w:ind w:left="1417" w:hanging="425"/>
    </w:pPr>
    <w:rPr>
      <w:i/>
      <w:sz w:val="20"/>
    </w:rPr>
  </w:style>
  <w:style w:type="paragraph" w:customStyle="1" w:styleId="353">
    <w:name w:val="Char11"/>
    <w:basedOn w:val="1"/>
    <w:qFormat/>
    <w:uiPriority w:val="0"/>
    <w:rPr>
      <w:rFonts w:ascii="宋体" w:hAnsi="宋体"/>
      <w:sz w:val="24"/>
      <w:szCs w:val="20"/>
    </w:rPr>
  </w:style>
  <w:style w:type="paragraph" w:customStyle="1" w:styleId="354">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5">
    <w:name w:val="注释"/>
    <w:basedOn w:val="1"/>
    <w:qFormat/>
    <w:uiPriority w:val="99"/>
    <w:pPr>
      <w:shd w:val="clear" w:color="auto" w:fill="E0E0E0"/>
      <w:spacing w:beforeLines="50" w:afterLines="50"/>
    </w:pPr>
    <w:rPr>
      <w:rFonts w:ascii="Arial" w:hAnsi="Arial" w:eastAsia="仿宋_GB2312"/>
    </w:rPr>
  </w:style>
  <w:style w:type="paragraph" w:customStyle="1" w:styleId="356">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7">
    <w:name w:val="apple-converted-space"/>
    <w:qFormat/>
    <w:uiPriority w:val="0"/>
  </w:style>
  <w:style w:type="paragraph" w:customStyle="1" w:styleId="358">
    <w:name w:val="Normal Paragraph"/>
    <w:basedOn w:val="1"/>
    <w:link w:val="359"/>
    <w:qFormat/>
    <w:uiPriority w:val="0"/>
    <w:pPr>
      <w:widowControl/>
      <w:spacing w:before="120" w:line="360" w:lineRule="auto"/>
      <w:ind w:firstLine="425"/>
    </w:pPr>
    <w:rPr>
      <w:kern w:val="0"/>
      <w:sz w:val="24"/>
    </w:rPr>
  </w:style>
  <w:style w:type="character" w:customStyle="1" w:styleId="359">
    <w:name w:val="Normal Paragraph Char1"/>
    <w:link w:val="358"/>
    <w:qFormat/>
    <w:locked/>
    <w:uiPriority w:val="0"/>
    <w:rPr>
      <w:sz w:val="24"/>
      <w:szCs w:val="24"/>
    </w:rPr>
  </w:style>
  <w:style w:type="paragraph" w:customStyle="1" w:styleId="360">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61">
    <w:name w:val="NeusoftPMS正文"/>
    <w:basedOn w:val="1"/>
    <w:link w:val="362"/>
    <w:qFormat/>
    <w:uiPriority w:val="0"/>
    <w:pPr>
      <w:widowControl/>
      <w:ind w:firstLine="200" w:firstLineChars="200"/>
      <w:jc w:val="left"/>
    </w:pPr>
    <w:rPr>
      <w:szCs w:val="20"/>
    </w:rPr>
  </w:style>
  <w:style w:type="character" w:customStyle="1" w:styleId="362">
    <w:name w:val="NeusoftPMS正文 Char"/>
    <w:link w:val="361"/>
    <w:qFormat/>
    <w:uiPriority w:val="0"/>
    <w:rPr>
      <w:kern w:val="2"/>
      <w:sz w:val="21"/>
    </w:rPr>
  </w:style>
  <w:style w:type="character" w:customStyle="1" w:styleId="363">
    <w:name w:val="明显参考1"/>
    <w:qFormat/>
    <w:uiPriority w:val="32"/>
    <w:rPr>
      <w:b/>
      <w:bCs/>
      <w:smallCaps/>
      <w:color w:val="4F81BD"/>
      <w:spacing w:val="5"/>
    </w:rPr>
  </w:style>
  <w:style w:type="paragraph" w:customStyle="1" w:styleId="364">
    <w:name w:val="QB正文"/>
    <w:basedOn w:val="1"/>
    <w:link w:val="408"/>
    <w:qFormat/>
    <w:uiPriority w:val="0"/>
    <w:pPr>
      <w:widowControl/>
      <w:autoSpaceDE w:val="0"/>
      <w:autoSpaceDN w:val="0"/>
      <w:ind w:firstLine="200" w:firstLineChars="200"/>
    </w:pPr>
    <w:rPr>
      <w:rFonts w:ascii="宋体"/>
      <w:kern w:val="0"/>
      <w:szCs w:val="20"/>
    </w:rPr>
  </w:style>
  <w:style w:type="paragraph" w:customStyle="1" w:styleId="365">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6">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8">
    <w:name w:val="样式 仿宋_GB2312 小四"/>
    <w:qFormat/>
    <w:uiPriority w:val="0"/>
    <w:rPr>
      <w:rFonts w:ascii="仿宋_GB2312" w:hAnsi="仿宋_GB2312" w:eastAsia="仿宋_GB2312"/>
      <w:sz w:val="24"/>
    </w:rPr>
  </w:style>
  <w:style w:type="paragraph" w:customStyle="1" w:styleId="369">
    <w:name w:val="kevin标题1"/>
    <w:basedOn w:val="1"/>
    <w:qFormat/>
    <w:uiPriority w:val="0"/>
    <w:pPr>
      <w:spacing w:afterLines="50"/>
      <w:ind w:left="1" w:firstLine="538" w:firstLineChars="192"/>
    </w:pPr>
    <w:rPr>
      <w:rFonts w:eastAsia="黑体"/>
      <w:sz w:val="24"/>
      <w:szCs w:val="20"/>
    </w:rPr>
  </w:style>
  <w:style w:type="character" w:customStyle="1" w:styleId="370">
    <w:name w:val="msonormal1"/>
    <w:qFormat/>
    <w:uiPriority w:val="0"/>
  </w:style>
  <w:style w:type="character" w:customStyle="1" w:styleId="371">
    <w:name w:val="未处理的提及1"/>
    <w:unhideWhenUsed/>
    <w:qFormat/>
    <w:uiPriority w:val="99"/>
    <w:rPr>
      <w:color w:val="605E5C"/>
      <w:shd w:val="clear" w:color="auto" w:fill="E1DFDD"/>
    </w:rPr>
  </w:style>
  <w:style w:type="character" w:customStyle="1" w:styleId="372">
    <w:name w:val="3级标题 Char"/>
    <w:link w:val="373"/>
    <w:qFormat/>
    <w:uiPriority w:val="0"/>
    <w:rPr>
      <w:b/>
    </w:rPr>
  </w:style>
  <w:style w:type="paragraph" w:customStyle="1" w:styleId="373">
    <w:name w:val="3级标题"/>
    <w:basedOn w:val="1"/>
    <w:link w:val="372"/>
    <w:qFormat/>
    <w:uiPriority w:val="0"/>
    <w:pPr>
      <w:spacing w:line="360" w:lineRule="auto"/>
      <w:outlineLvl w:val="1"/>
    </w:pPr>
    <w:rPr>
      <w:b/>
      <w:kern w:val="0"/>
      <w:sz w:val="20"/>
      <w:szCs w:val="20"/>
    </w:rPr>
  </w:style>
  <w:style w:type="paragraph" w:customStyle="1" w:styleId="374">
    <w:name w:val="4级标题"/>
    <w:basedOn w:val="1"/>
    <w:qFormat/>
    <w:uiPriority w:val="0"/>
    <w:pPr>
      <w:numPr>
        <w:ilvl w:val="1"/>
        <w:numId w:val="3"/>
      </w:numPr>
      <w:spacing w:line="360" w:lineRule="auto"/>
      <w:outlineLvl w:val="2"/>
    </w:pPr>
  </w:style>
  <w:style w:type="paragraph" w:customStyle="1" w:styleId="375">
    <w:name w:val="whh正文"/>
    <w:basedOn w:val="1"/>
    <w:qFormat/>
    <w:uiPriority w:val="0"/>
    <w:pPr>
      <w:adjustRightInd w:val="0"/>
      <w:snapToGrid w:val="0"/>
      <w:spacing w:line="360" w:lineRule="auto"/>
      <w:ind w:firstLine="420"/>
    </w:pPr>
    <w:rPr>
      <w:rFonts w:ascii="宋体" w:hAnsi="宋体"/>
      <w:szCs w:val="21"/>
    </w:rPr>
  </w:style>
  <w:style w:type="paragraph" w:customStyle="1" w:styleId="376">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7">
    <w:name w:val="项"/>
    <w:basedOn w:val="1"/>
    <w:qFormat/>
    <w:uiPriority w:val="0"/>
    <w:pPr>
      <w:numPr>
        <w:ilvl w:val="0"/>
        <w:numId w:val="4"/>
      </w:numPr>
      <w:spacing w:line="360" w:lineRule="auto"/>
    </w:pPr>
    <w:rPr>
      <w:sz w:val="24"/>
    </w:rPr>
  </w:style>
  <w:style w:type="paragraph" w:customStyle="1" w:styleId="378">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9">
    <w:name w:val="font31"/>
    <w:qFormat/>
    <w:uiPriority w:val="0"/>
    <w:rPr>
      <w:rFonts w:hint="eastAsia" w:ascii="宋体" w:hAnsi="宋体" w:eastAsia="宋体" w:cs="宋体"/>
      <w:color w:val="FF0000"/>
      <w:kern w:val="2"/>
      <w:sz w:val="22"/>
      <w:szCs w:val="22"/>
      <w:lang w:val="en-US" w:eastAsia="zh-CN" w:bidi="ar-SA"/>
    </w:rPr>
  </w:style>
  <w:style w:type="paragraph" w:customStyle="1" w:styleId="380">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81">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2">
    <w:name w:val="_Style 381"/>
    <w:unhideWhenUsed/>
    <w:qFormat/>
    <w:uiPriority w:val="99"/>
    <w:rPr>
      <w:rFonts w:ascii="Times New Roman" w:hAnsi="Times New Roman" w:eastAsia="宋体" w:cs="Times New Roman"/>
      <w:kern w:val="2"/>
      <w:sz w:val="21"/>
      <w:szCs w:val="24"/>
      <w:lang w:val="en-US" w:eastAsia="zh-CN" w:bidi="ar-SA"/>
    </w:rPr>
  </w:style>
  <w:style w:type="character" w:customStyle="1" w:styleId="383">
    <w:name w:val="批注文字 字符1"/>
    <w:qFormat/>
    <w:uiPriority w:val="0"/>
    <w:rPr>
      <w:rFonts w:eastAsia="宋体"/>
      <w:kern w:val="2"/>
      <w:sz w:val="21"/>
      <w:lang w:val="en-US" w:eastAsia="zh-CN" w:bidi="ar-SA"/>
    </w:rPr>
  </w:style>
  <w:style w:type="character" w:customStyle="1" w:styleId="384">
    <w:name w:val="正文文本 2 字符1"/>
    <w:qFormat/>
    <w:uiPriority w:val="0"/>
    <w:rPr>
      <w:rFonts w:eastAsia="宋体"/>
      <w:color w:val="FF0000"/>
      <w:kern w:val="2"/>
      <w:sz w:val="21"/>
      <w:lang w:val="en-US" w:eastAsia="zh-CN" w:bidi="ar-SA"/>
    </w:rPr>
  </w:style>
  <w:style w:type="character" w:customStyle="1" w:styleId="385">
    <w:name w:val="副标题 字符1"/>
    <w:qFormat/>
    <w:uiPriority w:val="0"/>
    <w:rPr>
      <w:rFonts w:ascii="Cambria" w:hAnsi="Cambria"/>
      <w:b/>
      <w:bCs/>
      <w:kern w:val="28"/>
      <w:sz w:val="32"/>
      <w:szCs w:val="32"/>
    </w:rPr>
  </w:style>
  <w:style w:type="character" w:customStyle="1" w:styleId="386">
    <w:name w:val="列出段落 Char"/>
    <w:qFormat/>
    <w:uiPriority w:val="99"/>
    <w:rPr>
      <w:kern w:val="2"/>
      <w:sz w:val="21"/>
      <w:szCs w:val="22"/>
    </w:rPr>
  </w:style>
  <w:style w:type="character" w:customStyle="1" w:styleId="387">
    <w:name w:val="font71"/>
    <w:qFormat/>
    <w:uiPriority w:val="0"/>
    <w:rPr>
      <w:rFonts w:hint="default" w:ascii="Times New Roman" w:hAnsi="Times New Roman" w:cs="Times New Roman"/>
      <w:color w:val="000000"/>
      <w:sz w:val="21"/>
      <w:szCs w:val="21"/>
      <w:u w:val="none"/>
    </w:rPr>
  </w:style>
  <w:style w:type="character" w:customStyle="1" w:styleId="388">
    <w:name w:val="Document Map Char Char"/>
    <w:link w:val="389"/>
    <w:qFormat/>
    <w:uiPriority w:val="0"/>
    <w:rPr>
      <w:rFonts w:ascii="宋体" w:hAnsi="Tahoma"/>
      <w:kern w:val="2"/>
      <w:sz w:val="18"/>
      <w:szCs w:val="18"/>
    </w:rPr>
  </w:style>
  <w:style w:type="paragraph" w:customStyle="1" w:styleId="389">
    <w:name w:val="文档结构图1"/>
    <w:basedOn w:val="1"/>
    <w:link w:val="388"/>
    <w:qFormat/>
    <w:uiPriority w:val="0"/>
    <w:pPr>
      <w:ind w:firstLine="200" w:firstLineChars="200"/>
    </w:pPr>
    <w:rPr>
      <w:rFonts w:ascii="宋体" w:hAnsi="Tahoma"/>
      <w:sz w:val="18"/>
      <w:szCs w:val="18"/>
    </w:rPr>
  </w:style>
  <w:style w:type="character" w:customStyle="1" w:styleId="390">
    <w:name w:val="font81"/>
    <w:qFormat/>
    <w:uiPriority w:val="0"/>
    <w:rPr>
      <w:rFonts w:hint="eastAsia" w:ascii="宋体" w:hAnsi="宋体" w:eastAsia="宋体" w:cs="宋体"/>
      <w:color w:val="000000"/>
      <w:sz w:val="21"/>
      <w:szCs w:val="21"/>
      <w:u w:val="none"/>
    </w:rPr>
  </w:style>
  <w:style w:type="character" w:customStyle="1" w:styleId="391">
    <w:name w:val="font41"/>
    <w:qFormat/>
    <w:uiPriority w:val="0"/>
    <w:rPr>
      <w:rFonts w:hint="eastAsia" w:ascii="宋体" w:hAnsi="宋体" w:eastAsia="宋体" w:cs="宋体"/>
      <w:color w:val="000000"/>
      <w:sz w:val="21"/>
      <w:szCs w:val="21"/>
      <w:u w:val="none"/>
    </w:rPr>
  </w:style>
  <w:style w:type="character" w:customStyle="1" w:styleId="392">
    <w:name w:val="font51"/>
    <w:qFormat/>
    <w:uiPriority w:val="0"/>
    <w:rPr>
      <w:rFonts w:hint="eastAsia" w:ascii="宋体" w:hAnsi="宋体" w:eastAsia="宋体" w:cs="宋体"/>
      <w:color w:val="000000"/>
      <w:sz w:val="21"/>
      <w:szCs w:val="21"/>
      <w:u w:val="none"/>
    </w:rPr>
  </w:style>
  <w:style w:type="paragraph" w:customStyle="1" w:styleId="393">
    <w:name w:val="List Paragraph1"/>
    <w:basedOn w:val="1"/>
    <w:semiHidden/>
    <w:qFormat/>
    <w:uiPriority w:val="0"/>
    <w:pPr>
      <w:ind w:firstLine="420" w:firstLineChars="200"/>
    </w:pPr>
    <w:rPr>
      <w:szCs w:val="21"/>
    </w:rPr>
  </w:style>
  <w:style w:type="character" w:customStyle="1" w:styleId="394">
    <w:name w:val="15"/>
    <w:qFormat/>
    <w:uiPriority w:val="0"/>
    <w:rPr>
      <w:rFonts w:hint="eastAsia" w:ascii="宋体" w:hAnsi="宋体" w:eastAsia="宋体"/>
      <w:color w:val="000000"/>
      <w:sz w:val="28"/>
      <w:szCs w:val="28"/>
    </w:rPr>
  </w:style>
  <w:style w:type="paragraph" w:customStyle="1" w:styleId="395">
    <w:name w:val="_Style 32"/>
    <w:basedOn w:val="1"/>
    <w:next w:val="96"/>
    <w:qFormat/>
    <w:uiPriority w:val="0"/>
    <w:pPr>
      <w:ind w:firstLine="420"/>
    </w:pPr>
  </w:style>
  <w:style w:type="paragraph" w:customStyle="1" w:styleId="396">
    <w:name w:val="_Style 338"/>
    <w:basedOn w:val="1"/>
    <w:next w:val="96"/>
    <w:qFormat/>
    <w:uiPriority w:val="99"/>
    <w:pPr>
      <w:widowControl/>
      <w:ind w:firstLine="420" w:firstLineChars="200"/>
      <w:jc w:val="left"/>
    </w:pPr>
    <w:rPr>
      <w:rFonts w:ascii="Calibri" w:hAnsi="Calibri"/>
      <w:kern w:val="0"/>
      <w:sz w:val="22"/>
      <w:szCs w:val="22"/>
    </w:rPr>
  </w:style>
  <w:style w:type="character" w:customStyle="1" w:styleId="397">
    <w:name w:val="text_piice"/>
    <w:qFormat/>
    <w:uiPriority w:val="0"/>
  </w:style>
  <w:style w:type="paragraph" w:customStyle="1" w:styleId="398">
    <w:name w:val="首行缩进"/>
    <w:basedOn w:val="1"/>
    <w:qFormat/>
    <w:uiPriority w:val="0"/>
    <w:pPr>
      <w:spacing w:line="360" w:lineRule="auto"/>
      <w:ind w:firstLine="480" w:firstLineChars="200"/>
      <w:jc w:val="left"/>
    </w:pPr>
    <w:rPr>
      <w:rFonts w:ascii="宋体" w:hAnsi="宋体"/>
    </w:rPr>
  </w:style>
  <w:style w:type="character" w:customStyle="1" w:styleId="399">
    <w:name w:val="font01"/>
    <w:qFormat/>
    <w:uiPriority w:val="0"/>
    <w:rPr>
      <w:rFonts w:hint="eastAsia" w:ascii="宋体" w:hAnsi="宋体" w:eastAsia="宋体" w:cs="宋体"/>
      <w:color w:val="000000"/>
      <w:sz w:val="21"/>
      <w:szCs w:val="21"/>
      <w:u w:val="none"/>
    </w:rPr>
  </w:style>
  <w:style w:type="character" w:customStyle="1" w:styleId="400">
    <w:name w:val="font21"/>
    <w:qFormat/>
    <w:uiPriority w:val="0"/>
    <w:rPr>
      <w:rFonts w:hint="eastAsia" w:ascii="宋体" w:hAnsi="宋体" w:eastAsia="宋体" w:cs="宋体"/>
      <w:color w:val="000000"/>
      <w:sz w:val="21"/>
      <w:szCs w:val="21"/>
      <w:u w:val="none"/>
      <w:vertAlign w:val="superscript"/>
    </w:rPr>
  </w:style>
  <w:style w:type="paragraph" w:customStyle="1" w:styleId="401">
    <w:name w:val="列表段落1"/>
    <w:basedOn w:val="1"/>
    <w:qFormat/>
    <w:uiPriority w:val="0"/>
    <w:pPr>
      <w:ind w:firstLine="420" w:firstLineChars="200"/>
    </w:pPr>
    <w:rPr>
      <w:rFonts w:ascii="Calibri" w:hAnsi="Calibri"/>
      <w:szCs w:val="22"/>
    </w:rPr>
  </w:style>
  <w:style w:type="paragraph" w:customStyle="1" w:styleId="402">
    <w:name w:val="p0"/>
    <w:basedOn w:val="1"/>
    <w:qFormat/>
    <w:uiPriority w:val="0"/>
    <w:rPr>
      <w:rFonts w:ascii="Calibri" w:hAnsi="Calibri"/>
      <w:szCs w:val="20"/>
    </w:rPr>
  </w:style>
  <w:style w:type="character" w:customStyle="1" w:styleId="403">
    <w:name w:val="样式 标题 2heading 2+ Indent: Left 0.25 in1.1  heading 2H2第一章 标题... Char"/>
    <w:link w:val="404"/>
    <w:qFormat/>
    <w:uiPriority w:val="0"/>
    <w:rPr>
      <w:rFonts w:ascii="宋体" w:hAnsi="宋体" w:cs="Arial"/>
      <w:b/>
      <w:bCs/>
      <w:kern w:val="2"/>
      <w:sz w:val="24"/>
      <w:szCs w:val="24"/>
    </w:rPr>
  </w:style>
  <w:style w:type="paragraph" w:customStyle="1" w:styleId="404">
    <w:name w:val="样式 标题 2heading 2+ Indent: Left 0.25 in1.1  heading 2H2第一章 标题..."/>
    <w:basedOn w:val="4"/>
    <w:link w:val="403"/>
    <w:qFormat/>
    <w:uiPriority w:val="0"/>
    <w:pPr>
      <w:numPr>
        <w:numId w:val="5"/>
      </w:numPr>
      <w:tabs>
        <w:tab w:val="left" w:pos="796"/>
      </w:tabs>
      <w:spacing w:line="413" w:lineRule="auto"/>
      <w:ind w:left="1202" w:hanging="1186"/>
    </w:pPr>
    <w:rPr>
      <w:rFonts w:ascii="宋体" w:hAnsi="宋体" w:eastAsia="宋体" w:cs="Arial"/>
      <w:b/>
      <w:sz w:val="24"/>
      <w:szCs w:val="24"/>
    </w:rPr>
  </w:style>
  <w:style w:type="character" w:customStyle="1" w:styleId="405">
    <w:name w:val="列表段落 字符1"/>
    <w:qFormat/>
    <w:uiPriority w:val="34"/>
    <w:rPr>
      <w:sz w:val="22"/>
      <w:lang w:val="en-GB" w:eastAsia="en-GB"/>
    </w:rPr>
  </w:style>
  <w:style w:type="character" w:customStyle="1" w:styleId="406">
    <w:name w:val="题注 字符"/>
    <w:link w:val="16"/>
    <w:qFormat/>
    <w:uiPriority w:val="99"/>
    <w:rPr>
      <w:rFonts w:ascii="Arial" w:hAnsi="Arial" w:eastAsia="黑体"/>
      <w:kern w:val="2"/>
      <w:sz w:val="21"/>
    </w:rPr>
  </w:style>
  <w:style w:type="paragraph" w:customStyle="1" w:styleId="407">
    <w:name w:val="无格式正文"/>
    <w:basedOn w:val="1"/>
    <w:qFormat/>
    <w:uiPriority w:val="0"/>
    <w:rPr>
      <w:szCs w:val="20"/>
    </w:rPr>
  </w:style>
  <w:style w:type="character" w:customStyle="1" w:styleId="408">
    <w:name w:val="QB正文 Char"/>
    <w:link w:val="364"/>
    <w:qFormat/>
    <w:locked/>
    <w:uiPriority w:val="0"/>
    <w:rPr>
      <w:rFonts w:ascii="宋体"/>
      <w:sz w:val="21"/>
    </w:rPr>
  </w:style>
  <w:style w:type="paragraph" w:customStyle="1" w:styleId="409">
    <w:name w:val="样式 正文文本Body Text(ch)btcontentsbody text + 左侧:  0 厘米 首行缩进:  ..."/>
    <w:basedOn w:val="22"/>
    <w:qFormat/>
    <w:uiPriority w:val="0"/>
    <w:pPr>
      <w:widowControl/>
      <w:spacing w:after="120" w:line="360" w:lineRule="auto"/>
      <w:ind w:firstLine="420"/>
      <w:jc w:val="left"/>
    </w:pPr>
    <w:rPr>
      <w:rFonts w:eastAsia="仿宋_GB2312" w:cs="宋体"/>
      <w:kern w:val="0"/>
      <w:sz w:val="24"/>
    </w:rPr>
  </w:style>
  <w:style w:type="character" w:customStyle="1" w:styleId="410">
    <w:name w:val="标题 4 字符"/>
    <w:link w:val="2"/>
    <w:qFormat/>
    <w:uiPriority w:val="0"/>
    <w:rPr>
      <w:kern w:val="2"/>
      <w:sz w:val="28"/>
    </w:rPr>
  </w:style>
  <w:style w:type="character" w:customStyle="1" w:styleId="411">
    <w:name w:val="标题 6 字符"/>
    <w:link w:val="7"/>
    <w:qFormat/>
    <w:uiPriority w:val="0"/>
    <w:rPr>
      <w:rFonts w:ascii="Arial" w:hAnsi="Arial" w:eastAsia="黑体"/>
      <w:b/>
      <w:bCs/>
      <w:kern w:val="2"/>
      <w:sz w:val="24"/>
      <w:szCs w:val="24"/>
    </w:rPr>
  </w:style>
  <w:style w:type="character" w:customStyle="1" w:styleId="412">
    <w:name w:val="标题 7 字符"/>
    <w:link w:val="8"/>
    <w:qFormat/>
    <w:uiPriority w:val="0"/>
    <w:rPr>
      <w:b/>
      <w:bCs/>
      <w:kern w:val="2"/>
      <w:sz w:val="24"/>
      <w:szCs w:val="24"/>
    </w:rPr>
  </w:style>
  <w:style w:type="character" w:customStyle="1" w:styleId="413">
    <w:name w:val="标题 8 字符"/>
    <w:link w:val="9"/>
    <w:qFormat/>
    <w:uiPriority w:val="0"/>
    <w:rPr>
      <w:rFonts w:ascii="Arial" w:hAnsi="Arial" w:eastAsia="黑体"/>
      <w:kern w:val="2"/>
      <w:sz w:val="24"/>
      <w:szCs w:val="24"/>
    </w:rPr>
  </w:style>
  <w:style w:type="character" w:customStyle="1" w:styleId="414">
    <w:name w:val="标题 9 字符"/>
    <w:link w:val="10"/>
    <w:qFormat/>
    <w:uiPriority w:val="0"/>
    <w:rPr>
      <w:rFonts w:ascii="Arial" w:hAnsi="Arial" w:eastAsia="黑体"/>
      <w:kern w:val="2"/>
      <w:sz w:val="21"/>
      <w:szCs w:val="21"/>
    </w:rPr>
  </w:style>
  <w:style w:type="character" w:customStyle="1" w:styleId="415">
    <w:name w:val="HTML 预设格式 字符"/>
    <w:link w:val="53"/>
    <w:qFormat/>
    <w:uiPriority w:val="99"/>
    <w:rPr>
      <w:rFonts w:ascii="宋体" w:hAnsi="宋体"/>
      <w:sz w:val="24"/>
      <w:szCs w:val="24"/>
    </w:rPr>
  </w:style>
  <w:style w:type="character" w:customStyle="1" w:styleId="416">
    <w:name w:val="标题 字符"/>
    <w:link w:val="55"/>
    <w:qFormat/>
    <w:uiPriority w:val="0"/>
    <w:rPr>
      <w:rFonts w:ascii="Cambria" w:hAnsi="Cambria"/>
      <w:b/>
      <w:bCs/>
      <w:kern w:val="2"/>
      <w:sz w:val="32"/>
      <w:szCs w:val="32"/>
    </w:rPr>
  </w:style>
  <w:style w:type="paragraph" w:customStyle="1" w:styleId="417">
    <w:name w:val="正标题"/>
    <w:basedOn w:val="1"/>
    <w:qFormat/>
    <w:uiPriority w:val="0"/>
    <w:pPr>
      <w:jc w:val="right"/>
      <w:outlineLvl w:val="0"/>
    </w:pPr>
    <w:rPr>
      <w:rFonts w:ascii="Arial" w:hAnsi="Arial"/>
      <w:b/>
      <w:sz w:val="52"/>
      <w:szCs w:val="52"/>
    </w:rPr>
  </w:style>
  <w:style w:type="paragraph" w:customStyle="1" w:styleId="418">
    <w:name w:val="程序代码"/>
    <w:basedOn w:val="1"/>
    <w:qFormat/>
    <w:uiPriority w:val="0"/>
    <w:pPr>
      <w:shd w:val="clear" w:color="auto" w:fill="D9D9D9"/>
      <w:kinsoku w:val="0"/>
      <w:wordWrap w:val="0"/>
      <w:autoSpaceDE w:val="0"/>
      <w:autoSpaceDN w:val="0"/>
      <w:textAlignment w:val="top"/>
    </w:pPr>
    <w:rPr>
      <w:rFonts w:ascii="Courier New" w:hAnsi="Courier New" w:eastAsia="Courier New"/>
      <w:sz w:val="18"/>
      <w:szCs w:val="18"/>
    </w:rPr>
  </w:style>
  <w:style w:type="paragraph" w:customStyle="1" w:styleId="419">
    <w:name w:val="参考文献"/>
    <w:basedOn w:val="1"/>
    <w:qFormat/>
    <w:uiPriority w:val="0"/>
    <w:pPr>
      <w:numPr>
        <w:ilvl w:val="0"/>
        <w:numId w:val="6"/>
      </w:numPr>
      <w:ind w:left="200" w:hanging="200" w:hangingChars="200"/>
    </w:pPr>
  </w:style>
  <w:style w:type="paragraph" w:customStyle="1" w:styleId="420">
    <w:name w:val="正文公式"/>
    <w:basedOn w:val="1"/>
    <w:next w:val="27"/>
    <w:qFormat/>
    <w:uiPriority w:val="0"/>
    <w:pPr>
      <w:tabs>
        <w:tab w:val="center" w:pos="3990"/>
        <w:tab w:val="right" w:pos="8295"/>
      </w:tabs>
    </w:pPr>
  </w:style>
  <w:style w:type="paragraph" w:customStyle="1" w:styleId="421">
    <w:name w:val="代码块"/>
    <w:basedOn w:val="1"/>
    <w:qFormat/>
    <w:uiPriority w:val="0"/>
    <w:pPr>
      <w:pBdr>
        <w:top w:val="single" w:color="auto" w:sz="4" w:space="1"/>
        <w:left w:val="single" w:color="auto" w:sz="4" w:space="4"/>
        <w:bottom w:val="single" w:color="auto" w:sz="4" w:space="1"/>
        <w:right w:val="single" w:color="auto" w:sz="4" w:space="4"/>
      </w:pBdr>
    </w:pPr>
    <w:rPr>
      <w:rFonts w:ascii="Arial" w:hAnsi="Arial" w:cs="Arial"/>
      <w:color w:val="0000FF"/>
      <w:szCs w:val="21"/>
    </w:rPr>
  </w:style>
  <w:style w:type="paragraph" w:customStyle="1" w:styleId="422">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6E8236-B3C7-46F1-83A7-D4ECD791564E}">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73</Pages>
  <Words>34351</Words>
  <Characters>36765</Characters>
  <Lines>284</Lines>
  <Paragraphs>79</Paragraphs>
  <TotalTime>0</TotalTime>
  <ScaleCrop>false</ScaleCrop>
  <LinksUpToDate>false</LinksUpToDate>
  <CharactersWithSpaces>37533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2024-09-13T06:42:00Z</dcterms:created>
  <dc:creator>Administrator</dc:creator>
  <cp:lastModifiedBy>Ccyu.</cp:lastModifiedBy>
  <cp:lastPrinted>2017-04-10T13:36:00Z</cp:lastPrinted>
  <dcterms:modified xsi:type="dcterms:W3CDTF">2024-09-24T06:53:32Z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31783097DCF44504801B613C7D805566_13</vt:lpwstr>
  </property>
</Properties>
</file>