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F7EC7">
      <w:pPr>
        <w:spacing w:line="360" w:lineRule="auto"/>
        <w:rPr>
          <w:rFonts w:eastAsia="仿宋_GB2312"/>
          <w:sz w:val="28"/>
          <w:szCs w:val="28"/>
        </w:rPr>
      </w:pPr>
      <w:bookmarkStart w:id="0" w:name="_Hlk97121947"/>
    </w:p>
    <w:p w14:paraId="45C93522">
      <w:pPr>
        <w:pStyle w:val="2"/>
      </w:pPr>
    </w:p>
    <w:p w14:paraId="1B1A91F4">
      <w:pPr>
        <w:pStyle w:val="2"/>
      </w:pPr>
    </w:p>
    <w:p w14:paraId="26E80135">
      <w:pPr>
        <w:spacing w:after="120" w:line="360" w:lineRule="auto"/>
        <w:jc w:val="center"/>
        <w:rPr>
          <w:rFonts w:ascii="黑体" w:hAnsi="宋体" w:eastAsia="黑体"/>
          <w:sz w:val="44"/>
          <w:szCs w:val="44"/>
        </w:rPr>
      </w:pPr>
      <w:r>
        <w:rPr>
          <w:rFonts w:hint="eastAsia" w:ascii="黑体" w:hAnsi="宋体" w:eastAsia="黑体"/>
          <w:sz w:val="44"/>
          <w:szCs w:val="44"/>
        </w:rPr>
        <w:t>江苏省广电有线信息网络股份有限公司</w:t>
      </w:r>
      <w:bookmarkStart w:id="1" w:name="_Toc227057880"/>
    </w:p>
    <w:p w14:paraId="3D71D06C">
      <w:pPr>
        <w:spacing w:after="120" w:line="360" w:lineRule="auto"/>
        <w:jc w:val="center"/>
        <w:rPr>
          <w:rFonts w:ascii="黑体" w:hAnsi="宋体" w:eastAsia="黑体"/>
          <w:sz w:val="44"/>
          <w:szCs w:val="44"/>
        </w:rPr>
      </w:pPr>
      <w:r>
        <w:rPr>
          <w:rFonts w:hint="eastAsia" w:ascii="黑体" w:hAnsi="宋体" w:eastAsia="黑体"/>
          <w:sz w:val="44"/>
          <w:szCs w:val="44"/>
        </w:rPr>
        <w:t>10090服务质量监督热线建设项目</w:t>
      </w:r>
      <w:r>
        <w:rPr>
          <w:rFonts w:ascii="黑体" w:hAnsi="宋体" w:eastAsia="黑体"/>
          <w:sz w:val="44"/>
          <w:szCs w:val="44"/>
        </w:rPr>
        <w:br w:type="textWrapping"/>
      </w:r>
      <w:r>
        <w:rPr>
          <w:rFonts w:hint="eastAsia" w:ascii="黑体" w:hAnsi="宋体" w:eastAsia="黑体"/>
          <w:sz w:val="44"/>
          <w:szCs w:val="44"/>
        </w:rPr>
        <w:t>竞争性谈判文件</w:t>
      </w:r>
    </w:p>
    <w:p w14:paraId="1604F28D">
      <w:pPr>
        <w:jc w:val="center"/>
        <w:rPr>
          <w:rFonts w:ascii="仿宋_GB2312" w:hAnsi="宋体" w:eastAsia="仿宋_GB2312"/>
          <w:b/>
          <w:sz w:val="32"/>
          <w:szCs w:val="32"/>
        </w:rPr>
      </w:pPr>
    </w:p>
    <w:p w14:paraId="349D106D">
      <w:pPr>
        <w:jc w:val="center"/>
        <w:rPr>
          <w:rFonts w:ascii="仿宋_GB2312" w:hAnsi="宋体" w:eastAsia="仿宋_GB2312"/>
          <w:b/>
          <w:sz w:val="32"/>
          <w:szCs w:val="32"/>
        </w:rPr>
      </w:pPr>
    </w:p>
    <w:p w14:paraId="0F5BA28C">
      <w:pPr>
        <w:jc w:val="center"/>
        <w:rPr>
          <w:rFonts w:ascii="仿宋_GB2312" w:hAnsi="宋体" w:eastAsia="仿宋_GB2312"/>
          <w:b/>
          <w:sz w:val="32"/>
          <w:szCs w:val="32"/>
        </w:rPr>
      </w:pPr>
      <w:r>
        <w:rPr>
          <w:rFonts w:hint="eastAsia"/>
          <w:b/>
          <w:bCs/>
          <w:color w:val="000000" w:themeColor="text1"/>
          <w:sz w:val="32"/>
          <w:szCs w:val="32"/>
          <w14:textFill>
            <w14:solidFill>
              <w14:schemeClr w14:val="tx1"/>
            </w14:solidFill>
          </w14:textFill>
        </w:rPr>
        <w:t>编号：</w:t>
      </w:r>
      <w:r>
        <w:rPr>
          <w:rFonts w:hint="eastAsia"/>
          <w:b/>
          <w:bCs/>
          <w:color w:val="FF0000"/>
          <w:sz w:val="32"/>
          <w:szCs w:val="32"/>
        </w:rPr>
        <w:t>JSCN2025[019]</w:t>
      </w:r>
    </w:p>
    <w:p w14:paraId="2327958A">
      <w:pPr>
        <w:spacing w:after="120" w:line="360" w:lineRule="auto"/>
        <w:jc w:val="center"/>
        <w:rPr>
          <w:rFonts w:ascii="仿宋_GB2312" w:hAnsi="宋体" w:eastAsia="仿宋_GB2312"/>
          <w:b/>
          <w:sz w:val="32"/>
          <w:szCs w:val="32"/>
        </w:rPr>
      </w:pPr>
    </w:p>
    <w:p w14:paraId="69B4B0DB">
      <w:pPr>
        <w:spacing w:after="120" w:line="360" w:lineRule="auto"/>
        <w:jc w:val="center"/>
        <w:rPr>
          <w:rFonts w:ascii="仿宋_GB2312" w:hAnsi="宋体" w:eastAsia="仿宋_GB2312"/>
          <w:b/>
          <w:sz w:val="32"/>
          <w:szCs w:val="32"/>
        </w:rPr>
      </w:pPr>
    </w:p>
    <w:p w14:paraId="6D09EB9D">
      <w:pPr>
        <w:spacing w:after="120" w:line="360" w:lineRule="auto"/>
        <w:jc w:val="center"/>
        <w:rPr>
          <w:rFonts w:ascii="仿宋_GB2312" w:hAnsi="宋体" w:eastAsia="仿宋_GB2312"/>
          <w:b/>
          <w:sz w:val="32"/>
          <w:szCs w:val="32"/>
        </w:rPr>
      </w:pPr>
    </w:p>
    <w:p w14:paraId="419FEA00">
      <w:pPr>
        <w:spacing w:after="120" w:line="360" w:lineRule="auto"/>
        <w:jc w:val="center"/>
        <w:rPr>
          <w:rFonts w:ascii="仿宋_GB2312" w:hAnsi="宋体" w:eastAsia="仿宋_GB2312"/>
          <w:b/>
          <w:sz w:val="32"/>
          <w:szCs w:val="32"/>
        </w:rPr>
      </w:pPr>
    </w:p>
    <w:p w14:paraId="2E643C82">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14:paraId="066BC0AB">
      <w:pPr>
        <w:pStyle w:val="2"/>
        <w:adjustRightInd w:val="0"/>
        <w:snapToGrid w:val="0"/>
        <w:spacing w:beforeLines="100" w:afterLines="100"/>
        <w:ind w:left="210" w:leftChars="100" w:right="210" w:rightChars="100" w:firstLine="562" w:firstLineChars="200"/>
        <w:jc w:val="center"/>
        <w:rPr>
          <w:b/>
          <w:bCs/>
          <w:szCs w:val="28"/>
        </w:rPr>
      </w:pPr>
      <w:r>
        <w:rPr>
          <w:rFonts w:hint="eastAsia"/>
          <w:b/>
          <w:szCs w:val="28"/>
        </w:rPr>
        <w:t>二〇二五年二月</w:t>
      </w:r>
    </w:p>
    <w:p w14:paraId="401DA841">
      <w:pPr>
        <w:spacing w:after="120" w:line="360" w:lineRule="auto"/>
        <w:ind w:firstLine="1405" w:firstLineChars="500"/>
        <w:rPr>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14:paraId="60300214">
      <w:pPr>
        <w:pStyle w:val="118"/>
        <w:numPr>
          <w:ilvl w:val="0"/>
          <w:numId w:val="0"/>
        </w:numPr>
        <w:ind w:left="288"/>
        <w:jc w:val="center"/>
      </w:pPr>
      <w:r>
        <w:rPr>
          <w:rFonts w:ascii="宋体" w:hAnsi="宋体" w:eastAsia="宋体"/>
          <w:color w:val="auto"/>
          <w:sz w:val="30"/>
          <w:szCs w:val="30"/>
          <w:lang w:val="zh-CN"/>
        </w:rPr>
        <w:t>目录</w:t>
      </w:r>
    </w:p>
    <w:p w14:paraId="67CA7681">
      <w:pPr>
        <w:pStyle w:val="38"/>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第一章竞争性谈判公告</w:t>
      </w:r>
      <w:r>
        <w:tab/>
      </w:r>
      <w:r>
        <w:fldChar w:fldCharType="begin"/>
      </w:r>
      <w:r>
        <w:instrText xml:space="preserve"> PAGEREF _Toc69378615 \h </w:instrText>
      </w:r>
      <w:r>
        <w:fldChar w:fldCharType="separate"/>
      </w:r>
      <w:r>
        <w:t>3</w:t>
      </w:r>
      <w:r>
        <w:fldChar w:fldCharType="end"/>
      </w:r>
      <w:r>
        <w:fldChar w:fldCharType="end"/>
      </w:r>
    </w:p>
    <w:p w14:paraId="5158B934">
      <w:pPr>
        <w:pStyle w:val="38"/>
        <w:rPr>
          <w:rFonts w:ascii="Calibri" w:hAnsi="Calibri"/>
          <w:caps w:val="0"/>
          <w:kern w:val="2"/>
          <w:szCs w:val="22"/>
        </w:rPr>
      </w:pPr>
      <w:r>
        <w:fldChar w:fldCharType="begin"/>
      </w:r>
      <w:r>
        <w:instrText xml:space="preserve"> HYPERLINK \l "_Toc69378616" </w:instrText>
      </w:r>
      <w:r>
        <w:fldChar w:fldCharType="separate"/>
      </w:r>
      <w:r>
        <w:rPr>
          <w:rStyle w:val="60"/>
          <w:rFonts w:hint="eastAsia"/>
          <w:b/>
        </w:rPr>
        <w:t>第二章竞争性谈判须知</w:t>
      </w:r>
      <w:r>
        <w:tab/>
      </w:r>
      <w:r>
        <w:fldChar w:fldCharType="end"/>
      </w:r>
      <w:r>
        <w:rPr>
          <w:rFonts w:hint="eastAsia"/>
        </w:rPr>
        <w:t>6</w:t>
      </w:r>
    </w:p>
    <w:p w14:paraId="5EE55122">
      <w:pPr>
        <w:pStyle w:val="38"/>
        <w:rPr>
          <w:rFonts w:ascii="Calibri" w:hAnsi="Calibri"/>
          <w:caps w:val="0"/>
          <w:kern w:val="2"/>
          <w:szCs w:val="22"/>
        </w:rPr>
      </w:pPr>
      <w:r>
        <w:fldChar w:fldCharType="begin"/>
      </w:r>
      <w:r>
        <w:instrText xml:space="preserve"> HYPERLINK \l "_Toc69378617" </w:instrText>
      </w:r>
      <w:r>
        <w:fldChar w:fldCharType="separate"/>
      </w:r>
      <w:r>
        <w:rPr>
          <w:rStyle w:val="60"/>
          <w:rFonts w:hint="eastAsia"/>
          <w:b/>
        </w:rPr>
        <w:t>第三章评审办法</w:t>
      </w:r>
      <w:r>
        <w:tab/>
      </w:r>
      <w:r>
        <w:rPr>
          <w:rFonts w:hint="eastAsia"/>
        </w:rPr>
        <w:t>1</w:t>
      </w:r>
      <w:r>
        <w:rPr>
          <w:rFonts w:hint="eastAsia"/>
        </w:rPr>
        <w:fldChar w:fldCharType="end"/>
      </w:r>
      <w:r>
        <w:rPr>
          <w:rFonts w:hint="eastAsia"/>
        </w:rPr>
        <w:t>7</w:t>
      </w:r>
    </w:p>
    <w:p w14:paraId="7E7E7B27">
      <w:pPr>
        <w:pStyle w:val="38"/>
        <w:rPr>
          <w:rFonts w:ascii="Calibri" w:hAnsi="Calibri"/>
          <w:caps w:val="0"/>
          <w:kern w:val="2"/>
          <w:szCs w:val="22"/>
        </w:rPr>
      </w:pPr>
      <w:r>
        <w:fldChar w:fldCharType="begin"/>
      </w:r>
      <w:r>
        <w:instrText xml:space="preserve"> HYPERLINK \l "_Toc69378618" </w:instrText>
      </w:r>
      <w:r>
        <w:fldChar w:fldCharType="separate"/>
      </w:r>
      <w:r>
        <w:rPr>
          <w:rStyle w:val="60"/>
          <w:rFonts w:hint="eastAsia"/>
          <w:b/>
        </w:rPr>
        <w:t>第四章合同格式</w:t>
      </w:r>
      <w:r>
        <w:tab/>
      </w:r>
      <w:r>
        <w:fldChar w:fldCharType="end"/>
      </w:r>
      <w:r>
        <w:rPr>
          <w:rFonts w:hint="eastAsia"/>
        </w:rPr>
        <w:t>20</w:t>
      </w:r>
    </w:p>
    <w:p w14:paraId="69873BBE">
      <w:pPr>
        <w:pStyle w:val="38"/>
        <w:rPr>
          <w:rFonts w:ascii="Calibri" w:hAnsi="Calibri"/>
          <w:caps w:val="0"/>
          <w:kern w:val="2"/>
          <w:szCs w:val="22"/>
        </w:rPr>
      </w:pPr>
      <w:r>
        <w:fldChar w:fldCharType="begin"/>
      </w:r>
      <w:r>
        <w:instrText xml:space="preserve"> HYPERLINK \l "_Toc69378637" </w:instrText>
      </w:r>
      <w:r>
        <w:fldChar w:fldCharType="separate"/>
      </w:r>
      <w:r>
        <w:rPr>
          <w:rStyle w:val="60"/>
          <w:rFonts w:hint="eastAsia"/>
          <w:b/>
        </w:rPr>
        <w:t>第五章技术需求书</w:t>
      </w:r>
      <w:r>
        <w:tab/>
      </w:r>
      <w:r>
        <w:fldChar w:fldCharType="end"/>
      </w:r>
      <w:r>
        <w:rPr>
          <w:rFonts w:hint="eastAsia"/>
        </w:rPr>
        <w:t>3</w:t>
      </w:r>
      <w:r>
        <w:t>6</w:t>
      </w:r>
    </w:p>
    <w:p w14:paraId="52560CCF">
      <w:pPr>
        <w:pStyle w:val="38"/>
        <w:rPr>
          <w:rFonts w:ascii="Calibri" w:hAnsi="Calibri"/>
          <w:caps w:val="0"/>
          <w:kern w:val="2"/>
          <w:szCs w:val="22"/>
        </w:rPr>
      </w:pPr>
      <w:r>
        <w:fldChar w:fldCharType="begin"/>
      </w:r>
      <w:r>
        <w:instrText xml:space="preserve"> HYPERLINK \l "_Toc69378657" </w:instrText>
      </w:r>
      <w:r>
        <w:fldChar w:fldCharType="separate"/>
      </w:r>
      <w:r>
        <w:rPr>
          <w:rStyle w:val="60"/>
          <w:rFonts w:hint="eastAsia"/>
          <w:b/>
          <w:bCs/>
          <w:kern w:val="44"/>
        </w:rPr>
        <w:t>第六章竞争性谈判响应文件格式</w:t>
      </w:r>
      <w:r>
        <w:tab/>
      </w:r>
      <w:r>
        <w:rPr>
          <w:rFonts w:hint="eastAsia"/>
        </w:rPr>
        <w:t>3</w:t>
      </w:r>
      <w:r>
        <w:rPr>
          <w:rFonts w:hint="eastAsia"/>
        </w:rPr>
        <w:fldChar w:fldCharType="end"/>
      </w:r>
      <w:r>
        <w:rPr>
          <w:rFonts w:hint="eastAsia"/>
        </w:rPr>
        <w:t>8</w:t>
      </w:r>
    </w:p>
    <w:p w14:paraId="5017C96B">
      <w:pPr>
        <w:pStyle w:val="38"/>
        <w:rPr>
          <w:rFonts w:ascii="Calibri" w:hAnsi="Calibri" w:eastAsia="宋体"/>
          <w:caps w:val="0"/>
          <w:kern w:val="2"/>
          <w:szCs w:val="22"/>
        </w:rPr>
      </w:pPr>
      <w:r>
        <w:rPr>
          <w:rFonts w:ascii="宋体" w:hAnsi="宋体" w:eastAsia="宋体"/>
          <w:sz w:val="20"/>
          <w:szCs w:val="20"/>
        </w:rPr>
        <w:fldChar w:fldCharType="end"/>
      </w:r>
    </w:p>
    <w:p w14:paraId="599D99C9">
      <w:pPr>
        <w:widowControl/>
        <w:jc w:val="left"/>
        <w:rPr>
          <w:rFonts w:eastAsia="黑体"/>
          <w:bCs/>
          <w:kern w:val="44"/>
          <w:sz w:val="30"/>
          <w:szCs w:val="44"/>
        </w:rPr>
      </w:pPr>
      <w:r>
        <w:br w:type="page"/>
      </w:r>
    </w:p>
    <w:p w14:paraId="0B0AFCD6">
      <w:pPr>
        <w:pStyle w:val="3"/>
        <w:numPr>
          <w:ilvl w:val="0"/>
          <w:numId w:val="0"/>
        </w:numPr>
        <w:spacing w:before="0" w:after="0" w:line="360" w:lineRule="auto"/>
        <w:rPr>
          <w:b/>
          <w:sz w:val="36"/>
          <w:szCs w:val="36"/>
        </w:rPr>
      </w:pPr>
      <w:bookmarkStart w:id="2" w:name="_Toc69378615"/>
      <w:r>
        <w:rPr>
          <w:rFonts w:hint="eastAsia"/>
          <w:b/>
          <w:sz w:val="36"/>
          <w:szCs w:val="36"/>
        </w:rPr>
        <w:t>第一章竞争性谈判公告</w:t>
      </w:r>
      <w:bookmarkEnd w:id="2"/>
    </w:p>
    <w:bookmarkEnd w:id="1"/>
    <w:p w14:paraId="167FC29D">
      <w:pPr>
        <w:spacing w:line="360" w:lineRule="auto"/>
        <w:ind w:firstLine="480" w:firstLineChars="200"/>
        <w:rPr>
          <w:rFonts w:ascii="宋体" w:hAnsi="宋体" w:cs="宋体"/>
          <w:bCs/>
          <w:kern w:val="0"/>
          <w:sz w:val="24"/>
        </w:rPr>
      </w:pPr>
      <w:bookmarkStart w:id="3" w:name="OLE_LINK2"/>
      <w:bookmarkStart w:id="4" w:name="OLE_LINK1"/>
      <w:r>
        <w:rPr>
          <w:rFonts w:hint="eastAsia" w:ascii="宋体" w:hAnsi="宋体" w:cs="宋体"/>
          <w:bCs/>
          <w:kern w:val="0"/>
          <w:sz w:val="24"/>
        </w:rPr>
        <w:t>江苏省广电有线信息网络股份有限公司就</w:t>
      </w:r>
      <w:r>
        <w:rPr>
          <w:rFonts w:hint="eastAsia" w:ascii="宋体" w:hAnsi="宋体" w:cs="宋体"/>
          <w:kern w:val="0"/>
          <w:sz w:val="24"/>
        </w:rPr>
        <w:t>“10090服务质量监督热线建设项目项目”</w:t>
      </w:r>
      <w:r>
        <w:rPr>
          <w:rFonts w:hint="eastAsia" w:ascii="宋体" w:hAnsi="宋体" w:cs="宋体"/>
          <w:bCs/>
          <w:kern w:val="0"/>
          <w:sz w:val="24"/>
        </w:rPr>
        <w:t>组织竞争性谈判采购，现欢迎符合资格条件的供应商参加报价和谈判。</w:t>
      </w:r>
    </w:p>
    <w:p w14:paraId="7EC0E39A">
      <w:pPr>
        <w:spacing w:line="360" w:lineRule="auto"/>
        <w:ind w:firstLine="482" w:firstLineChars="200"/>
        <w:rPr>
          <w:rFonts w:ascii="宋体" w:hAnsi="宋体"/>
          <w:b/>
          <w:sz w:val="24"/>
        </w:rPr>
      </w:pPr>
      <w:r>
        <w:rPr>
          <w:rFonts w:hint="eastAsia" w:ascii="宋体" w:hAnsi="宋体" w:cs="宋体"/>
          <w:b/>
          <w:kern w:val="0"/>
          <w:sz w:val="24"/>
        </w:rPr>
        <w:t>一、项目概况</w:t>
      </w:r>
    </w:p>
    <w:p w14:paraId="5B8C7D41">
      <w:pPr>
        <w:spacing w:line="360" w:lineRule="auto"/>
        <w:ind w:firstLine="480" w:firstLineChars="200"/>
        <w:rPr>
          <w:rFonts w:ascii="宋体" w:hAnsi="宋体" w:cs="宋体"/>
          <w:bCs/>
          <w:kern w:val="0"/>
          <w:sz w:val="24"/>
        </w:rPr>
      </w:pPr>
      <w:r>
        <w:rPr>
          <w:rFonts w:hint="eastAsia" w:ascii="宋体" w:hAnsi="宋体" w:cs="宋体"/>
          <w:bCs/>
          <w:kern w:val="0"/>
          <w:sz w:val="24"/>
        </w:rPr>
        <w:t>本项目预计根据国网要求，在现有话务平台及上工单、客服系统中，接入10090投诉专线并开发对应受理页面、模块，并根据需求进行定制化开发改造。</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2126"/>
        <w:gridCol w:w="850"/>
        <w:gridCol w:w="4080"/>
      </w:tblGrid>
      <w:tr w14:paraId="7DC5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36" w:type="dxa"/>
          </w:tcPr>
          <w:p w14:paraId="5523FDC9">
            <w:pPr>
              <w:spacing w:line="400" w:lineRule="exact"/>
              <w:jc w:val="center"/>
              <w:rPr>
                <w:rFonts w:ascii="宋体" w:hAnsi="宋体" w:cs="宋体"/>
                <w:bCs/>
                <w:kern w:val="0"/>
                <w:sz w:val="24"/>
              </w:rPr>
            </w:pPr>
            <w:r>
              <w:rPr>
                <w:rFonts w:ascii="宋体" w:hAnsi="宋体" w:cs="宋体"/>
                <w:bCs/>
                <w:kern w:val="0"/>
                <w:sz w:val="24"/>
              </w:rPr>
              <w:t>序号</w:t>
            </w:r>
          </w:p>
        </w:tc>
        <w:tc>
          <w:tcPr>
            <w:tcW w:w="2126" w:type="dxa"/>
          </w:tcPr>
          <w:p w14:paraId="374D50A7">
            <w:pPr>
              <w:spacing w:line="400" w:lineRule="exact"/>
              <w:jc w:val="center"/>
              <w:rPr>
                <w:rFonts w:ascii="宋体" w:hAnsi="宋体" w:cs="宋体"/>
                <w:bCs/>
                <w:kern w:val="0"/>
                <w:sz w:val="24"/>
              </w:rPr>
            </w:pPr>
            <w:r>
              <w:rPr>
                <w:rFonts w:hint="eastAsia" w:ascii="宋体" w:hAnsi="宋体" w:cs="宋体"/>
                <w:bCs/>
                <w:kern w:val="0"/>
                <w:sz w:val="24"/>
              </w:rPr>
              <w:t>产品</w:t>
            </w:r>
            <w:r>
              <w:rPr>
                <w:rFonts w:ascii="宋体" w:hAnsi="宋体" w:cs="宋体"/>
                <w:bCs/>
                <w:kern w:val="0"/>
                <w:sz w:val="24"/>
              </w:rPr>
              <w:t>名称</w:t>
            </w:r>
          </w:p>
        </w:tc>
        <w:tc>
          <w:tcPr>
            <w:tcW w:w="850" w:type="dxa"/>
          </w:tcPr>
          <w:p w14:paraId="0DD55C98">
            <w:pPr>
              <w:spacing w:line="400" w:lineRule="exact"/>
              <w:jc w:val="center"/>
              <w:rPr>
                <w:rFonts w:ascii="宋体" w:hAnsi="宋体" w:cs="宋体"/>
                <w:bCs/>
                <w:kern w:val="0"/>
                <w:sz w:val="24"/>
              </w:rPr>
            </w:pPr>
            <w:r>
              <w:rPr>
                <w:rFonts w:ascii="宋体" w:hAnsi="宋体" w:cs="宋体"/>
                <w:bCs/>
                <w:kern w:val="0"/>
                <w:sz w:val="24"/>
              </w:rPr>
              <w:t>数量</w:t>
            </w:r>
          </w:p>
        </w:tc>
        <w:tc>
          <w:tcPr>
            <w:tcW w:w="4080" w:type="dxa"/>
          </w:tcPr>
          <w:p w14:paraId="27D8734D">
            <w:pPr>
              <w:spacing w:line="400" w:lineRule="exact"/>
              <w:jc w:val="center"/>
              <w:rPr>
                <w:rFonts w:ascii="宋体" w:hAnsi="宋体" w:cs="宋体"/>
                <w:bCs/>
                <w:kern w:val="0"/>
                <w:sz w:val="24"/>
              </w:rPr>
            </w:pPr>
            <w:r>
              <w:rPr>
                <w:rFonts w:hint="eastAsia" w:ascii="宋体" w:hAnsi="宋体" w:cs="宋体"/>
                <w:bCs/>
                <w:kern w:val="0"/>
                <w:sz w:val="24"/>
              </w:rPr>
              <w:t>功能模块</w:t>
            </w:r>
          </w:p>
        </w:tc>
      </w:tr>
      <w:tr w14:paraId="472C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jc w:val="center"/>
        </w:trPr>
        <w:tc>
          <w:tcPr>
            <w:tcW w:w="736" w:type="dxa"/>
            <w:vAlign w:val="center"/>
          </w:tcPr>
          <w:p w14:paraId="4A875A6A">
            <w:pPr>
              <w:spacing w:line="400" w:lineRule="exact"/>
              <w:jc w:val="center"/>
              <w:rPr>
                <w:rFonts w:ascii="宋体" w:hAnsi="宋体" w:cs="宋体"/>
                <w:bCs/>
                <w:kern w:val="0"/>
                <w:sz w:val="24"/>
              </w:rPr>
            </w:pPr>
            <w:r>
              <w:rPr>
                <w:rFonts w:hint="eastAsia" w:ascii="宋体" w:hAnsi="宋体" w:cs="宋体"/>
                <w:bCs/>
                <w:kern w:val="0"/>
                <w:sz w:val="24"/>
              </w:rPr>
              <w:t>1</w:t>
            </w:r>
          </w:p>
        </w:tc>
        <w:tc>
          <w:tcPr>
            <w:tcW w:w="2126" w:type="dxa"/>
            <w:vAlign w:val="center"/>
          </w:tcPr>
          <w:p w14:paraId="333BB55B">
            <w:pPr>
              <w:spacing w:line="400" w:lineRule="exact"/>
              <w:jc w:val="center"/>
              <w:rPr>
                <w:rFonts w:ascii="宋体" w:hAnsi="宋体" w:cs="宋体"/>
                <w:bCs/>
                <w:kern w:val="0"/>
                <w:sz w:val="24"/>
              </w:rPr>
            </w:pPr>
            <w:r>
              <w:rPr>
                <w:rFonts w:hint="eastAsia" w:ascii="宋体" w:hAnsi="宋体" w:cs="宋体"/>
                <w:bCs/>
                <w:kern w:val="0"/>
                <w:sz w:val="24"/>
              </w:rPr>
              <w:t>10090服务质量监督热线建设项目</w:t>
            </w:r>
          </w:p>
        </w:tc>
        <w:tc>
          <w:tcPr>
            <w:tcW w:w="850" w:type="dxa"/>
            <w:vAlign w:val="center"/>
          </w:tcPr>
          <w:p w14:paraId="444FCFAC">
            <w:pPr>
              <w:spacing w:line="400" w:lineRule="exact"/>
              <w:jc w:val="center"/>
              <w:rPr>
                <w:rFonts w:ascii="宋体" w:hAnsi="宋体" w:cs="宋体"/>
                <w:bCs/>
                <w:kern w:val="0"/>
                <w:sz w:val="24"/>
              </w:rPr>
            </w:pPr>
            <w:r>
              <w:rPr>
                <w:rFonts w:hint="eastAsia" w:ascii="宋体" w:hAnsi="宋体" w:cs="宋体"/>
                <w:bCs/>
                <w:kern w:val="0"/>
                <w:sz w:val="24"/>
              </w:rPr>
              <w:t>1套</w:t>
            </w:r>
          </w:p>
        </w:tc>
        <w:tc>
          <w:tcPr>
            <w:tcW w:w="4080" w:type="dxa"/>
            <w:vAlign w:val="center"/>
          </w:tcPr>
          <w:p w14:paraId="37B063D7">
            <w:pPr>
              <w:spacing w:line="400" w:lineRule="exact"/>
              <w:jc w:val="left"/>
              <w:rPr>
                <w:rFonts w:ascii="宋体" w:hAnsi="宋体" w:cs="宋体"/>
                <w:bCs/>
                <w:kern w:val="0"/>
                <w:sz w:val="24"/>
              </w:rPr>
            </w:pPr>
            <w:r>
              <w:rPr>
                <w:rFonts w:hint="eastAsia" w:ascii="宋体" w:hAnsi="宋体" w:cs="宋体"/>
                <w:bCs/>
                <w:kern w:val="0"/>
                <w:sz w:val="24"/>
              </w:rPr>
              <w:t>1、10090号码对接省内话务平台，IVR流程配置，话务队列新增，对应话务模块改造、策略改造</w:t>
            </w:r>
          </w:p>
          <w:p w14:paraId="188B7F14">
            <w:pPr>
              <w:spacing w:line="400" w:lineRule="exact"/>
              <w:jc w:val="left"/>
              <w:rPr>
                <w:rFonts w:ascii="宋体" w:hAnsi="宋体" w:cs="宋体"/>
                <w:bCs/>
                <w:kern w:val="0"/>
                <w:sz w:val="24"/>
              </w:rPr>
            </w:pPr>
            <w:r>
              <w:rPr>
                <w:rFonts w:hint="eastAsia" w:ascii="宋体" w:hAnsi="宋体" w:cs="宋体"/>
                <w:bCs/>
                <w:kern w:val="0"/>
                <w:sz w:val="24"/>
              </w:rPr>
              <w:t>2、客服、工单系统数据结构改造、工作流开发、适配模块改造</w:t>
            </w:r>
          </w:p>
          <w:p w14:paraId="632E2E4E">
            <w:pPr>
              <w:spacing w:line="400" w:lineRule="exact"/>
              <w:jc w:val="left"/>
              <w:rPr>
                <w:rFonts w:ascii="宋体" w:hAnsi="宋体" w:cs="宋体"/>
                <w:bCs/>
                <w:kern w:val="0"/>
                <w:sz w:val="24"/>
              </w:rPr>
            </w:pPr>
            <w:r>
              <w:rPr>
                <w:rFonts w:hint="eastAsia" w:ascii="宋体" w:hAnsi="宋体" w:cs="宋体"/>
                <w:bCs/>
                <w:kern w:val="0"/>
                <w:sz w:val="24"/>
              </w:rPr>
              <w:t>3、外围系统对接（一级客服、</w:t>
            </w:r>
            <w:r>
              <w:rPr>
                <w:rFonts w:ascii="宋体" w:hAnsi="宋体" w:cs="宋体"/>
                <w:bCs/>
                <w:kern w:val="0"/>
                <w:sz w:val="24"/>
              </w:rPr>
              <w:t>BOSS</w:t>
            </w:r>
            <w:r>
              <w:rPr>
                <w:rFonts w:hint="eastAsia" w:ascii="宋体" w:hAnsi="宋体" w:cs="宋体"/>
                <w:bCs/>
                <w:kern w:val="0"/>
                <w:sz w:val="24"/>
              </w:rPr>
              <w:t>、短信平台等）</w:t>
            </w:r>
          </w:p>
          <w:p w14:paraId="763FC2E8">
            <w:pPr>
              <w:spacing w:line="400" w:lineRule="exact"/>
              <w:jc w:val="left"/>
            </w:pPr>
            <w:r>
              <w:rPr>
                <w:rFonts w:hint="eastAsia" w:ascii="宋体" w:hAnsi="宋体" w:cs="宋体"/>
                <w:bCs/>
                <w:kern w:val="0"/>
                <w:sz w:val="24"/>
              </w:rPr>
              <w:t>具体功能要求详见技术需求书。</w:t>
            </w:r>
          </w:p>
        </w:tc>
      </w:tr>
    </w:tbl>
    <w:p w14:paraId="624E486E">
      <w:pPr>
        <w:pStyle w:val="29"/>
      </w:pPr>
    </w:p>
    <w:p w14:paraId="3B5A3C23">
      <w:pPr>
        <w:spacing w:line="360" w:lineRule="auto"/>
        <w:ind w:firstLine="482" w:firstLineChars="200"/>
        <w:rPr>
          <w:rFonts w:ascii="宋体" w:hAnsi="宋体" w:cs="宋体"/>
          <w:b/>
          <w:kern w:val="0"/>
          <w:sz w:val="24"/>
        </w:rPr>
      </w:pPr>
      <w:r>
        <w:rPr>
          <w:rFonts w:hint="eastAsia" w:ascii="宋体" w:hAnsi="宋体" w:cs="宋体"/>
          <w:b/>
          <w:kern w:val="0"/>
          <w:sz w:val="24"/>
        </w:rPr>
        <w:t>二、资格审查方式</w:t>
      </w:r>
    </w:p>
    <w:p w14:paraId="25A3CCAC">
      <w:pPr>
        <w:spacing w:line="360" w:lineRule="auto"/>
        <w:ind w:firstLine="482" w:firstLineChars="200"/>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2871D539">
      <w:pPr>
        <w:numPr>
          <w:ilvl w:val="255"/>
          <w:numId w:val="0"/>
        </w:numPr>
        <w:spacing w:line="360" w:lineRule="auto"/>
        <w:ind w:firstLine="482" w:firstLineChars="200"/>
      </w:pPr>
      <w:r>
        <w:rPr>
          <w:rFonts w:hint="eastAsia" w:ascii="宋体" w:hAnsi="宋体"/>
          <w:b/>
          <w:sz w:val="24"/>
        </w:rPr>
        <w:t>三、合格供应商的基本资格要求</w:t>
      </w:r>
    </w:p>
    <w:p w14:paraId="01488A08">
      <w:pPr>
        <w:spacing w:line="360" w:lineRule="auto"/>
        <w:ind w:firstLine="480" w:firstLineChars="200"/>
        <w:jc w:val="left"/>
        <w:rPr>
          <w:rFonts w:ascii="宋体" w:hAnsi="宋体" w:cs="宋体"/>
          <w:kern w:val="0"/>
          <w:sz w:val="24"/>
          <w:szCs w:val="22"/>
        </w:rPr>
      </w:pPr>
      <w:bookmarkStart w:id="5" w:name="_Hlk74838219"/>
      <w:r>
        <w:rPr>
          <w:rFonts w:hint="eastAsia" w:ascii="宋体" w:hAnsi="宋体" w:cs="宋体"/>
          <w:kern w:val="0"/>
          <w:sz w:val="24"/>
          <w:szCs w:val="22"/>
        </w:rPr>
        <w:t>1、供应商须为在中华人民共和国境内合法注册的独立法人，遵守中国有关法律、法规，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bookmarkStart w:id="6" w:name="_Hlk143856894"/>
    </w:p>
    <w:bookmarkEnd w:id="6"/>
    <w:p w14:paraId="42ED888F">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2、供应商须具有良好的业绩和经验，自2022年1月1日至响应截止日（以合同签订时间为准）实施过与所投内容类似的项目（提供合同复印件等证明文件）。</w:t>
      </w:r>
    </w:p>
    <w:p w14:paraId="7263DBCA">
      <w:pPr>
        <w:spacing w:line="360" w:lineRule="auto"/>
        <w:ind w:firstLine="480" w:firstLineChars="200"/>
        <w:jc w:val="left"/>
        <w:rPr>
          <w:rFonts w:ascii="宋体" w:hAnsi="宋体" w:cs="宋体"/>
          <w:kern w:val="0"/>
          <w:sz w:val="24"/>
          <w:szCs w:val="22"/>
        </w:rPr>
      </w:pPr>
      <w:r>
        <w:rPr>
          <w:rFonts w:hint="eastAsia" w:hAnsi="宋体" w:cs="宋体"/>
          <w:kern w:val="0"/>
          <w:sz w:val="24"/>
          <w:szCs w:val="22"/>
        </w:rPr>
        <w:t>3、供应商须是所投货物（或服务）的制造商或制造商针对本项目的授权代理商；代理商须提供制造商针对本项目的授权函，制造商和授权代理商不得同时参与本项目投标。若为代理商投标，供应商须和所响应货物制造商已经具有合作关系，并具有成功案例（提供相关证明材料并加盖公章）</w:t>
      </w:r>
      <w:r>
        <w:rPr>
          <w:rFonts w:hint="eastAsia" w:ascii="宋体" w:hAnsi="宋体" w:cs="宋体"/>
          <w:kern w:val="0"/>
          <w:sz w:val="24"/>
          <w:szCs w:val="22"/>
        </w:rPr>
        <w:t>。</w:t>
      </w:r>
    </w:p>
    <w:p w14:paraId="4342013F">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4、供应商须提供制造商对其所响应货物直接保修和服务的承诺。</w:t>
      </w:r>
    </w:p>
    <w:p w14:paraId="49448066">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供应商须在江苏地区须具有较大规模的销售和售后服务的组织机构及完善快捷的技术支持能力，拥有固定可靠的有效服务网点，负责质保期内外的服务工作。如无有效服务网点，须承诺在合同签订后30日内建立，并向采购人报备。（提供证明材料并加盖公章）</w:t>
      </w:r>
    </w:p>
    <w:p w14:paraId="4DF499A6">
      <w:pPr>
        <w:spacing w:line="360" w:lineRule="auto"/>
        <w:ind w:firstLine="480" w:firstLineChars="200"/>
        <w:jc w:val="left"/>
        <w:rPr>
          <w:rFonts w:ascii="宋体" w:hAnsi="宋体" w:cs="宋体"/>
          <w:color w:val="auto"/>
          <w:kern w:val="0"/>
          <w:sz w:val="24"/>
          <w:szCs w:val="22"/>
        </w:rPr>
      </w:pPr>
      <w:r>
        <w:rPr>
          <w:rFonts w:hint="eastAsia" w:ascii="宋体" w:hAnsi="宋体" w:cs="宋体"/>
          <w:kern w:val="0"/>
          <w:sz w:val="24"/>
          <w:szCs w:val="22"/>
        </w:rPr>
        <w:t>6、供应商须保证，采购人在其本国使用服务供应商提供的产品和服务时，不存在任何已知的不合法的情形，也不存在任何已知的与第三方专利权、著作权、商标权或工业设计权相关的任何争议。如果有任何因采购人使用供应商提供的产品或服务而提起的侵权指控，供应商（包括制造商）依法承担全部责任。（提供承</w:t>
      </w:r>
      <w:r>
        <w:rPr>
          <w:rFonts w:hint="eastAsia" w:ascii="宋体" w:hAnsi="宋体" w:cs="宋体"/>
          <w:color w:val="auto"/>
          <w:kern w:val="0"/>
          <w:sz w:val="24"/>
          <w:szCs w:val="22"/>
        </w:rPr>
        <w:t>诺函）</w:t>
      </w:r>
    </w:p>
    <w:bookmarkEnd w:id="5"/>
    <w:p w14:paraId="3932D221">
      <w:pPr>
        <w:widowControl/>
        <w:spacing w:line="360" w:lineRule="auto"/>
        <w:ind w:firstLine="482" w:firstLineChars="200"/>
        <w:jc w:val="left"/>
        <w:rPr>
          <w:color w:val="auto"/>
        </w:rPr>
      </w:pPr>
      <w:r>
        <w:rPr>
          <w:rFonts w:hint="eastAsia" w:ascii="宋体" w:hAnsi="宋体" w:cs="宋体"/>
          <w:b/>
          <w:bCs/>
          <w:color w:val="auto"/>
          <w:kern w:val="0"/>
          <w:sz w:val="24"/>
          <w:shd w:val="clear" w:color="auto" w:fill="FFFFFF"/>
        </w:rPr>
        <w:t>四、竞争性谈判文件的获取</w:t>
      </w:r>
    </w:p>
    <w:p w14:paraId="2E8D044B">
      <w:pPr>
        <w:widowControl/>
        <w:spacing w:line="360" w:lineRule="auto"/>
        <w:ind w:firstLine="42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发布及登记时间：</w:t>
      </w:r>
      <w:r>
        <w:rPr>
          <w:rFonts w:ascii="宋体" w:hAnsi="宋体" w:cs="宋体"/>
          <w:color w:val="auto"/>
          <w:kern w:val="0"/>
          <w:sz w:val="24"/>
          <w:shd w:val="clear" w:color="auto" w:fill="FFFFFF"/>
        </w:rPr>
        <w:t>202</w:t>
      </w:r>
      <w:r>
        <w:rPr>
          <w:rFonts w:hint="eastAsia" w:ascii="宋体" w:hAnsi="宋体" w:cs="宋体"/>
          <w:color w:val="auto"/>
          <w:kern w:val="0"/>
          <w:sz w:val="24"/>
          <w:shd w:val="clear" w:color="auto" w:fill="FFFFFF"/>
        </w:rPr>
        <w:t>5</w:t>
      </w:r>
      <w:r>
        <w:rPr>
          <w:rFonts w:ascii="宋体" w:hAnsi="宋体" w:cs="宋体"/>
          <w:color w:val="auto"/>
          <w:kern w:val="0"/>
          <w:sz w:val="24"/>
          <w:shd w:val="clear" w:color="auto" w:fill="FFFFFF"/>
        </w:rPr>
        <w:t>年</w:t>
      </w:r>
      <w:r>
        <w:rPr>
          <w:rFonts w:hint="eastAsia" w:ascii="宋体" w:hAnsi="宋体" w:cs="宋体"/>
          <w:color w:val="auto"/>
          <w:kern w:val="0"/>
          <w:sz w:val="24"/>
          <w:shd w:val="clear" w:color="auto" w:fill="FFFFFF"/>
        </w:rPr>
        <w:t>2月27</w:t>
      </w:r>
      <w:r>
        <w:rPr>
          <w:rFonts w:ascii="宋体" w:hAnsi="宋体" w:cs="宋体"/>
          <w:color w:val="auto"/>
          <w:kern w:val="0"/>
          <w:sz w:val="24"/>
          <w:shd w:val="clear" w:color="auto" w:fill="FFFFFF"/>
        </w:rPr>
        <w:t>日至202</w:t>
      </w:r>
      <w:r>
        <w:rPr>
          <w:rFonts w:hint="eastAsia" w:ascii="宋体" w:hAnsi="宋体" w:cs="宋体"/>
          <w:color w:val="auto"/>
          <w:kern w:val="0"/>
          <w:sz w:val="24"/>
          <w:shd w:val="clear" w:color="auto" w:fill="FFFFFF"/>
        </w:rPr>
        <w:t>5</w:t>
      </w:r>
      <w:r>
        <w:rPr>
          <w:rFonts w:ascii="宋体" w:hAnsi="宋体" w:cs="宋体"/>
          <w:color w:val="auto"/>
          <w:kern w:val="0"/>
          <w:sz w:val="24"/>
          <w:shd w:val="clear" w:color="auto" w:fill="FFFFFF"/>
        </w:rPr>
        <w:t>年</w:t>
      </w:r>
      <w:r>
        <w:rPr>
          <w:rFonts w:hint="eastAsia" w:ascii="宋体" w:hAnsi="宋体" w:cs="宋体"/>
          <w:color w:val="auto"/>
          <w:kern w:val="0"/>
          <w:sz w:val="24"/>
          <w:shd w:val="clear" w:color="auto" w:fill="FFFFFF"/>
        </w:rPr>
        <w:t>3月6</w:t>
      </w:r>
      <w:r>
        <w:rPr>
          <w:rFonts w:ascii="宋体" w:hAnsi="宋体" w:cs="宋体"/>
          <w:color w:val="auto"/>
          <w:kern w:val="0"/>
          <w:sz w:val="24"/>
          <w:shd w:val="clear" w:color="auto" w:fill="FFFFFF"/>
        </w:rPr>
        <w:t>日止，每日上午9：00-12：00，下午14：00-17：00（北京时间）。</w:t>
      </w:r>
    </w:p>
    <w:p w14:paraId="2BF1A280">
      <w:pPr>
        <w:widowControl/>
        <w:spacing w:line="360" w:lineRule="auto"/>
        <w:ind w:firstLine="48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发放方式：竞争性谈判文件在报名后自行下载，请响应供应商联系采购人进行报名登记，具体报名方式为将响应函（详见第六章 竞争性谈判响应文件格式附件1：响应函）加盖公司公章同时发至邮箱caoting@jscnnet.com未在文件发放日内完成登记的不得参与本项目。</w:t>
      </w:r>
    </w:p>
    <w:p w14:paraId="7D3977EA">
      <w:pPr>
        <w:widowControl/>
        <w:spacing w:line="360" w:lineRule="auto"/>
        <w:ind w:firstLine="420"/>
        <w:jc w:val="left"/>
        <w:rPr>
          <w:rFonts w:ascii="宋体" w:hAnsi="宋体" w:cs="宋体"/>
          <w:color w:val="auto"/>
          <w:kern w:val="0"/>
          <w:sz w:val="24"/>
          <w:shd w:val="clear" w:color="auto" w:fill="FFFFFF"/>
        </w:rPr>
      </w:pPr>
      <w:r>
        <w:rPr>
          <w:rFonts w:hint="eastAsia" w:ascii="宋体" w:hAnsi="宋体" w:cs="宋体"/>
          <w:color w:val="auto"/>
          <w:kern w:val="0"/>
          <w:sz w:val="24"/>
          <w:shd w:val="clear" w:color="auto" w:fill="FFFFFF"/>
        </w:rPr>
        <w:t>登记方式：请响应人将该项目负责人姓名、联系电话（手机）、联系信箱发至采购人，超过</w:t>
      </w:r>
      <w:r>
        <w:rPr>
          <w:rFonts w:ascii="宋体" w:hAnsi="宋体" w:cs="宋体"/>
          <w:color w:val="auto"/>
          <w:kern w:val="0"/>
          <w:sz w:val="24"/>
          <w:shd w:val="clear" w:color="auto" w:fill="FFFFFF"/>
        </w:rPr>
        <w:t>202</w:t>
      </w:r>
      <w:r>
        <w:rPr>
          <w:rFonts w:hint="eastAsia" w:ascii="宋体" w:hAnsi="宋体" w:cs="宋体"/>
          <w:color w:val="auto"/>
          <w:kern w:val="0"/>
          <w:sz w:val="24"/>
          <w:shd w:val="clear" w:color="auto" w:fill="FFFFFF"/>
        </w:rPr>
        <w:t>5</w:t>
      </w:r>
      <w:r>
        <w:rPr>
          <w:rFonts w:ascii="宋体" w:hAnsi="宋体" w:cs="宋体"/>
          <w:color w:val="auto"/>
          <w:kern w:val="0"/>
          <w:sz w:val="24"/>
          <w:shd w:val="clear" w:color="auto" w:fill="FFFFFF"/>
        </w:rPr>
        <w:t>年</w:t>
      </w:r>
      <w:r>
        <w:rPr>
          <w:rFonts w:hint="eastAsia" w:ascii="宋体" w:hAnsi="宋体" w:cs="宋体"/>
          <w:color w:val="auto"/>
          <w:kern w:val="0"/>
          <w:sz w:val="24"/>
          <w:shd w:val="clear" w:color="auto" w:fill="FFFFFF"/>
        </w:rPr>
        <w:t>3月6</w:t>
      </w:r>
      <w:r>
        <w:rPr>
          <w:rFonts w:ascii="宋体" w:hAnsi="宋体" w:cs="宋体"/>
          <w:color w:val="auto"/>
          <w:kern w:val="0"/>
          <w:sz w:val="24"/>
          <w:shd w:val="clear" w:color="auto" w:fill="FFFFFF"/>
        </w:rPr>
        <w:t>日下午17:00再登记的视为无效。</w:t>
      </w:r>
    </w:p>
    <w:p w14:paraId="03CFAFCB">
      <w:pPr>
        <w:widowControl/>
        <w:spacing w:line="360" w:lineRule="auto"/>
        <w:ind w:firstLine="480" w:firstLineChars="200"/>
        <w:jc w:val="left"/>
        <w:rPr>
          <w:color w:val="auto"/>
        </w:rPr>
      </w:pPr>
      <w:r>
        <w:rPr>
          <w:rFonts w:hint="eastAsia" w:ascii="宋体" w:hAnsi="宋体" w:cs="宋体"/>
          <w:color w:val="auto"/>
          <w:kern w:val="0"/>
          <w:sz w:val="24"/>
          <w:shd w:val="clear" w:color="auto" w:fill="FFFFFF"/>
        </w:rPr>
        <w:t>项目联系人：邱梅：025-87231597</w:t>
      </w:r>
    </w:p>
    <w:p w14:paraId="6DA1C26F">
      <w:pPr>
        <w:widowControl/>
        <w:spacing w:line="360" w:lineRule="auto"/>
        <w:ind w:firstLine="420"/>
        <w:jc w:val="left"/>
        <w:rPr>
          <w:color w:val="auto"/>
        </w:rPr>
      </w:pPr>
      <w:r>
        <w:rPr>
          <w:rFonts w:hint="eastAsia" w:ascii="宋体" w:hAnsi="宋体" w:cs="宋体"/>
          <w:color w:val="auto"/>
          <w:kern w:val="0"/>
          <w:sz w:val="24"/>
          <w:shd w:val="clear" w:color="auto" w:fill="FFFFFF"/>
        </w:rPr>
        <w:t>递交竞争性谈判响应文件截止时间：</w:t>
      </w:r>
      <w:r>
        <w:rPr>
          <w:rFonts w:ascii="宋体" w:hAnsi="宋体" w:cs="宋体"/>
          <w:color w:val="auto"/>
          <w:kern w:val="0"/>
          <w:sz w:val="24"/>
          <w:shd w:val="clear" w:color="auto" w:fill="FFFFFF"/>
        </w:rPr>
        <w:t>202</w:t>
      </w:r>
      <w:r>
        <w:rPr>
          <w:rFonts w:hint="eastAsia" w:ascii="宋体" w:hAnsi="宋体" w:cs="宋体"/>
          <w:color w:val="auto"/>
          <w:kern w:val="0"/>
          <w:sz w:val="24"/>
          <w:shd w:val="clear" w:color="auto" w:fill="FFFFFF"/>
        </w:rPr>
        <w:t>5年3月11日上午9:30，逾期收到或不按照竞争性谈判文件要求密封的响应文件恕不接受。</w:t>
      </w:r>
    </w:p>
    <w:p w14:paraId="5953F3AE">
      <w:pPr>
        <w:widowControl/>
        <w:spacing w:line="360" w:lineRule="auto"/>
        <w:ind w:firstLine="420"/>
        <w:jc w:val="left"/>
        <w:rPr>
          <w:color w:val="auto"/>
        </w:rPr>
      </w:pPr>
      <w:r>
        <w:rPr>
          <w:rFonts w:hint="eastAsia" w:ascii="宋体" w:hAnsi="宋体" w:cs="宋体"/>
          <w:color w:val="auto"/>
          <w:kern w:val="0"/>
          <w:sz w:val="24"/>
          <w:shd w:val="clear" w:color="auto" w:fill="FFFFFF"/>
        </w:rPr>
        <w:t>递交竞争性谈判响应文件地点：南京市玄武区运粮河西路</w:t>
      </w:r>
      <w:r>
        <w:rPr>
          <w:rFonts w:eastAsia="微软雅黑"/>
          <w:color w:val="auto"/>
          <w:kern w:val="0"/>
          <w:sz w:val="24"/>
          <w:shd w:val="clear" w:color="auto" w:fill="FFFFFF"/>
        </w:rPr>
        <w:t>101</w:t>
      </w:r>
      <w:r>
        <w:rPr>
          <w:rFonts w:hint="eastAsia" w:ascii="宋体" w:hAnsi="宋体" w:cs="宋体"/>
          <w:color w:val="auto"/>
          <w:kern w:val="0"/>
          <w:sz w:val="24"/>
          <w:shd w:val="clear" w:color="auto" w:fill="FFFFFF"/>
        </w:rPr>
        <w:t>号</w:t>
      </w:r>
      <w:r>
        <w:rPr>
          <w:rFonts w:eastAsia="微软雅黑"/>
          <w:color w:val="auto"/>
          <w:kern w:val="0"/>
          <w:sz w:val="24"/>
          <w:shd w:val="clear" w:color="auto" w:fill="FFFFFF"/>
        </w:rPr>
        <w:t>1</w:t>
      </w:r>
      <w:r>
        <w:rPr>
          <w:rFonts w:hint="eastAsia" w:ascii="宋体" w:hAnsi="宋体" w:cs="宋体"/>
          <w:color w:val="auto"/>
          <w:kern w:val="0"/>
          <w:sz w:val="24"/>
          <w:shd w:val="clear" w:color="auto" w:fill="FFFFFF"/>
        </w:rPr>
        <w:t>号楼4楼技术中心。</w:t>
      </w:r>
    </w:p>
    <w:p w14:paraId="6ABA7AEF">
      <w:pPr>
        <w:widowControl/>
        <w:spacing w:line="360" w:lineRule="auto"/>
        <w:ind w:firstLine="420"/>
        <w:jc w:val="left"/>
        <w:rPr>
          <w:color w:val="auto"/>
        </w:rPr>
      </w:pPr>
      <w:r>
        <w:rPr>
          <w:rFonts w:hint="eastAsia" w:ascii="宋体" w:hAnsi="宋体" w:cs="宋体"/>
          <w:color w:val="auto"/>
          <w:kern w:val="0"/>
          <w:sz w:val="24"/>
          <w:shd w:val="clear" w:color="auto" w:fill="FFFFFF"/>
        </w:rPr>
        <w:t>响应文件接收人：曹婷</w:t>
      </w:r>
      <w:r>
        <w:rPr>
          <w:rFonts w:hint="eastAsia" w:ascii="宋体" w:hAnsi="宋体" w:cs="宋体"/>
          <w:color w:val="auto"/>
          <w:kern w:val="0"/>
          <w:sz w:val="24"/>
        </w:rPr>
        <w:t>，电话：025-</w:t>
      </w:r>
      <w:r>
        <w:rPr>
          <w:rFonts w:ascii="宋体" w:hAnsi="宋体" w:cs="宋体"/>
          <w:color w:val="auto"/>
          <w:kern w:val="0"/>
          <w:sz w:val="24"/>
          <w:shd w:val="clear" w:color="auto" w:fill="FFFFFF"/>
        </w:rPr>
        <w:t>872315</w:t>
      </w:r>
      <w:r>
        <w:rPr>
          <w:rFonts w:hint="eastAsia" w:ascii="宋体" w:hAnsi="宋体" w:cs="宋体"/>
          <w:color w:val="auto"/>
          <w:kern w:val="0"/>
          <w:sz w:val="24"/>
          <w:shd w:val="clear" w:color="auto" w:fill="FFFFFF"/>
        </w:rPr>
        <w:t>92</w:t>
      </w:r>
      <w:r>
        <w:rPr>
          <w:rFonts w:ascii="宋体" w:hAnsi="宋体" w:cs="宋体"/>
          <w:color w:val="auto"/>
          <w:kern w:val="0"/>
          <w:sz w:val="24"/>
        </w:rPr>
        <w:t>。</w:t>
      </w:r>
    </w:p>
    <w:p w14:paraId="0712912E">
      <w:pPr>
        <w:widowControl/>
        <w:spacing w:line="360" w:lineRule="auto"/>
        <w:ind w:firstLine="420"/>
        <w:jc w:val="left"/>
        <w:rPr>
          <w:color w:val="auto"/>
        </w:rPr>
      </w:pPr>
      <w:r>
        <w:rPr>
          <w:rFonts w:hint="eastAsia" w:ascii="宋体" w:hAnsi="宋体" w:cs="宋体"/>
          <w:color w:val="auto"/>
          <w:kern w:val="0"/>
          <w:sz w:val="24"/>
          <w:shd w:val="clear" w:color="auto" w:fill="FFFFFF"/>
        </w:rPr>
        <w:t>竞争性谈判时间：</w:t>
      </w:r>
      <w:r>
        <w:rPr>
          <w:rFonts w:ascii="宋体" w:hAnsi="宋体" w:cs="宋体"/>
          <w:color w:val="auto"/>
          <w:kern w:val="0"/>
          <w:sz w:val="24"/>
          <w:shd w:val="clear" w:color="auto" w:fill="FFFFFF"/>
        </w:rPr>
        <w:t>202</w:t>
      </w:r>
      <w:r>
        <w:rPr>
          <w:rFonts w:hint="eastAsia" w:ascii="宋体" w:hAnsi="宋体" w:cs="宋体"/>
          <w:color w:val="auto"/>
          <w:kern w:val="0"/>
          <w:sz w:val="24"/>
          <w:shd w:val="clear" w:color="auto" w:fill="FFFFFF"/>
        </w:rPr>
        <w:t>5年3月11</w:t>
      </w:r>
      <w:r>
        <w:rPr>
          <w:rFonts w:ascii="宋体" w:hAnsi="宋体" w:cs="宋体"/>
          <w:color w:val="auto"/>
          <w:kern w:val="0"/>
          <w:sz w:val="24"/>
          <w:shd w:val="clear" w:color="auto" w:fill="FFFFFF"/>
        </w:rPr>
        <w:t>日</w:t>
      </w:r>
      <w:r>
        <w:rPr>
          <w:rFonts w:hint="eastAsia" w:ascii="宋体" w:hAnsi="宋体" w:cs="宋体"/>
          <w:color w:val="auto"/>
          <w:kern w:val="0"/>
          <w:sz w:val="24"/>
          <w:shd w:val="clear" w:color="auto" w:fill="FFFFFF"/>
        </w:rPr>
        <w:t>上午9:30。</w:t>
      </w:r>
    </w:p>
    <w:p w14:paraId="641DC8CA">
      <w:pPr>
        <w:widowControl/>
        <w:spacing w:line="360" w:lineRule="auto"/>
        <w:ind w:firstLine="420"/>
        <w:jc w:val="left"/>
      </w:pPr>
      <w:r>
        <w:rPr>
          <w:rFonts w:hint="eastAsia" w:ascii="宋体" w:hAnsi="宋体" w:cs="宋体"/>
          <w:color w:val="191919"/>
          <w:kern w:val="0"/>
          <w:sz w:val="24"/>
          <w:shd w:val="clear" w:color="auto" w:fill="FFFFFF"/>
        </w:rPr>
        <w:t>竞争性谈判地点：南京市玄武区运粮河西路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1</w:t>
      </w:r>
      <w:r>
        <w:rPr>
          <w:rFonts w:hint="eastAsia" w:ascii="宋体" w:hAnsi="宋体" w:cs="宋体"/>
          <w:color w:val="191919"/>
          <w:kern w:val="0"/>
          <w:sz w:val="24"/>
          <w:shd w:val="clear" w:color="auto" w:fill="FFFFFF"/>
        </w:rPr>
        <w:t>号楼4楼会议室。</w:t>
      </w:r>
    </w:p>
    <w:p w14:paraId="2C4F3FB1">
      <w:pPr>
        <w:widowControl/>
        <w:spacing w:line="360" w:lineRule="auto"/>
        <w:ind w:firstLine="482" w:firstLineChars="200"/>
        <w:jc w:val="left"/>
      </w:pPr>
      <w:r>
        <w:rPr>
          <w:rFonts w:hint="eastAsia" w:ascii="宋体" w:hAnsi="宋体" w:cs="宋体"/>
          <w:b/>
          <w:bCs/>
          <w:color w:val="191919"/>
          <w:kern w:val="0"/>
          <w:sz w:val="24"/>
          <w:shd w:val="clear" w:color="auto" w:fill="FFFFFF"/>
        </w:rPr>
        <w:t>六、发布公告的媒介</w:t>
      </w:r>
    </w:p>
    <w:p w14:paraId="5858D8F5">
      <w:pPr>
        <w:widowControl/>
        <w:spacing w:line="360" w:lineRule="auto"/>
        <w:ind w:firstLine="420"/>
        <w:jc w:val="left"/>
      </w:pPr>
      <w:r>
        <w:rPr>
          <w:rFonts w:hint="eastAsia" w:ascii="宋体" w:hAnsi="宋体" w:cs="宋体"/>
          <w:color w:val="191919"/>
          <w:kern w:val="0"/>
          <w:sz w:val="24"/>
          <w:shd w:val="clear" w:color="auto" w:fill="FFFFFF"/>
        </w:rPr>
        <w:t>本次采购事宜相关公告同时在江苏省广电有线信息网络股份有限公司官网（www.jscnnet.com）“招标采购”栏目及中国招标投标公共服务平台（http://www.cebpubservice.com/）、中国采购与招标网（https://www.chinabidding.com.cn/）上发布，其他媒介转载无效。</w:t>
      </w:r>
    </w:p>
    <w:p w14:paraId="203E5E92">
      <w:pPr>
        <w:spacing w:line="360" w:lineRule="auto"/>
        <w:ind w:firstLine="482" w:firstLineChars="200"/>
        <w:rPr>
          <w:rFonts w:ascii="宋体" w:hAnsi="宋体" w:cs="宋体"/>
          <w:b/>
          <w:kern w:val="0"/>
          <w:sz w:val="24"/>
        </w:rPr>
      </w:pPr>
      <w:r>
        <w:rPr>
          <w:rFonts w:hint="eastAsia" w:ascii="宋体" w:hAnsi="宋体" w:cs="宋体"/>
          <w:b/>
          <w:kern w:val="0"/>
          <w:sz w:val="24"/>
        </w:rPr>
        <w:t>七、其他说明事项</w:t>
      </w:r>
    </w:p>
    <w:p w14:paraId="1B6D2DE6">
      <w:pPr>
        <w:widowControl/>
        <w:spacing w:line="360" w:lineRule="auto"/>
        <w:ind w:firstLine="480" w:firstLineChars="200"/>
        <w:jc w:val="left"/>
        <w:rPr>
          <w:rFonts w:ascii="宋体" w:hAnsi="宋体"/>
          <w:sz w:val="24"/>
        </w:rPr>
      </w:pPr>
      <w:r>
        <w:rPr>
          <w:rFonts w:hint="eastAsia" w:ascii="宋体" w:cs="宋体"/>
          <w:bCs/>
          <w:sz w:val="24"/>
        </w:rPr>
        <w:t>有关本次谈判的事项若存在变动或修改，敬请及时关注网上发布的信息更正公告</w:t>
      </w:r>
      <w:bookmarkStart w:id="7" w:name="bookmark1"/>
      <w:bookmarkEnd w:id="7"/>
      <w:r>
        <w:rPr>
          <w:rFonts w:hint="eastAsia" w:ascii="宋体" w:cs="宋体"/>
          <w:bCs/>
          <w:sz w:val="24"/>
        </w:rPr>
        <w:t>。</w:t>
      </w:r>
      <w:bookmarkEnd w:id="0"/>
      <w:r>
        <w:rPr>
          <w:rFonts w:ascii="宋体" w:hAnsi="宋体"/>
          <w:sz w:val="24"/>
        </w:rPr>
        <w:br w:type="page"/>
      </w:r>
      <w:bookmarkStart w:id="94" w:name="_GoBack"/>
      <w:bookmarkEnd w:id="94"/>
    </w:p>
    <w:bookmarkEnd w:id="3"/>
    <w:bookmarkEnd w:id="4"/>
    <w:p w14:paraId="63342F92">
      <w:pPr>
        <w:pStyle w:val="3"/>
        <w:numPr>
          <w:ilvl w:val="0"/>
          <w:numId w:val="0"/>
        </w:numPr>
        <w:spacing w:before="0" w:after="0" w:line="360" w:lineRule="auto"/>
        <w:rPr>
          <w:b/>
          <w:sz w:val="36"/>
          <w:szCs w:val="36"/>
        </w:rPr>
      </w:pPr>
      <w:bookmarkStart w:id="8" w:name="_Toc226969276"/>
      <w:bookmarkStart w:id="9" w:name="_Toc227057883"/>
      <w:bookmarkStart w:id="10" w:name="_Toc69378616"/>
      <w:bookmarkStart w:id="11" w:name="_Toc107822483"/>
      <w:r>
        <w:rPr>
          <w:rFonts w:hint="eastAsia"/>
          <w:b/>
          <w:sz w:val="36"/>
          <w:szCs w:val="36"/>
        </w:rPr>
        <w:t>第二章竞争性谈判</w:t>
      </w:r>
      <w:r>
        <w:rPr>
          <w:b/>
          <w:sz w:val="36"/>
          <w:szCs w:val="36"/>
        </w:rPr>
        <w:t>须知</w:t>
      </w:r>
    </w:p>
    <w:p w14:paraId="40096F61">
      <w:pPr>
        <w:jc w:val="center"/>
        <w:rPr>
          <w:sz w:val="28"/>
          <w:szCs w:val="28"/>
        </w:rPr>
      </w:pPr>
      <w:r>
        <w:rPr>
          <w:rFonts w:hint="eastAsia"/>
          <w:sz w:val="28"/>
          <w:szCs w:val="28"/>
        </w:rPr>
        <w:t>供应商须知前附表</w:t>
      </w:r>
    </w:p>
    <w:p w14:paraId="6C615125">
      <w:pPr>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465" w:type="pct"/>
        <w:jc w:val="center"/>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7"/>
        <w:gridCol w:w="916"/>
        <w:gridCol w:w="1349"/>
        <w:gridCol w:w="6308"/>
      </w:tblGrid>
      <w:tr w14:paraId="5014794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atLeast"/>
          <w:tblHeader/>
          <w:jc w:val="center"/>
        </w:trPr>
        <w:tc>
          <w:tcPr>
            <w:tcW w:w="310" w:type="pct"/>
            <w:tcBorders>
              <w:top w:val="single" w:color="auto" w:sz="6" w:space="0"/>
            </w:tcBorders>
            <w:vAlign w:val="center"/>
          </w:tcPr>
          <w:p w14:paraId="6674DBC6">
            <w:pPr>
              <w:spacing w:line="320" w:lineRule="exact"/>
              <w:jc w:val="center"/>
              <w:rPr>
                <w:b/>
                <w:sz w:val="24"/>
              </w:rPr>
            </w:pPr>
            <w:r>
              <w:rPr>
                <w:rFonts w:hint="eastAsia"/>
                <w:b/>
                <w:sz w:val="24"/>
              </w:rPr>
              <w:t>序号</w:t>
            </w:r>
          </w:p>
        </w:tc>
        <w:tc>
          <w:tcPr>
            <w:tcW w:w="501" w:type="pct"/>
            <w:tcBorders>
              <w:top w:val="single" w:color="auto" w:sz="6" w:space="0"/>
            </w:tcBorders>
            <w:vAlign w:val="center"/>
          </w:tcPr>
          <w:p w14:paraId="4F6B3242">
            <w:pPr>
              <w:spacing w:line="320" w:lineRule="exact"/>
              <w:jc w:val="center"/>
              <w:rPr>
                <w:b/>
                <w:sz w:val="24"/>
              </w:rPr>
            </w:pPr>
            <w:r>
              <w:rPr>
                <w:rFonts w:hint="eastAsia"/>
                <w:b/>
                <w:sz w:val="24"/>
              </w:rPr>
              <w:t>条款号</w:t>
            </w:r>
          </w:p>
        </w:tc>
        <w:tc>
          <w:tcPr>
            <w:tcW w:w="738" w:type="pct"/>
            <w:tcBorders>
              <w:top w:val="single" w:color="auto" w:sz="6" w:space="0"/>
            </w:tcBorders>
            <w:vAlign w:val="center"/>
          </w:tcPr>
          <w:p w14:paraId="245EA263">
            <w:pPr>
              <w:spacing w:line="320" w:lineRule="exact"/>
              <w:jc w:val="center"/>
              <w:rPr>
                <w:b/>
                <w:sz w:val="24"/>
              </w:rPr>
            </w:pPr>
            <w:r>
              <w:rPr>
                <w:rFonts w:hint="eastAsia"/>
                <w:b/>
                <w:sz w:val="24"/>
              </w:rPr>
              <w:t>内容</w:t>
            </w:r>
          </w:p>
        </w:tc>
        <w:tc>
          <w:tcPr>
            <w:tcW w:w="3451" w:type="pct"/>
            <w:tcBorders>
              <w:top w:val="single" w:color="auto" w:sz="6" w:space="0"/>
            </w:tcBorders>
            <w:vAlign w:val="center"/>
          </w:tcPr>
          <w:p w14:paraId="02356C83">
            <w:pPr>
              <w:spacing w:line="320" w:lineRule="exact"/>
              <w:jc w:val="center"/>
              <w:rPr>
                <w:b/>
                <w:sz w:val="24"/>
              </w:rPr>
            </w:pPr>
            <w:r>
              <w:rPr>
                <w:rFonts w:hint="eastAsia"/>
                <w:b/>
                <w:sz w:val="24"/>
              </w:rPr>
              <w:t>说明与要求</w:t>
            </w:r>
          </w:p>
        </w:tc>
      </w:tr>
      <w:tr w14:paraId="2A6C83F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7236FF2B">
            <w:pPr>
              <w:spacing w:line="320" w:lineRule="exact"/>
              <w:jc w:val="center"/>
              <w:rPr>
                <w:sz w:val="24"/>
              </w:rPr>
            </w:pPr>
            <w:r>
              <w:rPr>
                <w:sz w:val="24"/>
              </w:rPr>
              <w:t>1</w:t>
            </w:r>
          </w:p>
        </w:tc>
        <w:tc>
          <w:tcPr>
            <w:tcW w:w="501" w:type="pct"/>
            <w:vAlign w:val="center"/>
          </w:tcPr>
          <w:p w14:paraId="521002DC">
            <w:pPr>
              <w:spacing w:line="320" w:lineRule="exact"/>
              <w:jc w:val="center"/>
              <w:rPr>
                <w:sz w:val="24"/>
              </w:rPr>
            </w:pPr>
            <w:r>
              <w:rPr>
                <w:sz w:val="24"/>
              </w:rPr>
              <w:t>1.1</w:t>
            </w:r>
          </w:p>
        </w:tc>
        <w:tc>
          <w:tcPr>
            <w:tcW w:w="738" w:type="pct"/>
            <w:vAlign w:val="center"/>
          </w:tcPr>
          <w:p w14:paraId="1012A1F8">
            <w:pPr>
              <w:spacing w:line="320" w:lineRule="exact"/>
              <w:jc w:val="center"/>
              <w:rPr>
                <w:sz w:val="24"/>
              </w:rPr>
            </w:pPr>
            <w:r>
              <w:rPr>
                <w:rFonts w:hint="eastAsia"/>
                <w:sz w:val="24"/>
              </w:rPr>
              <w:t>采购人</w:t>
            </w:r>
          </w:p>
        </w:tc>
        <w:tc>
          <w:tcPr>
            <w:tcW w:w="3451" w:type="pct"/>
            <w:vAlign w:val="center"/>
          </w:tcPr>
          <w:p w14:paraId="2403E30E">
            <w:pPr>
              <w:spacing w:line="320" w:lineRule="exact"/>
              <w:rPr>
                <w:sz w:val="24"/>
              </w:rPr>
            </w:pPr>
            <w:r>
              <w:rPr>
                <w:rFonts w:hint="eastAsia"/>
                <w:sz w:val="24"/>
              </w:rPr>
              <w:t>江苏省广电有线信息网络股份有限公司，以下简称“采购人”</w:t>
            </w:r>
          </w:p>
        </w:tc>
      </w:tr>
      <w:tr w14:paraId="03C9EDA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5E7D6067">
            <w:pPr>
              <w:spacing w:line="320" w:lineRule="exact"/>
              <w:jc w:val="center"/>
              <w:rPr>
                <w:sz w:val="24"/>
              </w:rPr>
            </w:pPr>
            <w:r>
              <w:rPr>
                <w:sz w:val="24"/>
              </w:rPr>
              <w:t>2</w:t>
            </w:r>
          </w:p>
        </w:tc>
        <w:tc>
          <w:tcPr>
            <w:tcW w:w="501" w:type="pct"/>
            <w:vAlign w:val="center"/>
          </w:tcPr>
          <w:p w14:paraId="22A7B46A">
            <w:pPr>
              <w:spacing w:line="320" w:lineRule="exact"/>
              <w:jc w:val="center"/>
              <w:rPr>
                <w:sz w:val="24"/>
              </w:rPr>
            </w:pPr>
          </w:p>
        </w:tc>
        <w:tc>
          <w:tcPr>
            <w:tcW w:w="738" w:type="pct"/>
            <w:vAlign w:val="center"/>
          </w:tcPr>
          <w:p w14:paraId="2BEA73A3">
            <w:pPr>
              <w:spacing w:line="320" w:lineRule="exact"/>
              <w:jc w:val="center"/>
              <w:rPr>
                <w:sz w:val="24"/>
              </w:rPr>
            </w:pPr>
            <w:r>
              <w:rPr>
                <w:rFonts w:hint="eastAsia"/>
                <w:sz w:val="24"/>
              </w:rPr>
              <w:t>代理机构</w:t>
            </w:r>
          </w:p>
        </w:tc>
        <w:tc>
          <w:tcPr>
            <w:tcW w:w="3451" w:type="pct"/>
            <w:vAlign w:val="center"/>
          </w:tcPr>
          <w:p w14:paraId="67E3E183">
            <w:pPr>
              <w:spacing w:line="320" w:lineRule="exact"/>
              <w:rPr>
                <w:sz w:val="24"/>
              </w:rPr>
            </w:pPr>
            <w:r>
              <w:rPr>
                <w:rFonts w:hint="eastAsia"/>
                <w:sz w:val="24"/>
              </w:rPr>
              <w:t>本项目无代理机构</w:t>
            </w:r>
          </w:p>
        </w:tc>
      </w:tr>
      <w:tr w14:paraId="3B62F00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jc w:val="center"/>
        </w:trPr>
        <w:tc>
          <w:tcPr>
            <w:tcW w:w="310" w:type="pct"/>
            <w:vAlign w:val="center"/>
          </w:tcPr>
          <w:p w14:paraId="599696B9">
            <w:pPr>
              <w:spacing w:line="320" w:lineRule="exact"/>
              <w:jc w:val="center"/>
              <w:rPr>
                <w:sz w:val="24"/>
              </w:rPr>
            </w:pPr>
            <w:r>
              <w:rPr>
                <w:sz w:val="24"/>
              </w:rPr>
              <w:t>3</w:t>
            </w:r>
          </w:p>
        </w:tc>
        <w:tc>
          <w:tcPr>
            <w:tcW w:w="501" w:type="pct"/>
            <w:vAlign w:val="center"/>
          </w:tcPr>
          <w:p w14:paraId="5919E78F">
            <w:pPr>
              <w:spacing w:line="320" w:lineRule="exact"/>
              <w:jc w:val="center"/>
              <w:rPr>
                <w:sz w:val="24"/>
              </w:rPr>
            </w:pPr>
            <w:r>
              <w:rPr>
                <w:sz w:val="24"/>
              </w:rPr>
              <w:t>1.2</w:t>
            </w:r>
          </w:p>
        </w:tc>
        <w:tc>
          <w:tcPr>
            <w:tcW w:w="738" w:type="pct"/>
            <w:vAlign w:val="center"/>
          </w:tcPr>
          <w:p w14:paraId="4341A413">
            <w:pPr>
              <w:spacing w:line="320" w:lineRule="exact"/>
              <w:jc w:val="center"/>
              <w:rPr>
                <w:sz w:val="24"/>
              </w:rPr>
            </w:pPr>
            <w:r>
              <w:rPr>
                <w:rFonts w:hint="eastAsia"/>
                <w:sz w:val="24"/>
              </w:rPr>
              <w:t>合格的供应商</w:t>
            </w:r>
          </w:p>
        </w:tc>
        <w:tc>
          <w:tcPr>
            <w:tcW w:w="3451" w:type="pct"/>
            <w:vAlign w:val="center"/>
          </w:tcPr>
          <w:p w14:paraId="788EE3AF">
            <w:pPr>
              <w:spacing w:line="320" w:lineRule="exact"/>
              <w:rPr>
                <w:sz w:val="24"/>
              </w:rPr>
            </w:pPr>
            <w:r>
              <w:rPr>
                <w:rFonts w:hint="eastAsia"/>
                <w:sz w:val="24"/>
              </w:rPr>
              <w:t>见竞争性谈判文件第一章《竞争性谈判公告》</w:t>
            </w:r>
          </w:p>
        </w:tc>
      </w:tr>
      <w:tr w14:paraId="3D9A0AB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1991EAE7">
            <w:pPr>
              <w:spacing w:line="320" w:lineRule="exact"/>
              <w:jc w:val="center"/>
              <w:rPr>
                <w:sz w:val="24"/>
              </w:rPr>
            </w:pPr>
            <w:r>
              <w:rPr>
                <w:sz w:val="24"/>
              </w:rPr>
              <w:t>4</w:t>
            </w:r>
          </w:p>
        </w:tc>
        <w:tc>
          <w:tcPr>
            <w:tcW w:w="501" w:type="pct"/>
            <w:vAlign w:val="center"/>
          </w:tcPr>
          <w:p w14:paraId="7BAE3503">
            <w:pPr>
              <w:spacing w:line="320" w:lineRule="exact"/>
              <w:jc w:val="center"/>
              <w:rPr>
                <w:sz w:val="24"/>
              </w:rPr>
            </w:pPr>
            <w:r>
              <w:rPr>
                <w:sz w:val="24"/>
              </w:rPr>
              <w:t>20.1</w:t>
            </w:r>
          </w:p>
        </w:tc>
        <w:tc>
          <w:tcPr>
            <w:tcW w:w="738" w:type="pct"/>
            <w:vAlign w:val="center"/>
          </w:tcPr>
          <w:p w14:paraId="06B8ECA4">
            <w:pPr>
              <w:spacing w:line="320" w:lineRule="exact"/>
              <w:jc w:val="center"/>
              <w:rPr>
                <w:sz w:val="24"/>
              </w:rPr>
            </w:pPr>
            <w:r>
              <w:rPr>
                <w:rFonts w:hint="eastAsia"/>
                <w:sz w:val="24"/>
              </w:rPr>
              <w:t>保密</w:t>
            </w:r>
          </w:p>
        </w:tc>
        <w:tc>
          <w:tcPr>
            <w:tcW w:w="3451" w:type="pct"/>
            <w:vAlign w:val="center"/>
          </w:tcPr>
          <w:p w14:paraId="4534F641">
            <w:pPr>
              <w:spacing w:line="320" w:lineRule="exact"/>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14:paraId="5AF4921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03072724">
            <w:pPr>
              <w:spacing w:line="320" w:lineRule="exact"/>
              <w:jc w:val="center"/>
              <w:rPr>
                <w:sz w:val="24"/>
              </w:rPr>
            </w:pPr>
            <w:r>
              <w:rPr>
                <w:sz w:val="24"/>
              </w:rPr>
              <w:t>5</w:t>
            </w:r>
          </w:p>
        </w:tc>
        <w:tc>
          <w:tcPr>
            <w:tcW w:w="501" w:type="pct"/>
            <w:vAlign w:val="center"/>
          </w:tcPr>
          <w:p w14:paraId="1DE3103E">
            <w:pPr>
              <w:spacing w:line="320" w:lineRule="exact"/>
              <w:jc w:val="center"/>
              <w:rPr>
                <w:sz w:val="24"/>
              </w:rPr>
            </w:pPr>
            <w:r>
              <w:rPr>
                <w:sz w:val="24"/>
              </w:rPr>
              <w:t>7.1</w:t>
            </w:r>
          </w:p>
          <w:p w14:paraId="14B54C78">
            <w:pPr>
              <w:spacing w:line="320" w:lineRule="exact"/>
              <w:jc w:val="center"/>
              <w:rPr>
                <w:sz w:val="24"/>
              </w:rPr>
            </w:pPr>
            <w:r>
              <w:rPr>
                <w:rFonts w:hint="eastAsia"/>
                <w:sz w:val="24"/>
              </w:rPr>
              <w:t>2）</w:t>
            </w:r>
          </w:p>
        </w:tc>
        <w:tc>
          <w:tcPr>
            <w:tcW w:w="738" w:type="pct"/>
            <w:vAlign w:val="center"/>
          </w:tcPr>
          <w:p w14:paraId="0B2F0135">
            <w:pPr>
              <w:spacing w:line="320" w:lineRule="exact"/>
              <w:jc w:val="center"/>
              <w:rPr>
                <w:sz w:val="24"/>
              </w:rPr>
            </w:pPr>
            <w:r>
              <w:rPr>
                <w:rFonts w:hint="eastAsia" w:ascii="宋体" w:hAnsi="宋体"/>
                <w:sz w:val="24"/>
              </w:rPr>
              <w:t>资格证明文件</w:t>
            </w:r>
          </w:p>
        </w:tc>
        <w:tc>
          <w:tcPr>
            <w:tcW w:w="3451" w:type="pct"/>
            <w:vAlign w:val="center"/>
          </w:tcPr>
          <w:p w14:paraId="7E34A6FA">
            <w:pPr>
              <w:spacing w:line="320" w:lineRule="exact"/>
              <w:rPr>
                <w:sz w:val="24"/>
              </w:rPr>
            </w:pPr>
            <w:r>
              <w:rPr>
                <w:rFonts w:hint="eastAsia"/>
                <w:sz w:val="24"/>
              </w:rPr>
              <w:t>见竞争性谈判文件第一章《竞争性谈判公告》</w:t>
            </w:r>
          </w:p>
        </w:tc>
      </w:tr>
      <w:tr w14:paraId="1360BEF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6FBC572D">
            <w:pPr>
              <w:spacing w:line="320" w:lineRule="exact"/>
              <w:jc w:val="center"/>
              <w:rPr>
                <w:sz w:val="24"/>
              </w:rPr>
            </w:pPr>
            <w:r>
              <w:rPr>
                <w:sz w:val="24"/>
              </w:rPr>
              <w:t>6</w:t>
            </w:r>
          </w:p>
        </w:tc>
        <w:tc>
          <w:tcPr>
            <w:tcW w:w="501" w:type="pct"/>
            <w:vAlign w:val="center"/>
          </w:tcPr>
          <w:p w14:paraId="26A5754D">
            <w:pPr>
              <w:spacing w:line="320" w:lineRule="exact"/>
              <w:jc w:val="center"/>
              <w:rPr>
                <w:sz w:val="24"/>
              </w:rPr>
            </w:pPr>
            <w:r>
              <w:rPr>
                <w:sz w:val="24"/>
              </w:rPr>
              <w:t>7.1</w:t>
            </w:r>
          </w:p>
          <w:p w14:paraId="545CA5AF">
            <w:pPr>
              <w:spacing w:line="320" w:lineRule="exact"/>
              <w:jc w:val="center"/>
              <w:rPr>
                <w:sz w:val="24"/>
              </w:rPr>
            </w:pPr>
            <w:r>
              <w:rPr>
                <w:rFonts w:hint="eastAsia"/>
                <w:sz w:val="24"/>
              </w:rPr>
              <w:t>3）</w:t>
            </w:r>
          </w:p>
        </w:tc>
        <w:tc>
          <w:tcPr>
            <w:tcW w:w="738" w:type="pct"/>
            <w:vAlign w:val="center"/>
          </w:tcPr>
          <w:p w14:paraId="5F63573C">
            <w:pPr>
              <w:spacing w:line="320" w:lineRule="exact"/>
              <w:jc w:val="center"/>
              <w:rPr>
                <w:sz w:val="24"/>
              </w:rPr>
            </w:pPr>
            <w:r>
              <w:rPr>
                <w:rFonts w:hint="eastAsia"/>
                <w:sz w:val="24"/>
              </w:rPr>
              <w:t>响应文件的技术部分中必须包括的内容</w:t>
            </w:r>
          </w:p>
        </w:tc>
        <w:tc>
          <w:tcPr>
            <w:tcW w:w="3451" w:type="pct"/>
          </w:tcPr>
          <w:p w14:paraId="633B7458">
            <w:pPr>
              <w:spacing w:line="320" w:lineRule="exact"/>
              <w:rPr>
                <w:sz w:val="24"/>
              </w:rPr>
            </w:pPr>
            <w:r>
              <w:rPr>
                <w:rFonts w:hint="eastAsia"/>
                <w:sz w:val="24"/>
              </w:rPr>
              <w:t>对第五章《技术需求书》的逐项应答，逐项应答必须按照服务偏离表格式，对照竞争性谈判文件需求，依据供应商本身服务，如实逐条说明所提供产品及</w:t>
            </w:r>
            <w:r>
              <w:rPr>
                <w:sz w:val="24"/>
              </w:rPr>
              <w:t>/</w:t>
            </w:r>
            <w:r>
              <w:rPr>
                <w:rFonts w:hint="eastAsia"/>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12250FE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52CC3DFB">
            <w:pPr>
              <w:spacing w:line="320" w:lineRule="exact"/>
              <w:jc w:val="center"/>
              <w:rPr>
                <w:sz w:val="24"/>
              </w:rPr>
            </w:pPr>
            <w:r>
              <w:rPr>
                <w:sz w:val="24"/>
              </w:rPr>
              <w:t>7</w:t>
            </w:r>
          </w:p>
        </w:tc>
        <w:tc>
          <w:tcPr>
            <w:tcW w:w="501" w:type="pct"/>
            <w:vAlign w:val="center"/>
          </w:tcPr>
          <w:p w14:paraId="411FA3C7">
            <w:pPr>
              <w:spacing w:line="320" w:lineRule="exact"/>
              <w:jc w:val="center"/>
              <w:rPr>
                <w:sz w:val="24"/>
              </w:rPr>
            </w:pPr>
            <w:r>
              <w:rPr>
                <w:sz w:val="24"/>
              </w:rPr>
              <w:t>7.1</w:t>
            </w:r>
          </w:p>
          <w:p w14:paraId="659A1857">
            <w:pPr>
              <w:spacing w:line="320" w:lineRule="exact"/>
              <w:jc w:val="center"/>
              <w:rPr>
                <w:sz w:val="24"/>
              </w:rPr>
            </w:pPr>
            <w:r>
              <w:rPr>
                <w:rFonts w:hint="eastAsia"/>
                <w:sz w:val="24"/>
              </w:rPr>
              <w:t>6）</w:t>
            </w:r>
          </w:p>
        </w:tc>
        <w:tc>
          <w:tcPr>
            <w:tcW w:w="738" w:type="pct"/>
            <w:vAlign w:val="center"/>
          </w:tcPr>
          <w:p w14:paraId="3FADE3AC">
            <w:pPr>
              <w:spacing w:line="320" w:lineRule="exact"/>
              <w:jc w:val="center"/>
              <w:rPr>
                <w:sz w:val="24"/>
              </w:rPr>
            </w:pPr>
            <w:r>
              <w:rPr>
                <w:rFonts w:hint="eastAsia"/>
                <w:sz w:val="24"/>
              </w:rPr>
              <w:t>合同文本的提供</w:t>
            </w:r>
          </w:p>
        </w:tc>
        <w:tc>
          <w:tcPr>
            <w:tcW w:w="3451" w:type="pct"/>
            <w:vAlign w:val="center"/>
          </w:tcPr>
          <w:p w14:paraId="399204E5">
            <w:pPr>
              <w:spacing w:line="320" w:lineRule="exact"/>
              <w:rPr>
                <w:sz w:val="24"/>
              </w:rPr>
            </w:pPr>
            <w:r>
              <w:rPr>
                <w:rFonts w:hint="eastAsia"/>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4C29EB3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61A6781">
            <w:pPr>
              <w:spacing w:line="320" w:lineRule="exact"/>
              <w:jc w:val="center"/>
              <w:rPr>
                <w:sz w:val="24"/>
              </w:rPr>
            </w:pPr>
            <w:r>
              <w:rPr>
                <w:sz w:val="24"/>
              </w:rPr>
              <w:t>8</w:t>
            </w:r>
          </w:p>
        </w:tc>
        <w:tc>
          <w:tcPr>
            <w:tcW w:w="501" w:type="pct"/>
            <w:vAlign w:val="center"/>
          </w:tcPr>
          <w:p w14:paraId="446A5F16">
            <w:pPr>
              <w:spacing w:line="320" w:lineRule="exact"/>
              <w:jc w:val="center"/>
              <w:rPr>
                <w:sz w:val="24"/>
              </w:rPr>
            </w:pPr>
            <w:r>
              <w:rPr>
                <w:sz w:val="24"/>
              </w:rPr>
              <w:t>8.1</w:t>
            </w:r>
          </w:p>
        </w:tc>
        <w:tc>
          <w:tcPr>
            <w:tcW w:w="738" w:type="pct"/>
            <w:vAlign w:val="center"/>
          </w:tcPr>
          <w:p w14:paraId="20F8A37D">
            <w:pPr>
              <w:spacing w:line="320" w:lineRule="exact"/>
              <w:jc w:val="center"/>
              <w:rPr>
                <w:sz w:val="24"/>
              </w:rPr>
            </w:pPr>
            <w:r>
              <w:rPr>
                <w:rFonts w:hint="eastAsia"/>
                <w:sz w:val="24"/>
              </w:rPr>
              <w:t>响应文件的式样和签署</w:t>
            </w:r>
          </w:p>
        </w:tc>
        <w:tc>
          <w:tcPr>
            <w:tcW w:w="3451" w:type="pct"/>
            <w:vAlign w:val="center"/>
          </w:tcPr>
          <w:p w14:paraId="48BCCA39">
            <w:pPr>
              <w:spacing w:line="320" w:lineRule="exact"/>
              <w:rPr>
                <w:sz w:val="24"/>
              </w:rPr>
            </w:pPr>
            <w:r>
              <w:rPr>
                <w:rFonts w:hint="eastAsia"/>
                <w:sz w:val="24"/>
              </w:rPr>
              <w:t>响应文件一式3份（</w:t>
            </w:r>
            <w:r>
              <w:rPr>
                <w:sz w:val="24"/>
              </w:rPr>
              <w:t>1</w:t>
            </w:r>
            <w:r>
              <w:rPr>
                <w:rFonts w:hint="eastAsia"/>
                <w:sz w:val="24"/>
              </w:rPr>
              <w:t>份正本、2份副本），电子版本一份（电子版文件内容必须可搜索，U盘形式）。</w:t>
            </w:r>
          </w:p>
          <w:p w14:paraId="4C5B00AC">
            <w:pPr>
              <w:pStyle w:val="7"/>
              <w:spacing w:line="320" w:lineRule="exact"/>
              <w:rPr>
                <w:sz w:val="24"/>
                <w:szCs w:val="24"/>
              </w:rPr>
            </w:pPr>
            <w:r>
              <w:rPr>
                <w:rFonts w:hint="eastAsia"/>
                <w:sz w:val="24"/>
                <w:szCs w:val="24"/>
              </w:rPr>
              <w:t>响应文件采用软面胶装，并编制目录及逐页编码。特别地，供应商须对第三章《评审办法》中的评分要求逐项说明在响应文件中装订页码，并将该页装订在响应文件的首页。</w:t>
            </w:r>
          </w:p>
        </w:tc>
      </w:tr>
      <w:tr w14:paraId="0F99E97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1409E57">
            <w:pPr>
              <w:spacing w:line="320" w:lineRule="exact"/>
              <w:jc w:val="center"/>
              <w:rPr>
                <w:sz w:val="24"/>
              </w:rPr>
            </w:pPr>
            <w:r>
              <w:rPr>
                <w:sz w:val="24"/>
              </w:rPr>
              <w:t>9</w:t>
            </w:r>
          </w:p>
        </w:tc>
        <w:tc>
          <w:tcPr>
            <w:tcW w:w="501" w:type="pct"/>
            <w:vAlign w:val="center"/>
          </w:tcPr>
          <w:p w14:paraId="17B8ED75">
            <w:pPr>
              <w:spacing w:line="320" w:lineRule="exact"/>
              <w:jc w:val="center"/>
              <w:rPr>
                <w:sz w:val="24"/>
              </w:rPr>
            </w:pPr>
            <w:r>
              <w:rPr>
                <w:sz w:val="24"/>
              </w:rPr>
              <w:t>9.1</w:t>
            </w:r>
          </w:p>
        </w:tc>
        <w:tc>
          <w:tcPr>
            <w:tcW w:w="738" w:type="pct"/>
            <w:vAlign w:val="center"/>
          </w:tcPr>
          <w:p w14:paraId="1C829B8B">
            <w:pPr>
              <w:spacing w:line="320" w:lineRule="exact"/>
              <w:jc w:val="center"/>
              <w:rPr>
                <w:sz w:val="24"/>
              </w:rPr>
            </w:pPr>
            <w:r>
              <w:rPr>
                <w:rFonts w:hint="eastAsia"/>
                <w:sz w:val="24"/>
              </w:rPr>
              <w:t>报价</w:t>
            </w:r>
          </w:p>
        </w:tc>
        <w:tc>
          <w:tcPr>
            <w:tcW w:w="3451" w:type="pct"/>
            <w:vAlign w:val="center"/>
          </w:tcPr>
          <w:p w14:paraId="43BE52FF">
            <w:pPr>
              <w:spacing w:line="320" w:lineRule="exact"/>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55890C38">
            <w:pPr>
              <w:spacing w:line="320" w:lineRule="exact"/>
              <w:rPr>
                <w:sz w:val="24"/>
              </w:rPr>
            </w:pPr>
            <w:r>
              <w:rPr>
                <w:rFonts w:hint="eastAsia"/>
                <w:sz w:val="24"/>
              </w:rPr>
              <w:t>供应商必须保证所提供的服务能够完全满足采购人的项目建设需求，并充分考虑到采购人的售后服务需求。</w:t>
            </w:r>
          </w:p>
        </w:tc>
      </w:tr>
      <w:tr w14:paraId="7C22A8C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3FFA84EC">
            <w:pPr>
              <w:spacing w:line="320" w:lineRule="exact"/>
              <w:jc w:val="center"/>
              <w:rPr>
                <w:sz w:val="24"/>
              </w:rPr>
            </w:pPr>
            <w:r>
              <w:rPr>
                <w:sz w:val="24"/>
              </w:rPr>
              <w:t>10</w:t>
            </w:r>
          </w:p>
        </w:tc>
        <w:tc>
          <w:tcPr>
            <w:tcW w:w="501" w:type="pct"/>
            <w:vAlign w:val="center"/>
          </w:tcPr>
          <w:p w14:paraId="4EC52D8C">
            <w:pPr>
              <w:spacing w:line="320" w:lineRule="exact"/>
              <w:jc w:val="center"/>
              <w:rPr>
                <w:sz w:val="24"/>
              </w:rPr>
            </w:pPr>
          </w:p>
        </w:tc>
        <w:tc>
          <w:tcPr>
            <w:tcW w:w="738" w:type="pct"/>
            <w:vAlign w:val="center"/>
          </w:tcPr>
          <w:p w14:paraId="250E5865">
            <w:pPr>
              <w:spacing w:line="320" w:lineRule="exact"/>
              <w:jc w:val="center"/>
              <w:rPr>
                <w:sz w:val="24"/>
              </w:rPr>
            </w:pPr>
            <w:r>
              <w:rPr>
                <w:rFonts w:hint="eastAsia"/>
                <w:sz w:val="24"/>
              </w:rPr>
              <w:t>响应文件的盖章或签字</w:t>
            </w:r>
          </w:p>
        </w:tc>
        <w:tc>
          <w:tcPr>
            <w:tcW w:w="3451" w:type="pct"/>
            <w:vAlign w:val="center"/>
          </w:tcPr>
          <w:p w14:paraId="097472D0">
            <w:pPr>
              <w:spacing w:line="320" w:lineRule="exact"/>
              <w:rPr>
                <w:sz w:val="24"/>
              </w:rPr>
            </w:pPr>
            <w:r>
              <w:rPr>
                <w:rFonts w:hint="eastAsia"/>
                <w:sz w:val="24"/>
              </w:rPr>
              <w:t>本条款增加规定：</w:t>
            </w:r>
          </w:p>
          <w:p w14:paraId="6E2D015B">
            <w:pPr>
              <w:spacing w:line="320" w:lineRule="exact"/>
              <w:rPr>
                <w:sz w:val="24"/>
              </w:rPr>
            </w:pPr>
            <w:r>
              <w:rPr>
                <w:rFonts w:hint="eastAsia"/>
                <w:sz w:val="24"/>
              </w:rPr>
              <w:t>1、竞争性谈判文件第六章“响应文件格式”中有单位名称和法定代表人或其委托代理人签字落款的响应文件必须加盖单位公章。</w:t>
            </w:r>
          </w:p>
          <w:p w14:paraId="16E45C32">
            <w:pPr>
              <w:spacing w:line="320" w:lineRule="exact"/>
              <w:rPr>
                <w:sz w:val="24"/>
              </w:rPr>
            </w:pPr>
            <w:r>
              <w:rPr>
                <w:rFonts w:hint="eastAsia"/>
                <w:sz w:val="24"/>
              </w:rPr>
              <w:t>2、除上述文件以外的其他响应文件组成部分必须加盖骑缝章（骑缝章必须覆盖所有响应文件），或由法定代表人或其委托代理人逐页手签。</w:t>
            </w:r>
          </w:p>
          <w:p w14:paraId="64016657">
            <w:pPr>
              <w:spacing w:line="320" w:lineRule="exact"/>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14:paraId="3726250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05740B8C">
            <w:pPr>
              <w:spacing w:line="320" w:lineRule="exact"/>
              <w:jc w:val="center"/>
              <w:rPr>
                <w:sz w:val="24"/>
              </w:rPr>
            </w:pPr>
            <w:r>
              <w:rPr>
                <w:sz w:val="24"/>
              </w:rPr>
              <w:t>11</w:t>
            </w:r>
          </w:p>
        </w:tc>
        <w:tc>
          <w:tcPr>
            <w:tcW w:w="501" w:type="pct"/>
            <w:vAlign w:val="center"/>
          </w:tcPr>
          <w:p w14:paraId="7630F690">
            <w:pPr>
              <w:spacing w:line="320" w:lineRule="exact"/>
              <w:jc w:val="center"/>
              <w:rPr>
                <w:sz w:val="24"/>
                <w:szCs w:val="32"/>
              </w:rPr>
            </w:pPr>
            <w:r>
              <w:rPr>
                <w:sz w:val="24"/>
                <w:szCs w:val="32"/>
              </w:rPr>
              <w:t>11.1</w:t>
            </w:r>
          </w:p>
        </w:tc>
        <w:tc>
          <w:tcPr>
            <w:tcW w:w="738" w:type="pct"/>
            <w:vAlign w:val="center"/>
          </w:tcPr>
          <w:p w14:paraId="514E4653">
            <w:pPr>
              <w:spacing w:line="320" w:lineRule="exact"/>
              <w:jc w:val="center"/>
              <w:rPr>
                <w:sz w:val="24"/>
              </w:rPr>
            </w:pPr>
            <w:r>
              <w:rPr>
                <w:rFonts w:hint="eastAsia"/>
                <w:sz w:val="24"/>
              </w:rPr>
              <w:t>响应有效期</w:t>
            </w:r>
          </w:p>
        </w:tc>
        <w:tc>
          <w:tcPr>
            <w:tcW w:w="3451" w:type="pct"/>
            <w:vAlign w:val="center"/>
          </w:tcPr>
          <w:p w14:paraId="14BDCFED">
            <w:pPr>
              <w:spacing w:line="320" w:lineRule="exact"/>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14:paraId="274854E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jc w:val="center"/>
        </w:trPr>
        <w:tc>
          <w:tcPr>
            <w:tcW w:w="310" w:type="pct"/>
            <w:vAlign w:val="center"/>
          </w:tcPr>
          <w:p w14:paraId="450AA896">
            <w:pPr>
              <w:spacing w:line="320" w:lineRule="exact"/>
              <w:jc w:val="center"/>
              <w:rPr>
                <w:sz w:val="24"/>
              </w:rPr>
            </w:pPr>
            <w:r>
              <w:rPr>
                <w:sz w:val="24"/>
              </w:rPr>
              <w:t>12</w:t>
            </w:r>
          </w:p>
        </w:tc>
        <w:tc>
          <w:tcPr>
            <w:tcW w:w="501" w:type="pct"/>
            <w:vAlign w:val="center"/>
          </w:tcPr>
          <w:p w14:paraId="46D6C3F4">
            <w:pPr>
              <w:spacing w:line="320" w:lineRule="exact"/>
              <w:jc w:val="center"/>
              <w:rPr>
                <w:sz w:val="24"/>
                <w:szCs w:val="32"/>
              </w:rPr>
            </w:pPr>
            <w:r>
              <w:rPr>
                <w:sz w:val="24"/>
                <w:szCs w:val="32"/>
              </w:rPr>
              <w:t>13.1</w:t>
            </w:r>
          </w:p>
        </w:tc>
        <w:tc>
          <w:tcPr>
            <w:tcW w:w="738" w:type="pct"/>
            <w:vAlign w:val="center"/>
          </w:tcPr>
          <w:p w14:paraId="05569138">
            <w:pPr>
              <w:spacing w:line="320" w:lineRule="exact"/>
              <w:jc w:val="center"/>
              <w:rPr>
                <w:sz w:val="24"/>
              </w:rPr>
            </w:pPr>
            <w:r>
              <w:rPr>
                <w:rFonts w:hint="eastAsia"/>
                <w:sz w:val="24"/>
              </w:rPr>
              <w:t>递交响应文件截止时间</w:t>
            </w:r>
          </w:p>
        </w:tc>
        <w:tc>
          <w:tcPr>
            <w:tcW w:w="3451" w:type="pct"/>
            <w:vAlign w:val="center"/>
          </w:tcPr>
          <w:p w14:paraId="7B89C393">
            <w:pPr>
              <w:spacing w:line="320" w:lineRule="exact"/>
              <w:rPr>
                <w:sz w:val="24"/>
              </w:rPr>
            </w:pPr>
            <w:r>
              <w:rPr>
                <w:rFonts w:hint="eastAsia"/>
                <w:sz w:val="24"/>
              </w:rPr>
              <w:t>见竞争性谈判文件第一章《竞争性谈判公告》</w:t>
            </w:r>
          </w:p>
        </w:tc>
      </w:tr>
      <w:tr w14:paraId="7D0CA21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jc w:val="center"/>
        </w:trPr>
        <w:tc>
          <w:tcPr>
            <w:tcW w:w="310" w:type="pct"/>
            <w:vAlign w:val="center"/>
          </w:tcPr>
          <w:p w14:paraId="6B34D8F8">
            <w:pPr>
              <w:spacing w:line="320" w:lineRule="exact"/>
              <w:jc w:val="center"/>
              <w:rPr>
                <w:sz w:val="24"/>
              </w:rPr>
            </w:pPr>
            <w:r>
              <w:rPr>
                <w:sz w:val="24"/>
              </w:rPr>
              <w:t>13</w:t>
            </w:r>
          </w:p>
        </w:tc>
        <w:tc>
          <w:tcPr>
            <w:tcW w:w="501" w:type="pct"/>
            <w:vAlign w:val="center"/>
          </w:tcPr>
          <w:p w14:paraId="30622DD5">
            <w:pPr>
              <w:spacing w:line="320" w:lineRule="exact"/>
              <w:jc w:val="center"/>
              <w:rPr>
                <w:sz w:val="24"/>
                <w:szCs w:val="32"/>
              </w:rPr>
            </w:pPr>
            <w:r>
              <w:rPr>
                <w:sz w:val="24"/>
                <w:szCs w:val="32"/>
              </w:rPr>
              <w:t>1</w:t>
            </w:r>
            <w:r>
              <w:rPr>
                <w:rFonts w:hint="eastAsia"/>
                <w:sz w:val="24"/>
                <w:szCs w:val="32"/>
              </w:rPr>
              <w:t>3</w:t>
            </w:r>
            <w:r>
              <w:rPr>
                <w:sz w:val="24"/>
                <w:szCs w:val="32"/>
              </w:rPr>
              <w:t>.1</w:t>
            </w:r>
          </w:p>
        </w:tc>
        <w:tc>
          <w:tcPr>
            <w:tcW w:w="738" w:type="pct"/>
            <w:vAlign w:val="center"/>
          </w:tcPr>
          <w:p w14:paraId="36F9D795">
            <w:pPr>
              <w:spacing w:line="320" w:lineRule="exact"/>
              <w:jc w:val="center"/>
              <w:rPr>
                <w:sz w:val="24"/>
              </w:rPr>
            </w:pPr>
            <w:r>
              <w:rPr>
                <w:rFonts w:hint="eastAsia"/>
                <w:sz w:val="24"/>
              </w:rPr>
              <w:t>递交响应文件地点</w:t>
            </w:r>
          </w:p>
        </w:tc>
        <w:tc>
          <w:tcPr>
            <w:tcW w:w="3451" w:type="pct"/>
            <w:vAlign w:val="center"/>
          </w:tcPr>
          <w:p w14:paraId="5428B732">
            <w:pPr>
              <w:spacing w:line="320" w:lineRule="exact"/>
              <w:rPr>
                <w:sz w:val="24"/>
              </w:rPr>
            </w:pPr>
            <w:r>
              <w:rPr>
                <w:rFonts w:hint="eastAsia"/>
                <w:sz w:val="24"/>
              </w:rPr>
              <w:t>见竞争性谈判文件第一章《竞争性谈判公告》</w:t>
            </w:r>
          </w:p>
        </w:tc>
      </w:tr>
      <w:tr w14:paraId="37315B7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14:paraId="1C16CFC2">
            <w:pPr>
              <w:spacing w:line="320" w:lineRule="exact"/>
              <w:jc w:val="center"/>
              <w:rPr>
                <w:sz w:val="24"/>
              </w:rPr>
            </w:pPr>
            <w:r>
              <w:rPr>
                <w:sz w:val="24"/>
              </w:rPr>
              <w:t>14</w:t>
            </w:r>
          </w:p>
        </w:tc>
        <w:tc>
          <w:tcPr>
            <w:tcW w:w="501" w:type="pct"/>
            <w:vAlign w:val="center"/>
          </w:tcPr>
          <w:p w14:paraId="2DF5C87A">
            <w:pPr>
              <w:spacing w:line="320" w:lineRule="exact"/>
              <w:jc w:val="center"/>
              <w:rPr>
                <w:sz w:val="24"/>
                <w:szCs w:val="32"/>
              </w:rPr>
            </w:pPr>
            <w:r>
              <w:rPr>
                <w:sz w:val="24"/>
                <w:szCs w:val="32"/>
              </w:rPr>
              <w:t>1</w:t>
            </w:r>
            <w:r>
              <w:rPr>
                <w:rFonts w:hint="eastAsia"/>
                <w:sz w:val="24"/>
                <w:szCs w:val="32"/>
              </w:rPr>
              <w:t>8</w:t>
            </w:r>
            <w:r>
              <w:rPr>
                <w:sz w:val="24"/>
                <w:szCs w:val="32"/>
              </w:rPr>
              <w:t>.</w:t>
            </w:r>
            <w:r>
              <w:rPr>
                <w:rFonts w:hint="eastAsia"/>
                <w:sz w:val="24"/>
                <w:szCs w:val="32"/>
              </w:rPr>
              <w:t>5</w:t>
            </w:r>
          </w:p>
        </w:tc>
        <w:tc>
          <w:tcPr>
            <w:tcW w:w="738" w:type="pct"/>
            <w:vAlign w:val="center"/>
          </w:tcPr>
          <w:p w14:paraId="6DB17050">
            <w:pPr>
              <w:spacing w:line="320" w:lineRule="exact"/>
              <w:jc w:val="center"/>
              <w:rPr>
                <w:sz w:val="24"/>
              </w:rPr>
            </w:pPr>
            <w:r>
              <w:rPr>
                <w:rFonts w:hint="eastAsia"/>
                <w:sz w:val="24"/>
              </w:rPr>
              <w:t>如发现下列情况之一的，其响应文件将可能被拒绝</w:t>
            </w:r>
          </w:p>
        </w:tc>
        <w:tc>
          <w:tcPr>
            <w:tcW w:w="3451" w:type="pct"/>
            <w:vAlign w:val="center"/>
          </w:tcPr>
          <w:p w14:paraId="2A2D7857">
            <w:pPr>
              <w:spacing w:line="320" w:lineRule="exact"/>
              <w:rPr>
                <w:sz w:val="24"/>
              </w:rPr>
            </w:pPr>
            <w:r>
              <w:rPr>
                <w:sz w:val="24"/>
              </w:rPr>
              <w:t>1</w:t>
            </w:r>
            <w:r>
              <w:rPr>
                <w:rFonts w:hint="eastAsia"/>
                <w:sz w:val="24"/>
              </w:rPr>
              <w:t>、不满足竞争性谈判文件对合格供应商的基本资质要求的；</w:t>
            </w:r>
          </w:p>
          <w:p w14:paraId="5ED43570">
            <w:pPr>
              <w:spacing w:line="320" w:lineRule="exact"/>
              <w:rPr>
                <w:sz w:val="24"/>
              </w:rPr>
            </w:pPr>
            <w:r>
              <w:rPr>
                <w:rFonts w:hint="eastAsia"/>
                <w:sz w:val="24"/>
              </w:rPr>
              <w:t>2、供应商在响应文件中提供的服务内容及质量不能实质性满足竞争性谈判文件要求或不能提供实质性满足证明的；</w:t>
            </w:r>
          </w:p>
          <w:p w14:paraId="31A2CDE7">
            <w:pPr>
              <w:spacing w:line="320" w:lineRule="exact"/>
              <w:rPr>
                <w:sz w:val="24"/>
              </w:rPr>
            </w:pPr>
            <w:r>
              <w:rPr>
                <w:rFonts w:hint="eastAsia"/>
                <w:sz w:val="24"/>
              </w:rPr>
              <w:t>3、供应商</w:t>
            </w:r>
            <w:r>
              <w:rPr>
                <w:sz w:val="24"/>
              </w:rPr>
              <w:t>在</w:t>
            </w:r>
            <w:r>
              <w:rPr>
                <w:rFonts w:hint="eastAsia"/>
                <w:sz w:val="24"/>
              </w:rPr>
              <w:t>响应</w:t>
            </w:r>
            <w:r>
              <w:rPr>
                <w:sz w:val="24"/>
              </w:rPr>
              <w:t>文件中提供的</w:t>
            </w:r>
            <w:r>
              <w:rPr>
                <w:rFonts w:hint="eastAsia"/>
                <w:sz w:val="24"/>
              </w:rPr>
              <w:t>产品及/或</w:t>
            </w:r>
            <w:r>
              <w:rPr>
                <w:sz w:val="24"/>
              </w:rPr>
              <w:t>服务存在关键条款（“</w:t>
            </w:r>
            <w:r>
              <w:rPr>
                <w:rFonts w:ascii="Segoe UI Symbol" w:hAnsi="Segoe UI Symbol" w:cs="Segoe UI Symbol"/>
                <w:sz w:val="24"/>
              </w:rPr>
              <w:t>★</w:t>
            </w:r>
            <w:r>
              <w:rPr>
                <w:sz w:val="24"/>
              </w:rPr>
              <w:t>”号条款）</w:t>
            </w:r>
            <w:r>
              <w:rPr>
                <w:rFonts w:hint="eastAsia"/>
                <w:sz w:val="24"/>
              </w:rPr>
              <w:t>或5条及以上非关键条款</w:t>
            </w:r>
            <w:r>
              <w:rPr>
                <w:sz w:val="24"/>
              </w:rPr>
              <w:t>不能实质性满足</w:t>
            </w:r>
            <w:r>
              <w:rPr>
                <w:rFonts w:hint="eastAsia"/>
                <w:sz w:val="24"/>
              </w:rPr>
              <w:t>采购</w:t>
            </w:r>
            <w:r>
              <w:rPr>
                <w:sz w:val="24"/>
              </w:rPr>
              <w:t>文件要求或不能提供实质性满足证明的</w:t>
            </w:r>
            <w:r>
              <w:rPr>
                <w:rFonts w:hint="eastAsia"/>
                <w:sz w:val="24"/>
              </w:rPr>
              <w:t>；</w:t>
            </w:r>
          </w:p>
          <w:p w14:paraId="37E89F1F">
            <w:pPr>
              <w:spacing w:line="320" w:lineRule="exact"/>
              <w:rPr>
                <w:sz w:val="24"/>
              </w:rPr>
            </w:pPr>
            <w:r>
              <w:rPr>
                <w:sz w:val="24"/>
              </w:rPr>
              <w:t>4</w:t>
            </w:r>
            <w:r>
              <w:rPr>
                <w:rFonts w:hint="eastAsia"/>
                <w:sz w:val="24"/>
              </w:rPr>
              <w:t>、供应商在响应文件中对于第四章《合同格式》有任何负偏离的；</w:t>
            </w:r>
          </w:p>
          <w:p w14:paraId="18F81578">
            <w:pPr>
              <w:spacing w:line="320" w:lineRule="exact"/>
              <w:rPr>
                <w:sz w:val="24"/>
              </w:rPr>
            </w:pPr>
            <w:r>
              <w:rPr>
                <w:sz w:val="24"/>
              </w:rPr>
              <w:t>5</w:t>
            </w:r>
            <w:r>
              <w:rPr>
                <w:rFonts w:hint="eastAsia"/>
                <w:sz w:val="24"/>
              </w:rPr>
              <w:t>、响应函、法人代表授权书不按照第六章《附件》的格式提供的；</w:t>
            </w:r>
          </w:p>
          <w:p w14:paraId="48B9056E">
            <w:pPr>
              <w:spacing w:line="320" w:lineRule="exact"/>
              <w:rPr>
                <w:sz w:val="24"/>
              </w:rPr>
            </w:pPr>
            <w:r>
              <w:rPr>
                <w:sz w:val="24"/>
              </w:rPr>
              <w:t>6</w:t>
            </w:r>
            <w:r>
              <w:rPr>
                <w:rFonts w:hint="eastAsia"/>
                <w:sz w:val="24"/>
              </w:rPr>
              <w:t>、资格证明文件不全、失效或不符合竞争性谈判文件要求的；</w:t>
            </w:r>
          </w:p>
          <w:p w14:paraId="35622ACE">
            <w:pPr>
              <w:spacing w:line="320" w:lineRule="exact"/>
              <w:rPr>
                <w:sz w:val="24"/>
              </w:rPr>
            </w:pPr>
            <w:r>
              <w:rPr>
                <w:sz w:val="24"/>
              </w:rPr>
              <w:t>7</w:t>
            </w:r>
            <w:r>
              <w:rPr>
                <w:rFonts w:hint="eastAsia"/>
                <w:sz w:val="24"/>
              </w:rPr>
              <w:t>、响应文件无法定代表人签字，或签字人无法定代表人有效授权的；</w:t>
            </w:r>
          </w:p>
          <w:p w14:paraId="233E20B7">
            <w:pPr>
              <w:spacing w:line="320" w:lineRule="exact"/>
              <w:rPr>
                <w:sz w:val="24"/>
              </w:rPr>
            </w:pPr>
            <w:r>
              <w:rPr>
                <w:sz w:val="24"/>
              </w:rPr>
              <w:t>8</w:t>
            </w:r>
            <w:r>
              <w:rPr>
                <w:rFonts w:hint="eastAsia"/>
                <w:sz w:val="24"/>
              </w:rPr>
              <w:t>、响应文件或响应有效期不足的；</w:t>
            </w:r>
          </w:p>
          <w:p w14:paraId="5792D18E">
            <w:pPr>
              <w:spacing w:line="320" w:lineRule="exact"/>
              <w:rPr>
                <w:sz w:val="24"/>
              </w:rPr>
            </w:pPr>
            <w:r>
              <w:rPr>
                <w:sz w:val="24"/>
              </w:rPr>
              <w:t>9</w:t>
            </w:r>
            <w:r>
              <w:rPr>
                <w:rFonts w:hint="eastAsia"/>
                <w:sz w:val="24"/>
              </w:rPr>
              <w:t>、响应文件中提供虚假或失实资料的；</w:t>
            </w:r>
          </w:p>
          <w:p w14:paraId="45BA88BE">
            <w:pPr>
              <w:spacing w:line="320" w:lineRule="exact"/>
              <w:rPr>
                <w:sz w:val="24"/>
              </w:rPr>
            </w:pPr>
            <w:r>
              <w:rPr>
                <w:sz w:val="24"/>
              </w:rPr>
              <w:t>10</w:t>
            </w:r>
            <w:r>
              <w:rPr>
                <w:rFonts w:hint="eastAsia"/>
                <w:sz w:val="24"/>
              </w:rPr>
              <w:t>、未按照竞争性谈判文件规定的方式领取竞争性谈判文件并按要求递交响应文件的；</w:t>
            </w:r>
          </w:p>
          <w:p w14:paraId="0A3476D7">
            <w:pPr>
              <w:spacing w:line="320" w:lineRule="exact"/>
              <w:rPr>
                <w:sz w:val="24"/>
              </w:rPr>
            </w:pPr>
            <w:r>
              <w:rPr>
                <w:sz w:val="24"/>
              </w:rPr>
              <w:t>11</w:t>
            </w:r>
            <w:r>
              <w:rPr>
                <w:rFonts w:hint="eastAsia"/>
                <w:sz w:val="24"/>
              </w:rPr>
              <w:t>、评审委员会认为不能实质上满足竞争性谈判文件其它要求的。</w:t>
            </w:r>
          </w:p>
        </w:tc>
      </w:tr>
      <w:tr w14:paraId="664E391B">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jc w:val="center"/>
        </w:trPr>
        <w:tc>
          <w:tcPr>
            <w:tcW w:w="310" w:type="pct"/>
            <w:vAlign w:val="center"/>
          </w:tcPr>
          <w:p w14:paraId="5E1DA91D">
            <w:pPr>
              <w:spacing w:line="320" w:lineRule="exact"/>
              <w:jc w:val="center"/>
              <w:rPr>
                <w:sz w:val="24"/>
              </w:rPr>
            </w:pPr>
            <w:r>
              <w:rPr>
                <w:sz w:val="24"/>
              </w:rPr>
              <w:t>15</w:t>
            </w:r>
          </w:p>
        </w:tc>
        <w:tc>
          <w:tcPr>
            <w:tcW w:w="501" w:type="pct"/>
            <w:vAlign w:val="center"/>
          </w:tcPr>
          <w:p w14:paraId="0706AC6F">
            <w:pPr>
              <w:spacing w:line="320" w:lineRule="exact"/>
              <w:jc w:val="center"/>
              <w:rPr>
                <w:sz w:val="24"/>
                <w:szCs w:val="32"/>
              </w:rPr>
            </w:pPr>
            <w:r>
              <w:rPr>
                <w:rFonts w:hint="eastAsia"/>
                <w:sz w:val="24"/>
                <w:szCs w:val="32"/>
              </w:rPr>
              <w:t>20</w:t>
            </w:r>
          </w:p>
        </w:tc>
        <w:tc>
          <w:tcPr>
            <w:tcW w:w="738" w:type="pct"/>
            <w:vAlign w:val="center"/>
          </w:tcPr>
          <w:p w14:paraId="61BFB1AC">
            <w:pPr>
              <w:spacing w:line="320" w:lineRule="exact"/>
              <w:jc w:val="center"/>
              <w:rPr>
                <w:sz w:val="24"/>
              </w:rPr>
            </w:pPr>
            <w:r>
              <w:rPr>
                <w:rFonts w:hint="eastAsia"/>
                <w:sz w:val="24"/>
              </w:rPr>
              <w:t>评审</w:t>
            </w:r>
          </w:p>
        </w:tc>
        <w:tc>
          <w:tcPr>
            <w:tcW w:w="3451" w:type="pct"/>
            <w:vAlign w:val="center"/>
          </w:tcPr>
          <w:p w14:paraId="6D1BBA3E">
            <w:pPr>
              <w:spacing w:line="320" w:lineRule="exact"/>
              <w:rPr>
                <w:sz w:val="24"/>
              </w:rPr>
            </w:pPr>
            <w:r>
              <w:rPr>
                <w:sz w:val="24"/>
              </w:rPr>
              <w:t>1</w:t>
            </w:r>
            <w:r>
              <w:rPr>
                <w:rFonts w:hint="eastAsia"/>
                <w:sz w:val="24"/>
              </w:rPr>
              <w:t>、供应商的法定代表人或其授权代理应按采购人规定的时间到指定的地点，与评审委员会进行谈判并对评审委员会提出的问题作出澄清和答复；</w:t>
            </w:r>
          </w:p>
          <w:p w14:paraId="2F8FF737">
            <w:pPr>
              <w:spacing w:line="320" w:lineRule="exact"/>
              <w:rPr>
                <w:sz w:val="24"/>
              </w:rPr>
            </w:pPr>
            <w:r>
              <w:rPr>
                <w:rFonts w:hint="eastAsia"/>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02376111">
            <w:pPr>
              <w:spacing w:line="320" w:lineRule="exact"/>
              <w:rPr>
                <w:sz w:val="24"/>
              </w:rPr>
            </w:pPr>
            <w:r>
              <w:rPr>
                <w:rFonts w:hint="eastAsia"/>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5B302E02">
            <w:pPr>
              <w:spacing w:line="320" w:lineRule="exact"/>
              <w:rPr>
                <w:sz w:val="24"/>
              </w:rPr>
            </w:pPr>
            <w:r>
              <w:rPr>
                <w:rFonts w:hint="eastAsia"/>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2AA42415">
            <w:pPr>
              <w:spacing w:line="320" w:lineRule="exact"/>
              <w:rPr>
                <w:sz w:val="24"/>
              </w:rPr>
            </w:pPr>
            <w:r>
              <w:rPr>
                <w:sz w:val="24"/>
              </w:rPr>
              <w:t>5</w:t>
            </w:r>
            <w:r>
              <w:rPr>
                <w:rFonts w:hint="eastAsia"/>
                <w:sz w:val="24"/>
              </w:rPr>
              <w:t>、评审委员会就服务、合同内容和供应商报价进行谈判，谈判后将根据综合评估结果，对供应商按综合得分从高到低排序。</w:t>
            </w:r>
          </w:p>
        </w:tc>
      </w:tr>
      <w:tr w14:paraId="43261501">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jc w:val="center"/>
        </w:trPr>
        <w:tc>
          <w:tcPr>
            <w:tcW w:w="310" w:type="pct"/>
            <w:vAlign w:val="center"/>
          </w:tcPr>
          <w:p w14:paraId="1B804D96">
            <w:pPr>
              <w:spacing w:line="320" w:lineRule="exact"/>
              <w:jc w:val="center"/>
              <w:rPr>
                <w:sz w:val="24"/>
              </w:rPr>
            </w:pPr>
            <w:r>
              <w:rPr>
                <w:sz w:val="24"/>
              </w:rPr>
              <w:t>16</w:t>
            </w:r>
          </w:p>
        </w:tc>
        <w:tc>
          <w:tcPr>
            <w:tcW w:w="501" w:type="pct"/>
            <w:vAlign w:val="center"/>
          </w:tcPr>
          <w:p w14:paraId="5D778EEE">
            <w:pPr>
              <w:spacing w:line="320" w:lineRule="exact"/>
              <w:jc w:val="center"/>
              <w:rPr>
                <w:sz w:val="24"/>
                <w:szCs w:val="32"/>
              </w:rPr>
            </w:pPr>
            <w:r>
              <w:rPr>
                <w:rFonts w:hint="eastAsia"/>
                <w:sz w:val="24"/>
                <w:szCs w:val="32"/>
              </w:rPr>
              <w:t>22.1</w:t>
            </w:r>
          </w:p>
        </w:tc>
        <w:tc>
          <w:tcPr>
            <w:tcW w:w="738" w:type="pct"/>
            <w:vAlign w:val="center"/>
          </w:tcPr>
          <w:p w14:paraId="117B2B08">
            <w:pPr>
              <w:spacing w:line="320" w:lineRule="exact"/>
              <w:jc w:val="center"/>
              <w:rPr>
                <w:sz w:val="24"/>
              </w:rPr>
            </w:pPr>
            <w:r>
              <w:rPr>
                <w:rFonts w:hint="eastAsia"/>
                <w:sz w:val="24"/>
              </w:rPr>
              <w:t>成交</w:t>
            </w:r>
          </w:p>
          <w:p w14:paraId="103755A9">
            <w:pPr>
              <w:spacing w:line="320" w:lineRule="exact"/>
              <w:jc w:val="center"/>
              <w:rPr>
                <w:sz w:val="24"/>
              </w:rPr>
            </w:pPr>
            <w:r>
              <w:rPr>
                <w:rFonts w:hint="eastAsia"/>
                <w:sz w:val="24"/>
              </w:rPr>
              <w:t>供应商数量</w:t>
            </w:r>
          </w:p>
        </w:tc>
        <w:tc>
          <w:tcPr>
            <w:tcW w:w="3451" w:type="pct"/>
            <w:vAlign w:val="center"/>
          </w:tcPr>
          <w:p w14:paraId="5392BABD">
            <w:pPr>
              <w:spacing w:line="320" w:lineRule="exact"/>
              <w:rPr>
                <w:sz w:val="24"/>
              </w:rPr>
            </w:pPr>
            <w:r>
              <w:rPr>
                <w:rFonts w:hint="eastAsia"/>
                <w:sz w:val="24"/>
              </w:rPr>
              <w:t>1名成交供应商。</w:t>
            </w:r>
          </w:p>
        </w:tc>
      </w:tr>
      <w:tr w14:paraId="088EAE3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jc w:val="center"/>
        </w:trPr>
        <w:tc>
          <w:tcPr>
            <w:tcW w:w="310" w:type="pct"/>
            <w:vAlign w:val="center"/>
          </w:tcPr>
          <w:p w14:paraId="122E20D2">
            <w:pPr>
              <w:spacing w:line="320" w:lineRule="exact"/>
              <w:jc w:val="center"/>
              <w:rPr>
                <w:sz w:val="24"/>
              </w:rPr>
            </w:pPr>
            <w:r>
              <w:rPr>
                <w:sz w:val="24"/>
              </w:rPr>
              <w:t>17</w:t>
            </w:r>
          </w:p>
        </w:tc>
        <w:tc>
          <w:tcPr>
            <w:tcW w:w="501" w:type="pct"/>
            <w:vAlign w:val="center"/>
          </w:tcPr>
          <w:p w14:paraId="64C55A2C">
            <w:pPr>
              <w:spacing w:line="320" w:lineRule="exact"/>
              <w:jc w:val="center"/>
              <w:rPr>
                <w:sz w:val="24"/>
                <w:szCs w:val="32"/>
              </w:rPr>
            </w:pPr>
            <w:r>
              <w:rPr>
                <w:rFonts w:hint="eastAsia"/>
                <w:sz w:val="24"/>
                <w:szCs w:val="32"/>
              </w:rPr>
              <w:t>24</w:t>
            </w:r>
          </w:p>
        </w:tc>
        <w:tc>
          <w:tcPr>
            <w:tcW w:w="738" w:type="pct"/>
            <w:vAlign w:val="center"/>
          </w:tcPr>
          <w:p w14:paraId="49F8E5A5">
            <w:pPr>
              <w:spacing w:line="320" w:lineRule="exact"/>
              <w:jc w:val="center"/>
              <w:rPr>
                <w:sz w:val="24"/>
              </w:rPr>
            </w:pPr>
            <w:r>
              <w:rPr>
                <w:rFonts w:hint="eastAsia"/>
                <w:sz w:val="24"/>
              </w:rPr>
              <w:t>签约</w:t>
            </w:r>
          </w:p>
        </w:tc>
        <w:tc>
          <w:tcPr>
            <w:tcW w:w="3451" w:type="pct"/>
            <w:vAlign w:val="center"/>
          </w:tcPr>
          <w:p w14:paraId="2CD00CB9">
            <w:pPr>
              <w:spacing w:line="320" w:lineRule="exact"/>
              <w:rPr>
                <w:sz w:val="24"/>
              </w:rPr>
            </w:pPr>
            <w:r>
              <w:rPr>
                <w:rFonts w:hint="eastAsia"/>
                <w:sz w:val="24"/>
              </w:rPr>
              <w:t>采购人与本次成交供应商按本竞争性谈判文件第四章合同格式签订合同。</w:t>
            </w:r>
          </w:p>
        </w:tc>
      </w:tr>
    </w:tbl>
    <w:p w14:paraId="3048F67A">
      <w:pPr>
        <w:ind w:firstLine="484" w:firstLineChars="202"/>
        <w:rPr>
          <w:sz w:val="24"/>
        </w:rPr>
      </w:pPr>
    </w:p>
    <w:p w14:paraId="2081D4BD">
      <w:pPr>
        <w:widowControl/>
        <w:jc w:val="left"/>
        <w:rPr>
          <w:sz w:val="24"/>
        </w:rPr>
      </w:pPr>
      <w:r>
        <w:rPr>
          <w:sz w:val="24"/>
        </w:rPr>
        <w:br w:type="page"/>
      </w:r>
    </w:p>
    <w:p w14:paraId="62234789">
      <w:pPr>
        <w:jc w:val="center"/>
        <w:rPr>
          <w:rFonts w:ascii="宋体" w:hAnsi="宋体"/>
          <w:b/>
          <w:sz w:val="32"/>
          <w:szCs w:val="32"/>
        </w:rPr>
      </w:pPr>
      <w:r>
        <w:rPr>
          <w:rFonts w:hint="eastAsia" w:ascii="宋体" w:hAnsi="宋体"/>
          <w:b/>
          <w:sz w:val="32"/>
          <w:szCs w:val="32"/>
        </w:rPr>
        <w:t>供应商须知</w:t>
      </w:r>
    </w:p>
    <w:p w14:paraId="0E8341A1">
      <w:pPr>
        <w:spacing w:line="360" w:lineRule="auto"/>
        <w:rPr>
          <w:rFonts w:ascii="宋体" w:hAnsi="宋体"/>
          <w:b/>
          <w:sz w:val="28"/>
          <w:szCs w:val="28"/>
        </w:rPr>
      </w:pPr>
      <w:r>
        <w:rPr>
          <w:rFonts w:hint="eastAsia" w:ascii="宋体" w:hAnsi="宋体"/>
          <w:b/>
          <w:sz w:val="28"/>
          <w:szCs w:val="28"/>
        </w:rPr>
        <w:t>一、说明</w:t>
      </w:r>
    </w:p>
    <w:p w14:paraId="7ED41905">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14:paraId="3B223594">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14:paraId="15D6F514">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14:paraId="44A17D6A">
      <w:pPr>
        <w:spacing w:line="360" w:lineRule="auto"/>
        <w:rPr>
          <w:rFonts w:ascii="宋体" w:hAnsi="宋体"/>
          <w:sz w:val="24"/>
        </w:rPr>
      </w:pPr>
      <w:r>
        <w:rPr>
          <w:rFonts w:ascii="宋体" w:hAnsi="宋体"/>
          <w:sz w:val="24"/>
        </w:rPr>
        <w:t>2.</w:t>
      </w:r>
      <w:r>
        <w:rPr>
          <w:rFonts w:hint="eastAsia" w:ascii="宋体" w:hAnsi="宋体"/>
          <w:sz w:val="24"/>
        </w:rPr>
        <w:t>费用</w:t>
      </w:r>
    </w:p>
    <w:p w14:paraId="12132FEF">
      <w:pPr>
        <w:spacing w:line="360" w:lineRule="auto"/>
        <w:rPr>
          <w:rFonts w:ascii="宋体" w:hAnsi="宋体"/>
          <w:sz w:val="24"/>
        </w:rPr>
      </w:pPr>
      <w:r>
        <w:rPr>
          <w:rFonts w:ascii="宋体" w:hAnsi="宋体"/>
          <w:sz w:val="24"/>
        </w:rPr>
        <w:t>2.1</w:t>
      </w:r>
      <w:r>
        <w:rPr>
          <w:rFonts w:hint="eastAsia" w:ascii="宋体" w:hAnsi="宋体"/>
          <w:sz w:val="24"/>
        </w:rPr>
        <w:t>供应商应承担所有与准备和参加竞争有关的费用。不论结果如何，采购人均无义务和责任承担这些费用。</w:t>
      </w:r>
    </w:p>
    <w:p w14:paraId="71AAB45A">
      <w:pPr>
        <w:spacing w:line="360" w:lineRule="auto"/>
        <w:rPr>
          <w:rFonts w:ascii="宋体" w:hAnsi="宋体"/>
          <w:sz w:val="28"/>
          <w:szCs w:val="28"/>
        </w:rPr>
      </w:pPr>
      <w:r>
        <w:rPr>
          <w:rFonts w:hint="eastAsia" w:ascii="宋体" w:hAnsi="宋体"/>
          <w:b/>
          <w:sz w:val="28"/>
          <w:szCs w:val="28"/>
        </w:rPr>
        <w:t>二、竞争性谈判文件</w:t>
      </w:r>
    </w:p>
    <w:p w14:paraId="5CD2CB61">
      <w:pPr>
        <w:spacing w:line="360" w:lineRule="auto"/>
        <w:rPr>
          <w:rFonts w:ascii="宋体" w:hAnsi="宋体"/>
          <w:sz w:val="24"/>
        </w:rPr>
      </w:pPr>
      <w:r>
        <w:rPr>
          <w:rFonts w:ascii="宋体" w:hAnsi="宋体"/>
          <w:sz w:val="24"/>
        </w:rPr>
        <w:t>3.</w:t>
      </w:r>
      <w:r>
        <w:rPr>
          <w:rFonts w:hint="eastAsia" w:ascii="宋体" w:hAnsi="宋体"/>
          <w:sz w:val="24"/>
        </w:rPr>
        <w:t>竞争性谈判文件构成</w:t>
      </w:r>
    </w:p>
    <w:p w14:paraId="38D26F4D">
      <w:pPr>
        <w:spacing w:line="360" w:lineRule="auto"/>
        <w:rPr>
          <w:rFonts w:ascii="宋体" w:hAnsi="宋体"/>
          <w:sz w:val="24"/>
        </w:rPr>
      </w:pPr>
      <w:r>
        <w:rPr>
          <w:rFonts w:ascii="宋体" w:hAnsi="宋体"/>
          <w:sz w:val="24"/>
        </w:rPr>
        <w:t xml:space="preserve">3.1 </w:t>
      </w:r>
      <w:r>
        <w:rPr>
          <w:rFonts w:hint="eastAsia" w:ascii="宋体" w:hAnsi="宋体"/>
          <w:sz w:val="24"/>
        </w:rPr>
        <w:t>竞争性谈判文件共六章，内容如下：</w:t>
      </w:r>
    </w:p>
    <w:p w14:paraId="035FFFD2">
      <w:pPr>
        <w:spacing w:line="360" w:lineRule="auto"/>
        <w:rPr>
          <w:rFonts w:ascii="宋体" w:hAnsi="宋体"/>
          <w:sz w:val="24"/>
        </w:rPr>
      </w:pPr>
      <w:r>
        <w:rPr>
          <w:rFonts w:hint="eastAsia" w:ascii="宋体" w:hAnsi="宋体"/>
          <w:sz w:val="24"/>
        </w:rPr>
        <w:t>第一章竞争性谈判</w:t>
      </w:r>
      <w:r>
        <w:rPr>
          <w:rFonts w:ascii="宋体" w:hAnsi="宋体"/>
          <w:sz w:val="24"/>
        </w:rPr>
        <w:t>公告</w:t>
      </w:r>
    </w:p>
    <w:p w14:paraId="063EB107">
      <w:pPr>
        <w:spacing w:line="360" w:lineRule="auto"/>
        <w:rPr>
          <w:rFonts w:ascii="宋体" w:hAnsi="宋体"/>
          <w:sz w:val="24"/>
        </w:rPr>
      </w:pPr>
      <w:r>
        <w:rPr>
          <w:rFonts w:hint="eastAsia" w:ascii="宋体" w:hAnsi="宋体"/>
          <w:sz w:val="24"/>
        </w:rPr>
        <w:t>第二章竞争性谈判须知</w:t>
      </w:r>
    </w:p>
    <w:p w14:paraId="490CF39E">
      <w:pPr>
        <w:spacing w:line="360" w:lineRule="auto"/>
        <w:rPr>
          <w:rFonts w:ascii="宋体" w:hAnsi="宋体"/>
          <w:sz w:val="24"/>
        </w:rPr>
      </w:pPr>
      <w:r>
        <w:rPr>
          <w:rFonts w:hint="eastAsia" w:ascii="宋体" w:hAnsi="宋体"/>
          <w:sz w:val="24"/>
        </w:rPr>
        <w:t>第三章评审办法</w:t>
      </w:r>
    </w:p>
    <w:p w14:paraId="413CFC79">
      <w:pPr>
        <w:spacing w:line="360" w:lineRule="auto"/>
        <w:rPr>
          <w:rFonts w:ascii="宋体" w:hAnsi="宋体"/>
          <w:sz w:val="24"/>
        </w:rPr>
      </w:pPr>
      <w:r>
        <w:rPr>
          <w:rFonts w:hint="eastAsia" w:ascii="宋体" w:hAnsi="宋体"/>
          <w:sz w:val="24"/>
        </w:rPr>
        <w:t>第四章合同格式</w:t>
      </w:r>
    </w:p>
    <w:p w14:paraId="73F909CA">
      <w:pPr>
        <w:spacing w:line="360" w:lineRule="auto"/>
        <w:rPr>
          <w:rFonts w:ascii="宋体" w:hAnsi="宋体"/>
          <w:sz w:val="24"/>
        </w:rPr>
      </w:pPr>
      <w:r>
        <w:rPr>
          <w:rFonts w:hint="eastAsia" w:ascii="宋体" w:hAnsi="宋体"/>
          <w:sz w:val="24"/>
        </w:rPr>
        <w:t>第五章技术需求书</w:t>
      </w:r>
    </w:p>
    <w:p w14:paraId="35089E40">
      <w:pPr>
        <w:spacing w:line="360" w:lineRule="auto"/>
        <w:rPr>
          <w:rFonts w:ascii="宋体" w:hAnsi="宋体"/>
          <w:sz w:val="24"/>
        </w:rPr>
      </w:pPr>
      <w:r>
        <w:rPr>
          <w:rFonts w:hint="eastAsia" w:ascii="宋体" w:hAnsi="宋体"/>
          <w:sz w:val="24"/>
        </w:rPr>
        <w:t>第六章竞争性谈判响应文件格式</w:t>
      </w:r>
    </w:p>
    <w:p w14:paraId="0C843390">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365590F8">
      <w:pPr>
        <w:spacing w:line="360" w:lineRule="auto"/>
        <w:rPr>
          <w:rFonts w:ascii="宋体" w:hAnsi="宋体"/>
          <w:sz w:val="24"/>
        </w:rPr>
      </w:pPr>
      <w:r>
        <w:rPr>
          <w:rFonts w:ascii="宋体" w:hAnsi="宋体"/>
          <w:sz w:val="24"/>
        </w:rPr>
        <w:t>4.</w:t>
      </w:r>
      <w:r>
        <w:rPr>
          <w:rFonts w:hint="eastAsia" w:ascii="宋体" w:hAnsi="宋体"/>
          <w:sz w:val="24"/>
        </w:rPr>
        <w:t>竞争性谈判文件的澄清</w:t>
      </w:r>
    </w:p>
    <w:p w14:paraId="5AC005FB">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任何要求对竞争性谈判文件进行澄清的供应商，均应按规定的递交响应文件截止期五（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14:paraId="229E1239">
      <w:pPr>
        <w:spacing w:line="360" w:lineRule="auto"/>
        <w:rPr>
          <w:rFonts w:ascii="宋体" w:hAnsi="宋体"/>
          <w:sz w:val="24"/>
        </w:rPr>
      </w:pPr>
      <w:r>
        <w:rPr>
          <w:rFonts w:ascii="宋体" w:hAnsi="宋体"/>
          <w:sz w:val="24"/>
        </w:rPr>
        <w:t>5.</w:t>
      </w:r>
      <w:r>
        <w:rPr>
          <w:rFonts w:hint="eastAsia" w:ascii="宋体" w:hAnsi="宋体"/>
          <w:sz w:val="24"/>
        </w:rPr>
        <w:t>竞争性谈判文件的修改</w:t>
      </w:r>
    </w:p>
    <w:p w14:paraId="402EEEA8">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为使供应商准备响应文件时有充分时间对竞争性谈判文件的修改部分进行研究，采购人可自行决定是否延长递交响应文件截止时间。</w:t>
      </w:r>
    </w:p>
    <w:p w14:paraId="55496FE5">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）天以前的任何时候，无论出于何种原因，采购人可主动地或在解答供应商提出的澄清问题时对竞争性谈判文件进行修改。</w:t>
      </w:r>
    </w:p>
    <w:p w14:paraId="7BC78B77">
      <w:pPr>
        <w:spacing w:line="360" w:lineRule="auto"/>
        <w:rPr>
          <w:rFonts w:ascii="宋体" w:hAnsi="宋体"/>
          <w:sz w:val="24"/>
        </w:rPr>
      </w:pPr>
      <w:r>
        <w:rPr>
          <w:rFonts w:ascii="宋体" w:hAnsi="宋体"/>
          <w:sz w:val="24"/>
        </w:rPr>
        <w:t xml:space="preserve">5.3 </w:t>
      </w:r>
      <w:r>
        <w:rPr>
          <w:rFonts w:hint="eastAsia" w:ascii="宋体" w:hAnsi="宋体"/>
          <w:sz w:val="24"/>
        </w:rPr>
        <w:t>竞争性谈判文件的修改将以书面形式在递交响应文件截止时间（包含延长了的递交响应文件截止时间）五（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）天前通知参与竞争性谈判的供应商，并对其具有约束力。供应商在收到上述通知后，应立即向采购人回函确认已收到上述通知，但是供应商的回函不作为其收到上述通知的唯一证据。</w:t>
      </w:r>
    </w:p>
    <w:p w14:paraId="75447918">
      <w:pPr>
        <w:spacing w:line="360" w:lineRule="auto"/>
        <w:rPr>
          <w:rFonts w:ascii="宋体" w:hAnsi="宋体"/>
          <w:b/>
          <w:sz w:val="28"/>
          <w:szCs w:val="28"/>
        </w:rPr>
      </w:pPr>
      <w:r>
        <w:rPr>
          <w:rFonts w:hint="eastAsia" w:ascii="宋体" w:hAnsi="宋体"/>
          <w:b/>
          <w:sz w:val="28"/>
          <w:szCs w:val="28"/>
        </w:rPr>
        <w:t>三、响应文件的编制</w:t>
      </w:r>
    </w:p>
    <w:p w14:paraId="3D1DD61C">
      <w:pPr>
        <w:spacing w:line="360" w:lineRule="auto"/>
        <w:rPr>
          <w:rFonts w:ascii="宋体" w:hAnsi="宋体"/>
          <w:sz w:val="24"/>
        </w:rPr>
      </w:pPr>
      <w:r>
        <w:rPr>
          <w:rFonts w:ascii="宋体" w:hAnsi="宋体"/>
          <w:sz w:val="24"/>
        </w:rPr>
        <w:t>6.</w:t>
      </w:r>
      <w:r>
        <w:rPr>
          <w:rFonts w:hint="eastAsia" w:ascii="宋体" w:hAnsi="宋体"/>
          <w:sz w:val="24"/>
        </w:rPr>
        <w:t>响应文件的语言</w:t>
      </w:r>
    </w:p>
    <w:p w14:paraId="2AD03168">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34F6B399">
      <w:pPr>
        <w:spacing w:line="360" w:lineRule="auto"/>
        <w:rPr>
          <w:rFonts w:ascii="宋体" w:hAnsi="宋体"/>
          <w:sz w:val="24"/>
        </w:rPr>
      </w:pPr>
      <w:r>
        <w:rPr>
          <w:rFonts w:ascii="宋体" w:hAnsi="宋体"/>
          <w:sz w:val="24"/>
        </w:rPr>
        <w:t>7.</w:t>
      </w:r>
      <w:r>
        <w:rPr>
          <w:rFonts w:hint="eastAsia" w:ascii="宋体" w:hAnsi="宋体"/>
          <w:sz w:val="24"/>
        </w:rPr>
        <w:t>响应文件构成</w:t>
      </w:r>
    </w:p>
    <w:p w14:paraId="785C83FD">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或服务的合格性和符合竞争性谈判文件规定的文件；竞争性谈判文件要求的其它文件；供应商认为其它需提供的文件。</w:t>
      </w:r>
    </w:p>
    <w:p w14:paraId="05D48324">
      <w:pPr>
        <w:spacing w:line="360" w:lineRule="auto"/>
        <w:rPr>
          <w:rFonts w:ascii="宋体" w:hAnsi="宋体"/>
          <w:sz w:val="24"/>
        </w:rPr>
      </w:pPr>
      <w:r>
        <w:rPr>
          <w:rFonts w:ascii="宋体" w:hAnsi="宋体"/>
          <w:sz w:val="24"/>
        </w:rPr>
        <w:t>1</w:t>
      </w:r>
      <w:r>
        <w:rPr>
          <w:rFonts w:hint="eastAsia" w:ascii="宋体" w:hAnsi="宋体"/>
          <w:sz w:val="24"/>
        </w:rPr>
        <w:t>）响应文件基本文件</w:t>
      </w:r>
    </w:p>
    <w:p w14:paraId="3698E870">
      <w:pPr>
        <w:spacing w:line="360" w:lineRule="auto"/>
        <w:rPr>
          <w:rFonts w:ascii="宋体" w:hAnsi="宋体"/>
          <w:sz w:val="24"/>
        </w:rPr>
      </w:pPr>
      <w:r>
        <w:rPr>
          <w:rFonts w:hint="eastAsia" w:ascii="宋体" w:hAnsi="宋体"/>
          <w:sz w:val="24"/>
        </w:rPr>
        <w:t>项目方案</w:t>
      </w:r>
    </w:p>
    <w:p w14:paraId="6747BCF4">
      <w:pPr>
        <w:spacing w:line="360" w:lineRule="auto"/>
        <w:rPr>
          <w:rFonts w:ascii="宋体" w:hAnsi="宋体"/>
          <w:sz w:val="24"/>
        </w:rPr>
      </w:pPr>
      <w:r>
        <w:rPr>
          <w:rFonts w:hint="eastAsia" w:ascii="宋体" w:hAnsi="宋体"/>
          <w:sz w:val="24"/>
        </w:rPr>
        <w:t>响应函（格式见附件）</w:t>
      </w:r>
    </w:p>
    <w:p w14:paraId="17045612">
      <w:pPr>
        <w:spacing w:line="360" w:lineRule="auto"/>
        <w:rPr>
          <w:rFonts w:ascii="宋体" w:hAnsi="宋体"/>
          <w:sz w:val="24"/>
        </w:rPr>
      </w:pPr>
      <w:r>
        <w:rPr>
          <w:rFonts w:hint="eastAsia" w:ascii="宋体" w:hAnsi="宋体"/>
          <w:sz w:val="24"/>
        </w:rPr>
        <w:t>报价表（格式见附件）</w:t>
      </w:r>
    </w:p>
    <w:p w14:paraId="1CF2033B">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）供应商提交的证明其合格且中选后有能力履行合同的资格证明文件（详见《竞争性谈判公告》）以及供应商认为需提供的其它文件和证书。</w:t>
      </w:r>
    </w:p>
    <w:p w14:paraId="16D4780D">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2D1730BB">
      <w:pPr>
        <w:spacing w:line="360" w:lineRule="auto"/>
        <w:rPr>
          <w:rFonts w:ascii="宋体" w:hAnsi="宋体"/>
          <w:sz w:val="24"/>
        </w:rPr>
      </w:pPr>
      <w:r>
        <w:rPr>
          <w:rFonts w:ascii="宋体" w:hAnsi="宋体"/>
          <w:sz w:val="24"/>
        </w:rPr>
        <w:t>4</w:t>
      </w:r>
      <w:r>
        <w:rPr>
          <w:rFonts w:hint="eastAsia" w:ascii="宋体" w:hAnsi="宋体"/>
          <w:sz w:val="24"/>
        </w:rPr>
        <w:t>）竞争性谈判文件要求的其它内容和文件</w:t>
      </w:r>
    </w:p>
    <w:p w14:paraId="2FCA9A08">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14:paraId="74FEE39E">
      <w:pPr>
        <w:spacing w:line="360" w:lineRule="auto"/>
        <w:rPr>
          <w:rFonts w:ascii="宋体" w:hAnsi="宋体"/>
          <w:sz w:val="24"/>
        </w:rPr>
      </w:pPr>
      <w:r>
        <w:rPr>
          <w:rFonts w:ascii="宋体" w:hAnsi="宋体"/>
          <w:sz w:val="24"/>
        </w:rPr>
        <w:t>6）合同文本的提供（详见《供应商须知前附表》）</w:t>
      </w:r>
    </w:p>
    <w:p w14:paraId="176C39F1">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14:paraId="4F33B0D2">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14:paraId="5E6F316D">
      <w:pPr>
        <w:spacing w:line="360" w:lineRule="auto"/>
        <w:rPr>
          <w:rFonts w:ascii="宋体" w:hAnsi="宋体"/>
          <w:sz w:val="24"/>
        </w:rPr>
      </w:pPr>
      <w:r>
        <w:rPr>
          <w:rFonts w:ascii="宋体" w:hAnsi="宋体"/>
          <w:sz w:val="24"/>
        </w:rPr>
        <w:t xml:space="preserve">8.1 </w:t>
      </w:r>
      <w:r>
        <w:rPr>
          <w:rFonts w:hint="eastAsia" w:ascii="宋体" w:hAnsi="宋体"/>
          <w:sz w:val="24"/>
        </w:rPr>
        <w:t>响应文件一式3份（</w:t>
      </w:r>
      <w:r>
        <w:rPr>
          <w:rFonts w:ascii="宋体" w:hAnsi="宋体"/>
          <w:sz w:val="24"/>
        </w:rPr>
        <w:t xml:space="preserve">1 </w:t>
      </w:r>
      <w:r>
        <w:rPr>
          <w:rFonts w:hint="eastAsia" w:ascii="宋体" w:hAnsi="宋体"/>
          <w:sz w:val="24"/>
        </w:rPr>
        <w:t>份正本、2份副本），电子版本一份。响应文件用中文编写，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14:paraId="30B854B5">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48392840">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如供应商对竞争性谈判文件个别内容不能接受，应在响应文件中另做声明，否则将视为供应商接受竞争性谈判文件全部内容。</w:t>
      </w:r>
    </w:p>
    <w:p w14:paraId="30105727">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14:paraId="11A667AB">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14:paraId="735DE9A7">
      <w:pPr>
        <w:spacing w:line="360" w:lineRule="auto"/>
        <w:rPr>
          <w:rFonts w:ascii="宋体" w:hAnsi="宋体"/>
          <w:sz w:val="24"/>
        </w:rPr>
      </w:pPr>
      <w:r>
        <w:rPr>
          <w:rFonts w:ascii="宋体" w:hAnsi="宋体"/>
          <w:sz w:val="24"/>
        </w:rPr>
        <w:t>9.</w:t>
      </w:r>
      <w:r>
        <w:rPr>
          <w:rFonts w:hint="eastAsia" w:ascii="宋体" w:hAnsi="宋体"/>
          <w:sz w:val="24"/>
        </w:rPr>
        <w:t>报价</w:t>
      </w:r>
    </w:p>
    <w:p w14:paraId="5A553855">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报价：人民币报价。供应商应按照竞争性谈判文件要求，在响应文件中报出本项目包含的所有产品和服务的报价（格式见附件）。</w:t>
      </w:r>
    </w:p>
    <w:p w14:paraId="45FE651B">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14:paraId="0663905C">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14:paraId="287CE273">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14:paraId="388FB390">
      <w:pPr>
        <w:spacing w:line="360" w:lineRule="auto"/>
        <w:rPr>
          <w:rFonts w:ascii="宋体" w:hAnsi="宋体"/>
          <w:sz w:val="24"/>
        </w:rPr>
      </w:pPr>
      <w:r>
        <w:rPr>
          <w:rFonts w:ascii="宋体" w:hAnsi="宋体"/>
          <w:sz w:val="24"/>
        </w:rPr>
        <w:t>10. 响应有效期（详见《供应商须知前附表》）</w:t>
      </w:r>
    </w:p>
    <w:p w14:paraId="033138BA">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14:paraId="0685C592">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2CC4C140">
      <w:pPr>
        <w:spacing w:line="360" w:lineRule="auto"/>
        <w:rPr>
          <w:rFonts w:ascii="宋体" w:hAnsi="宋体"/>
          <w:b/>
          <w:sz w:val="28"/>
          <w:szCs w:val="28"/>
        </w:rPr>
      </w:pPr>
      <w:r>
        <w:rPr>
          <w:rFonts w:hint="eastAsia" w:ascii="宋体" w:hAnsi="宋体"/>
          <w:b/>
          <w:sz w:val="28"/>
          <w:szCs w:val="28"/>
        </w:rPr>
        <w:t>四、响应文件的递交</w:t>
      </w:r>
    </w:p>
    <w:p w14:paraId="15D5A8AD">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14:paraId="44A99586">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14:paraId="0C23AA0B">
      <w:pPr>
        <w:spacing w:line="360" w:lineRule="auto"/>
        <w:rPr>
          <w:rFonts w:ascii="宋体" w:hAnsi="宋体"/>
          <w:sz w:val="24"/>
        </w:rPr>
      </w:pPr>
      <w:r>
        <w:rPr>
          <w:rFonts w:ascii="宋体" w:hAnsi="宋体"/>
          <w:sz w:val="24"/>
        </w:rPr>
        <w:t>11.2</w:t>
      </w:r>
      <w:r>
        <w:rPr>
          <w:rFonts w:hint="eastAsia" w:ascii="宋体" w:hAnsi="宋体"/>
          <w:sz w:val="24"/>
        </w:rPr>
        <w:t>内外层信封均应：</w:t>
      </w:r>
    </w:p>
    <w:p w14:paraId="27AB7532">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14:paraId="7A4B726B">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14:paraId="45453026">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14:paraId="75B5E9E8">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14:paraId="335F4218">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14:paraId="651A9E9A">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14:paraId="19BE1AEF">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采购人收到响应文件的时间不迟于（详见《竞争性谈判公告》）</w:t>
      </w:r>
    </w:p>
    <w:p w14:paraId="7F9557E1">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条规定，通过修改竞争性谈判文件自行决定酌情延长递交响应文件截止时间。在此情况下，采购人和供应商受递交响应文件截止时间制约的所有权利和义务均应延长至新的截止期。</w:t>
      </w:r>
    </w:p>
    <w:p w14:paraId="380A3E53">
      <w:pPr>
        <w:spacing w:line="360" w:lineRule="auto"/>
        <w:rPr>
          <w:rFonts w:ascii="宋体" w:hAnsi="宋体"/>
          <w:sz w:val="24"/>
        </w:rPr>
      </w:pPr>
      <w:r>
        <w:rPr>
          <w:rFonts w:ascii="宋体" w:hAnsi="宋体"/>
          <w:sz w:val="24"/>
        </w:rPr>
        <w:t>13.</w:t>
      </w:r>
      <w:r>
        <w:rPr>
          <w:rFonts w:hint="eastAsia" w:ascii="宋体" w:hAnsi="宋体"/>
          <w:sz w:val="24"/>
        </w:rPr>
        <w:t>迟交的响应文件</w:t>
      </w:r>
    </w:p>
    <w:p w14:paraId="499CA267">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14:paraId="42F5DBC9">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14:paraId="2B233A17">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14:paraId="43F1DCB7">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14:paraId="68AFF260">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14:paraId="469F09C8">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14:paraId="43593799">
      <w:pPr>
        <w:spacing w:line="360" w:lineRule="auto"/>
        <w:rPr>
          <w:rFonts w:ascii="宋体" w:hAnsi="宋体"/>
          <w:b/>
          <w:sz w:val="28"/>
          <w:szCs w:val="28"/>
        </w:rPr>
      </w:pPr>
      <w:r>
        <w:rPr>
          <w:rFonts w:hint="eastAsia" w:ascii="宋体" w:hAnsi="宋体"/>
          <w:b/>
          <w:sz w:val="28"/>
          <w:szCs w:val="28"/>
        </w:rPr>
        <w:t>五、评审</w:t>
      </w:r>
    </w:p>
    <w:p w14:paraId="2E6F5FAB">
      <w:pPr>
        <w:spacing w:line="360" w:lineRule="auto"/>
        <w:rPr>
          <w:rFonts w:ascii="宋体" w:hAnsi="宋体"/>
          <w:sz w:val="24"/>
        </w:rPr>
      </w:pPr>
      <w:r>
        <w:rPr>
          <w:rFonts w:ascii="宋体" w:hAnsi="宋体"/>
          <w:sz w:val="24"/>
        </w:rPr>
        <w:t>15.</w:t>
      </w:r>
      <w:r>
        <w:rPr>
          <w:rFonts w:hint="eastAsia" w:ascii="宋体" w:hAnsi="宋体"/>
          <w:sz w:val="24"/>
        </w:rPr>
        <w:t>评审委员会</w:t>
      </w:r>
    </w:p>
    <w:p w14:paraId="05702B7B">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14:paraId="3C2F2E00">
      <w:pPr>
        <w:spacing w:line="360" w:lineRule="auto"/>
        <w:rPr>
          <w:rFonts w:ascii="宋体" w:hAnsi="宋体"/>
          <w:sz w:val="24"/>
        </w:rPr>
      </w:pPr>
      <w:r>
        <w:rPr>
          <w:rFonts w:ascii="宋体" w:hAnsi="宋体"/>
          <w:sz w:val="24"/>
        </w:rPr>
        <w:t>16.</w:t>
      </w:r>
      <w:r>
        <w:rPr>
          <w:rFonts w:hint="eastAsia" w:ascii="宋体" w:hAnsi="宋体"/>
          <w:sz w:val="24"/>
        </w:rPr>
        <w:t>响应文件的澄清</w:t>
      </w:r>
    </w:p>
    <w:p w14:paraId="7ACE1DD1">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3C49B374">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14:paraId="68737AD0">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14:paraId="4E327007">
      <w:pPr>
        <w:spacing w:line="360" w:lineRule="auto"/>
        <w:rPr>
          <w:rFonts w:ascii="宋体" w:hAnsi="宋体"/>
          <w:sz w:val="24"/>
        </w:rPr>
      </w:pPr>
      <w:r>
        <w:rPr>
          <w:rFonts w:ascii="宋体" w:hAnsi="宋体"/>
          <w:sz w:val="24"/>
        </w:rPr>
        <w:t>17.</w:t>
      </w:r>
      <w:r>
        <w:rPr>
          <w:rFonts w:hint="eastAsia" w:ascii="宋体" w:hAnsi="宋体"/>
          <w:sz w:val="24"/>
        </w:rPr>
        <w:t>响应文件的初审</w:t>
      </w:r>
    </w:p>
    <w:p w14:paraId="52CD0BD2">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14:paraId="4A792AE5">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3937B0FE">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14:paraId="191EB7AF">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6BA06698">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20B526D2">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7A49539E">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采购人保留对通过初审的供应商进行进一步谈判或议价的权利。</w:t>
      </w:r>
    </w:p>
    <w:p w14:paraId="0D752F50">
      <w:pPr>
        <w:spacing w:line="360" w:lineRule="auto"/>
        <w:rPr>
          <w:rFonts w:ascii="宋体" w:hAnsi="宋体"/>
          <w:b/>
          <w:sz w:val="28"/>
          <w:szCs w:val="28"/>
        </w:rPr>
      </w:pPr>
      <w:r>
        <w:rPr>
          <w:rFonts w:hint="eastAsia" w:ascii="宋体" w:hAnsi="宋体"/>
          <w:b/>
          <w:sz w:val="28"/>
          <w:szCs w:val="28"/>
        </w:rPr>
        <w:t>六、谈判和成交供应商评审</w:t>
      </w:r>
    </w:p>
    <w:p w14:paraId="79268AFB">
      <w:pPr>
        <w:spacing w:line="360" w:lineRule="auto"/>
        <w:rPr>
          <w:rFonts w:ascii="宋体" w:hAnsi="宋体"/>
          <w:sz w:val="24"/>
        </w:rPr>
      </w:pPr>
      <w:r>
        <w:rPr>
          <w:rFonts w:ascii="宋体" w:hAnsi="宋体"/>
          <w:sz w:val="24"/>
        </w:rPr>
        <w:t>18.谈判</w:t>
      </w:r>
    </w:p>
    <w:p w14:paraId="182673AC">
      <w:pPr>
        <w:spacing w:line="360" w:lineRule="auto"/>
        <w:rPr>
          <w:rFonts w:ascii="宋体" w:hAnsi="宋体"/>
          <w:sz w:val="24"/>
        </w:rPr>
      </w:pPr>
      <w:r>
        <w:rPr>
          <w:rFonts w:ascii="宋体" w:hAnsi="宋体"/>
          <w:sz w:val="24"/>
        </w:rPr>
        <w:t>18.1</w:t>
      </w:r>
      <w:r>
        <w:rPr>
          <w:rFonts w:hint="eastAsia" w:ascii="宋体" w:hAnsi="宋体"/>
          <w:sz w:val="24"/>
        </w:rPr>
        <w:t>获得谈判资格的供应商应按本须知及谈判通知要求准时参加谈判，并在谈判后按要求提供递交其最终报价和相关承诺，否则将视为在报价有效期内撤回竞争性谈判响应文件，其响应文件将被拒绝。</w:t>
      </w:r>
    </w:p>
    <w:p w14:paraId="2647ED81">
      <w:pPr>
        <w:spacing w:line="360" w:lineRule="auto"/>
        <w:rPr>
          <w:rFonts w:ascii="宋体" w:hAnsi="宋体"/>
          <w:sz w:val="24"/>
        </w:rPr>
      </w:pPr>
      <w:r>
        <w:rPr>
          <w:rFonts w:ascii="宋体" w:hAnsi="宋体"/>
          <w:sz w:val="24"/>
        </w:rPr>
        <w:t>18.2谈判开始时间预计为：递交竞争性谈判响应文件截止时间后当天（包括法定节假日，具体时间以采购人的通知为准），供应商应提前做好谈判准备。</w:t>
      </w:r>
    </w:p>
    <w:p w14:paraId="6A30877C">
      <w:pPr>
        <w:spacing w:line="360" w:lineRule="auto"/>
        <w:rPr>
          <w:rFonts w:ascii="宋体" w:hAnsi="宋体"/>
          <w:sz w:val="24"/>
        </w:rPr>
      </w:pPr>
      <w:r>
        <w:rPr>
          <w:rFonts w:ascii="宋体" w:hAnsi="宋体"/>
          <w:sz w:val="24"/>
        </w:rPr>
        <w:t>18.3进行谈判的各供应商应由其法定代表人或本项目的授权代表作为谈判代表，谈判过程中可有商务、技术及售后服务等人员（总人数不超过5人）共同参加谈判。</w:t>
      </w:r>
    </w:p>
    <w:p w14:paraId="69B21ACE">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评审委员会将与获得谈判资格的各供应商分别进行谈判，谈判内容包括但不限于报价、技术、实施及服务等。在谈判中，谈判的任何一方不得透漏与谈判有关的其它供应商的技术资料、价格和其它信息。</w:t>
      </w:r>
    </w:p>
    <w:p w14:paraId="7AAE54C3">
      <w:pPr>
        <w:spacing w:line="360" w:lineRule="auto"/>
        <w:rPr>
          <w:rFonts w:ascii="宋体" w:hAnsi="宋体"/>
          <w:sz w:val="24"/>
        </w:rPr>
      </w:pPr>
      <w:r>
        <w:rPr>
          <w:rFonts w:ascii="宋体" w:hAnsi="宋体"/>
          <w:sz w:val="24"/>
        </w:rPr>
        <w:t xml:space="preserve">18.5 </w:t>
      </w:r>
      <w:r>
        <w:rPr>
          <w:rFonts w:hint="eastAsia" w:ascii="宋体" w:hAnsi="宋体"/>
          <w:sz w:val="24"/>
        </w:rPr>
        <w:t>谈判后，参加谈判的供应商应当在规定的时间内按评审委员会的要求递交针对本项目的最终报价和相关承诺。最终报价和相关承诺须由法定代表人或本项目的授权代表签字。</w:t>
      </w:r>
    </w:p>
    <w:p w14:paraId="3B1090BF">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供应商应将其最终报价和相关承诺的正本一份密封装在一个信封中，信封上标明“项目名称”、“供应商名称和地址”字样，并在规定的时间内递交至</w:t>
      </w:r>
      <w:r>
        <w:rPr>
          <w:rFonts w:hint="eastAsia" w:ascii="宋体" w:hAnsi="宋体"/>
          <w:color w:val="000000" w:themeColor="text1"/>
          <w:sz w:val="24"/>
          <w14:textFill>
            <w14:solidFill>
              <w14:schemeClr w14:val="tx1"/>
            </w14:solidFill>
          </w14:textFill>
        </w:rPr>
        <w:t>采购</w:t>
      </w:r>
      <w:r>
        <w:rPr>
          <w:rFonts w:hint="eastAsia" w:ascii="宋体" w:hAnsi="宋体"/>
          <w:sz w:val="24"/>
        </w:rPr>
        <w:t>人。</w:t>
      </w:r>
    </w:p>
    <w:p w14:paraId="28910090">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462638E4">
      <w:pPr>
        <w:spacing w:line="360" w:lineRule="auto"/>
        <w:rPr>
          <w:rFonts w:ascii="宋体" w:hAnsi="宋体"/>
          <w:sz w:val="24"/>
        </w:rPr>
      </w:pPr>
      <w:r>
        <w:rPr>
          <w:rFonts w:ascii="宋体" w:hAnsi="宋体"/>
          <w:sz w:val="24"/>
        </w:rPr>
        <w:t>19.成交供应商的评审</w:t>
      </w:r>
    </w:p>
    <w:p w14:paraId="11B61501">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14:paraId="20FD9650">
      <w:pPr>
        <w:spacing w:line="360" w:lineRule="auto"/>
        <w:rPr>
          <w:rFonts w:ascii="宋体" w:hAnsi="宋体"/>
          <w:sz w:val="24"/>
        </w:rPr>
      </w:pPr>
      <w:r>
        <w:rPr>
          <w:rFonts w:ascii="宋体" w:hAnsi="宋体"/>
          <w:sz w:val="24"/>
        </w:rPr>
        <w:t xml:space="preserve">19.2 </w:t>
      </w:r>
      <w:r>
        <w:rPr>
          <w:rFonts w:hint="eastAsia" w:ascii="宋体" w:hAnsi="宋体"/>
          <w:sz w:val="24"/>
        </w:rPr>
        <w:t>谈判后，评审委员会将对参加谈判的供应商进行综合评审，采用综合评审法并考虑以下因素：</w:t>
      </w:r>
    </w:p>
    <w:p w14:paraId="04B5E583">
      <w:pPr>
        <w:spacing w:line="360" w:lineRule="auto"/>
        <w:rPr>
          <w:rFonts w:ascii="宋体" w:hAnsi="宋体"/>
          <w:sz w:val="24"/>
        </w:rPr>
      </w:pPr>
      <w:r>
        <w:rPr>
          <w:rFonts w:hint="eastAsia" w:ascii="宋体" w:hAnsi="宋体"/>
          <w:sz w:val="24"/>
        </w:rPr>
        <w:t>注：具体评审办法详见第三章评审办法。</w:t>
      </w:r>
    </w:p>
    <w:p w14:paraId="7579CE62">
      <w:pPr>
        <w:spacing w:line="360" w:lineRule="auto"/>
        <w:rPr>
          <w:rFonts w:ascii="宋体" w:hAnsi="宋体"/>
          <w:sz w:val="24"/>
        </w:rPr>
      </w:pPr>
      <w:r>
        <w:rPr>
          <w:rFonts w:ascii="宋体" w:hAnsi="宋体"/>
          <w:sz w:val="24"/>
        </w:rPr>
        <w:t>19.3评审委员会将根据综合评估结果，对参加谈判且实质上响应竞争性谈判文件要求的供应商按综合得分排序向采购人推荐本项目的成交供应商候选人。</w:t>
      </w:r>
    </w:p>
    <w:p w14:paraId="0E9B6C54">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竞争性谈判响应文件</w:t>
      </w:r>
      <w:r>
        <w:rPr>
          <w:rFonts w:ascii="宋体" w:hAnsi="宋体"/>
          <w:sz w:val="24"/>
        </w:rPr>
        <w:t>应作为无效处理。</w:t>
      </w:r>
    </w:p>
    <w:p w14:paraId="19FC780C">
      <w:pPr>
        <w:spacing w:line="360" w:lineRule="auto"/>
        <w:rPr>
          <w:rFonts w:ascii="宋体" w:hAnsi="宋体"/>
          <w:b/>
          <w:sz w:val="28"/>
          <w:szCs w:val="28"/>
        </w:rPr>
      </w:pPr>
      <w:r>
        <w:rPr>
          <w:rFonts w:hint="eastAsia" w:ascii="宋体" w:hAnsi="宋体"/>
          <w:b/>
          <w:sz w:val="28"/>
          <w:szCs w:val="28"/>
        </w:rPr>
        <w:t>七、保密</w:t>
      </w:r>
    </w:p>
    <w:p w14:paraId="5EF4B937">
      <w:pPr>
        <w:spacing w:line="360" w:lineRule="auto"/>
        <w:rPr>
          <w:rFonts w:ascii="宋体" w:hAnsi="宋体"/>
          <w:sz w:val="24"/>
        </w:rPr>
      </w:pPr>
      <w:r>
        <w:rPr>
          <w:rFonts w:ascii="宋体" w:hAnsi="宋体"/>
          <w:sz w:val="24"/>
        </w:rPr>
        <w:t>20.</w:t>
      </w:r>
      <w:r>
        <w:rPr>
          <w:rFonts w:hint="eastAsia" w:ascii="宋体" w:hAnsi="宋体"/>
          <w:sz w:val="24"/>
        </w:rPr>
        <w:t>与采购人的接触</w:t>
      </w:r>
    </w:p>
    <w:p w14:paraId="6B4CE096">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17条和第19条规定外，从递交竞争性谈判响应文件之日起至授予合同期间，供应商不得就与其竞争性谈判响应文件有关的事项与采购人接触。</w:t>
      </w:r>
    </w:p>
    <w:p w14:paraId="37C6A394">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14:paraId="2A1B7440">
      <w:pPr>
        <w:spacing w:line="360" w:lineRule="auto"/>
        <w:rPr>
          <w:rFonts w:ascii="宋体" w:hAnsi="宋体"/>
          <w:b/>
          <w:sz w:val="28"/>
          <w:szCs w:val="28"/>
        </w:rPr>
      </w:pPr>
      <w:r>
        <w:rPr>
          <w:rFonts w:hint="eastAsia" w:ascii="宋体" w:hAnsi="宋体"/>
          <w:b/>
          <w:sz w:val="28"/>
          <w:szCs w:val="28"/>
        </w:rPr>
        <w:t>八、合同的签订</w:t>
      </w:r>
    </w:p>
    <w:p w14:paraId="26928006">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14:paraId="01F4445B">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14:paraId="681383AD">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14:paraId="799DC29E">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14:paraId="460E2F43">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325CC51E">
      <w:pPr>
        <w:spacing w:line="360" w:lineRule="auto"/>
        <w:rPr>
          <w:rFonts w:ascii="宋体" w:hAnsi="宋体"/>
          <w:sz w:val="24"/>
        </w:rPr>
      </w:pPr>
      <w:r>
        <w:rPr>
          <w:rFonts w:ascii="宋体" w:hAnsi="宋体"/>
          <w:sz w:val="24"/>
        </w:rPr>
        <w:t>23.</w:t>
      </w:r>
      <w:r>
        <w:rPr>
          <w:rFonts w:hint="eastAsia" w:ascii="宋体" w:hAnsi="宋体"/>
          <w:sz w:val="24"/>
        </w:rPr>
        <w:t>授予合同通知书</w:t>
      </w:r>
    </w:p>
    <w:p w14:paraId="7BEDA17F">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14:paraId="4A81C949">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14:paraId="17BAF91A">
      <w:pPr>
        <w:spacing w:line="360" w:lineRule="auto"/>
        <w:rPr>
          <w:rFonts w:ascii="宋体" w:hAnsi="宋体"/>
          <w:sz w:val="24"/>
        </w:rPr>
      </w:pPr>
      <w:r>
        <w:rPr>
          <w:rFonts w:ascii="宋体" w:hAnsi="宋体"/>
          <w:sz w:val="24"/>
        </w:rPr>
        <w:t>24.</w:t>
      </w:r>
      <w:r>
        <w:rPr>
          <w:rFonts w:hint="eastAsia" w:ascii="宋体" w:hAnsi="宋体"/>
          <w:sz w:val="24"/>
        </w:rPr>
        <w:t>签订合同</w:t>
      </w:r>
    </w:p>
    <w:p w14:paraId="75A0BF64">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14:paraId="347E6EC8">
      <w:pPr>
        <w:widowControl/>
        <w:spacing w:line="360" w:lineRule="auto"/>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8"/>
      <w:bookmarkEnd w:id="9"/>
      <w:bookmarkEnd w:id="10"/>
      <w:bookmarkEnd w:id="11"/>
      <w:bookmarkStart w:id="12" w:name="_Toc226969316"/>
      <w:bookmarkStart w:id="13" w:name="_Toc227057922"/>
      <w:bookmarkStart w:id="14" w:name="_Toc107822520"/>
      <w:r>
        <w:br w:type="page"/>
      </w:r>
    </w:p>
    <w:bookmarkEnd w:id="12"/>
    <w:bookmarkEnd w:id="13"/>
    <w:bookmarkEnd w:id="14"/>
    <w:p w14:paraId="1A89C592">
      <w:pPr>
        <w:pStyle w:val="3"/>
        <w:numPr>
          <w:ilvl w:val="0"/>
          <w:numId w:val="0"/>
        </w:numPr>
        <w:spacing w:before="0" w:after="0" w:line="360" w:lineRule="auto"/>
        <w:rPr>
          <w:b/>
          <w:sz w:val="36"/>
          <w:szCs w:val="36"/>
        </w:rPr>
      </w:pPr>
      <w:bookmarkStart w:id="15" w:name="_Toc69378617"/>
      <w:bookmarkStart w:id="16" w:name="_Toc107822556"/>
      <w:bookmarkStart w:id="17" w:name="_Toc226969352"/>
      <w:bookmarkStart w:id="18" w:name="_Toc227057958"/>
      <w:r>
        <w:rPr>
          <w:rFonts w:hint="eastAsia"/>
          <w:b/>
          <w:sz w:val="36"/>
          <w:szCs w:val="36"/>
        </w:rPr>
        <w:t>第三章评审办法</w:t>
      </w:r>
      <w:bookmarkEnd w:id="15"/>
    </w:p>
    <w:p w14:paraId="6EF8DE28">
      <w:pPr>
        <w:spacing w:line="360" w:lineRule="auto"/>
        <w:ind w:firstLine="480" w:firstLineChars="200"/>
        <w:jc w:val="left"/>
        <w:rPr>
          <w:rFonts w:ascii="宋体" w:hAnsi="宋体"/>
          <w:sz w:val="24"/>
        </w:rPr>
      </w:pPr>
      <w:r>
        <w:rPr>
          <w:rFonts w:ascii="宋体" w:hAnsi="宋体"/>
          <w:sz w:val="24"/>
        </w:rPr>
        <w:t>供应商须对第三章《评标办法》中的评分要求逐项说明在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14:paraId="3CFD247D">
      <w:pPr>
        <w:spacing w:line="360" w:lineRule="auto"/>
        <w:jc w:val="left"/>
        <w:rPr>
          <w:rFonts w:ascii="宋体" w:hAnsi="宋体"/>
          <w:sz w:val="24"/>
        </w:rPr>
      </w:pPr>
    </w:p>
    <w:p w14:paraId="5253F510">
      <w:pPr>
        <w:rPr>
          <w:rFonts w:ascii="宋体" w:hAnsi="宋体"/>
          <w:sz w:val="24"/>
        </w:rPr>
      </w:pPr>
    </w:p>
    <w:p w14:paraId="2FDDD439">
      <w:pPr>
        <w:spacing w:line="360" w:lineRule="auto"/>
        <w:jc w:val="center"/>
        <w:rPr>
          <w:rFonts w:ascii="黑体" w:hAnsi="黑体" w:eastAsia="黑体"/>
          <w:sz w:val="37"/>
          <w:szCs w:val="37"/>
        </w:rPr>
      </w:pPr>
      <w:r>
        <w:rPr>
          <w:rFonts w:ascii="宋体" w:hAnsi="宋体"/>
        </w:rPr>
        <w:br w:type="page"/>
      </w:r>
      <w:r>
        <w:rPr>
          <w:rFonts w:hint="eastAsia" w:ascii="黑体" w:hAnsi="黑体" w:eastAsia="黑体"/>
          <w:sz w:val="37"/>
          <w:szCs w:val="37"/>
        </w:rPr>
        <w:t>详细</w:t>
      </w:r>
      <w:r>
        <w:rPr>
          <w:rFonts w:ascii="黑体" w:hAnsi="黑体" w:eastAsia="黑体"/>
          <w:sz w:val="37"/>
          <w:szCs w:val="37"/>
        </w:rPr>
        <w:t>评分表</w:t>
      </w:r>
    </w:p>
    <w:p w14:paraId="453669DB">
      <w:pPr>
        <w:spacing w:line="360" w:lineRule="auto"/>
        <w:jc w:val="center"/>
        <w:rPr>
          <w:rFonts w:ascii="黑体" w:hAnsi="黑体" w:eastAsia="黑体"/>
          <w:sz w:val="24"/>
        </w:rPr>
      </w:pPr>
      <w:r>
        <w:rPr>
          <w:rFonts w:ascii="黑体" w:hAnsi="黑体" w:eastAsia="黑体"/>
          <w:sz w:val="24"/>
        </w:rPr>
        <w:t>（满分100分）</w:t>
      </w:r>
    </w:p>
    <w:tbl>
      <w:tblPr>
        <w:tblStyle w:val="53"/>
        <w:tblW w:w="9675"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86"/>
        <w:gridCol w:w="1171"/>
        <w:gridCol w:w="6886"/>
        <w:gridCol w:w="1132"/>
      </w:tblGrid>
      <w:tr w14:paraId="13E1B0D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856" w:type="pct"/>
            <w:gridSpan w:val="2"/>
            <w:tcBorders>
              <w:top w:val="single" w:color="010101" w:sz="6" w:space="0"/>
              <w:left w:val="single" w:color="010101" w:sz="6" w:space="0"/>
              <w:bottom w:val="single" w:color="010101" w:sz="6" w:space="0"/>
              <w:right w:val="single" w:color="010101" w:sz="6" w:space="0"/>
            </w:tcBorders>
            <w:vAlign w:val="center"/>
          </w:tcPr>
          <w:p w14:paraId="4DB87660">
            <w:pPr>
              <w:snapToGrid w:val="0"/>
              <w:jc w:val="center"/>
              <w:rPr>
                <w:szCs w:val="21"/>
              </w:rPr>
            </w:pPr>
            <w:r>
              <w:rPr>
                <w:b/>
                <w:bCs/>
                <w:color w:val="010101"/>
                <w:szCs w:val="21"/>
              </w:rPr>
              <w:t>评标项目</w:t>
            </w:r>
          </w:p>
        </w:tc>
        <w:tc>
          <w:tcPr>
            <w:tcW w:w="3558" w:type="pct"/>
            <w:tcBorders>
              <w:top w:val="single" w:color="010101" w:sz="6" w:space="0"/>
              <w:left w:val="single" w:color="010101" w:sz="6" w:space="0"/>
              <w:bottom w:val="single" w:color="010101" w:sz="6" w:space="0"/>
              <w:right w:val="single" w:color="010101" w:sz="6" w:space="0"/>
            </w:tcBorders>
            <w:vAlign w:val="center"/>
          </w:tcPr>
          <w:p w14:paraId="2E7C58D4">
            <w:pPr>
              <w:snapToGrid w:val="0"/>
              <w:jc w:val="center"/>
              <w:rPr>
                <w:szCs w:val="21"/>
              </w:rPr>
            </w:pPr>
            <w:r>
              <w:rPr>
                <w:b/>
                <w:bCs/>
                <w:color w:val="010101"/>
                <w:szCs w:val="21"/>
              </w:rPr>
              <w:t>评分要求</w:t>
            </w:r>
          </w:p>
        </w:tc>
        <w:tc>
          <w:tcPr>
            <w:tcW w:w="585" w:type="pct"/>
            <w:tcBorders>
              <w:top w:val="single" w:color="010101" w:sz="6" w:space="0"/>
              <w:left w:val="single" w:color="010101" w:sz="6" w:space="0"/>
              <w:bottom w:val="single" w:color="010101" w:sz="6" w:space="0"/>
              <w:right w:val="single" w:color="010101" w:sz="6" w:space="0"/>
            </w:tcBorders>
            <w:vAlign w:val="center"/>
          </w:tcPr>
          <w:p w14:paraId="7041DA24">
            <w:pPr>
              <w:snapToGrid w:val="0"/>
              <w:jc w:val="center"/>
              <w:rPr>
                <w:szCs w:val="21"/>
              </w:rPr>
            </w:pPr>
            <w:r>
              <w:rPr>
                <w:b/>
                <w:bCs/>
                <w:color w:val="010101"/>
                <w:szCs w:val="21"/>
              </w:rPr>
              <w:t>投标文件响应的页码</w:t>
            </w:r>
          </w:p>
        </w:tc>
      </w:tr>
      <w:tr w14:paraId="5D9CFA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61108146">
            <w:pPr>
              <w:snapToGrid w:val="0"/>
              <w:jc w:val="center"/>
              <w:rPr>
                <w:szCs w:val="21"/>
              </w:rPr>
            </w:pPr>
            <w:r>
              <w:rPr>
                <w:color w:val="010101"/>
                <w:szCs w:val="21"/>
              </w:rPr>
              <w:t>1</w:t>
            </w:r>
          </w:p>
        </w:tc>
        <w:tc>
          <w:tcPr>
            <w:tcW w:w="605" w:type="pct"/>
            <w:tcBorders>
              <w:top w:val="single" w:color="010101" w:sz="6" w:space="0"/>
              <w:left w:val="single" w:color="010101" w:sz="6" w:space="0"/>
              <w:bottom w:val="single" w:color="010101" w:sz="6" w:space="0"/>
              <w:right w:val="single" w:color="010101" w:sz="6" w:space="0"/>
            </w:tcBorders>
            <w:vAlign w:val="center"/>
          </w:tcPr>
          <w:p w14:paraId="0364C6F5">
            <w:pPr>
              <w:snapToGrid w:val="0"/>
              <w:jc w:val="center"/>
              <w:rPr>
                <w:color w:val="010101"/>
                <w:szCs w:val="21"/>
              </w:rPr>
            </w:pPr>
            <w:r>
              <w:rPr>
                <w:rFonts w:hint="eastAsia"/>
                <w:color w:val="010101"/>
                <w:szCs w:val="21"/>
              </w:rPr>
              <w:t>价格</w:t>
            </w:r>
          </w:p>
          <w:p w14:paraId="42D3FCC8">
            <w:pPr>
              <w:snapToGrid w:val="0"/>
              <w:jc w:val="center"/>
              <w:rPr>
                <w:szCs w:val="21"/>
              </w:rPr>
            </w:pPr>
            <w:r>
              <w:rPr>
                <w:rFonts w:hint="eastAsia"/>
                <w:b/>
                <w:bCs/>
                <w:color w:val="010101"/>
                <w:szCs w:val="21"/>
              </w:rPr>
              <w:t>60</w:t>
            </w:r>
            <w:r>
              <w:rPr>
                <w:b/>
                <w:bCs/>
                <w:color w:val="010101"/>
                <w:szCs w:val="21"/>
              </w:rPr>
              <w:t>分</w:t>
            </w:r>
          </w:p>
        </w:tc>
        <w:tc>
          <w:tcPr>
            <w:tcW w:w="3558" w:type="pct"/>
            <w:tcBorders>
              <w:top w:val="single" w:color="010101" w:sz="6" w:space="0"/>
              <w:left w:val="single" w:color="010101" w:sz="6" w:space="0"/>
              <w:bottom w:val="single" w:color="010101" w:sz="6" w:space="0"/>
              <w:right w:val="single" w:color="010101" w:sz="6" w:space="0"/>
            </w:tcBorders>
          </w:tcPr>
          <w:p w14:paraId="508FAC98">
            <w:pPr>
              <w:keepLines/>
              <w:tabs>
                <w:tab w:val="left" w:pos="794"/>
                <w:tab w:val="left" w:pos="1191"/>
                <w:tab w:val="left" w:pos="1588"/>
                <w:tab w:val="left" w:pos="1985"/>
              </w:tabs>
              <w:autoSpaceDE w:val="0"/>
              <w:autoSpaceDN w:val="0"/>
              <w:adjustRightInd w:val="0"/>
            </w:pPr>
            <w:r>
              <w:rPr>
                <w:rFonts w:hint="eastAsia"/>
              </w:rPr>
              <w:t>A、评标价的计算：</w:t>
            </w:r>
          </w:p>
          <w:p w14:paraId="2695CF8D">
            <w:pPr>
              <w:keepLines/>
              <w:tabs>
                <w:tab w:val="left" w:pos="794"/>
                <w:tab w:val="left" w:pos="1191"/>
                <w:tab w:val="left" w:pos="1588"/>
                <w:tab w:val="left" w:pos="1985"/>
              </w:tabs>
              <w:autoSpaceDE w:val="0"/>
              <w:autoSpaceDN w:val="0"/>
              <w:adjustRightInd w:val="0"/>
            </w:pPr>
            <w:r>
              <w:rPr>
                <w:rFonts w:hint="eastAsia"/>
              </w:rPr>
              <w:t>1、投标人的投标价如有缺漏项，视为不实质性响应；</w:t>
            </w:r>
          </w:p>
          <w:p w14:paraId="69B8CE39">
            <w:pPr>
              <w:keepLines/>
              <w:tabs>
                <w:tab w:val="left" w:pos="794"/>
                <w:tab w:val="left" w:pos="1191"/>
                <w:tab w:val="left" w:pos="1588"/>
                <w:tab w:val="left" w:pos="1985"/>
              </w:tabs>
              <w:autoSpaceDE w:val="0"/>
              <w:autoSpaceDN w:val="0"/>
              <w:adjustRightInd w:val="0"/>
            </w:pPr>
            <w:r>
              <w:rPr>
                <w:rFonts w:hint="eastAsia"/>
              </w:rPr>
              <w:t>2、不接受选择性报价或者具有附加条件的报价；</w:t>
            </w:r>
          </w:p>
          <w:p w14:paraId="47E50557">
            <w:pPr>
              <w:keepLines/>
              <w:tabs>
                <w:tab w:val="left" w:pos="794"/>
                <w:tab w:val="left" w:pos="1191"/>
                <w:tab w:val="left" w:pos="1588"/>
                <w:tab w:val="left" w:pos="1985"/>
              </w:tabs>
              <w:autoSpaceDE w:val="0"/>
              <w:autoSpaceDN w:val="0"/>
              <w:adjustRightInd w:val="0"/>
            </w:pPr>
            <w:r>
              <w:rPr>
                <w:rFonts w:hint="eastAsia"/>
              </w:rPr>
              <w:t>3、投标文件中如果申报了非招标文件所要求的服务和产品，评审时不予以折价降低评标价；</w:t>
            </w:r>
          </w:p>
          <w:p w14:paraId="1E205741">
            <w:pPr>
              <w:keepLines/>
              <w:tabs>
                <w:tab w:val="left" w:pos="794"/>
                <w:tab w:val="left" w:pos="1191"/>
                <w:tab w:val="left" w:pos="1588"/>
                <w:tab w:val="left" w:pos="1985"/>
              </w:tabs>
              <w:autoSpaceDE w:val="0"/>
              <w:autoSpaceDN w:val="0"/>
              <w:adjustRightInd w:val="0"/>
            </w:pPr>
            <w:r>
              <w:rPr>
                <w:rFonts w:hint="eastAsia"/>
              </w:rPr>
              <w:t>4、评标价=经评审的含税总价。</w:t>
            </w:r>
          </w:p>
          <w:p w14:paraId="5A61578C">
            <w:pPr>
              <w:keepLines/>
              <w:tabs>
                <w:tab w:val="left" w:pos="794"/>
                <w:tab w:val="left" w:pos="1191"/>
                <w:tab w:val="left" w:pos="1588"/>
                <w:tab w:val="left" w:pos="1985"/>
              </w:tabs>
              <w:autoSpaceDE w:val="0"/>
              <w:autoSpaceDN w:val="0"/>
              <w:adjustRightInd w:val="0"/>
            </w:pPr>
            <w:r>
              <w:rPr>
                <w:rFonts w:hint="eastAsia"/>
              </w:rPr>
              <w:t>B、价格分的计算（保留小数点后2位）</w:t>
            </w:r>
          </w:p>
          <w:p w14:paraId="4844A256">
            <w:pPr>
              <w:keepLines/>
              <w:tabs>
                <w:tab w:val="left" w:pos="794"/>
                <w:tab w:val="left" w:pos="1191"/>
                <w:tab w:val="left" w:pos="1588"/>
                <w:tab w:val="left" w:pos="1985"/>
              </w:tabs>
              <w:autoSpaceDE w:val="0"/>
              <w:autoSpaceDN w:val="0"/>
              <w:adjustRightInd w:val="0"/>
            </w:pPr>
            <w:r>
              <w:rPr>
                <w:rFonts w:hint="eastAsia"/>
              </w:rPr>
              <w:t>1、评标基准价：若有效投标人≥5家，则去掉一个最低价和一个最高价，以剩余有效投标人评标价的算术平均值为评标基准价；若有效投标人＜5家，则以所有有效投标人评标价的算术平均值作为评标基准价。</w:t>
            </w:r>
          </w:p>
          <w:p w14:paraId="79AF28A4">
            <w:pPr>
              <w:keepLines/>
              <w:tabs>
                <w:tab w:val="left" w:pos="794"/>
                <w:tab w:val="left" w:pos="1191"/>
                <w:tab w:val="left" w:pos="1588"/>
                <w:tab w:val="left" w:pos="1985"/>
              </w:tabs>
              <w:autoSpaceDE w:val="0"/>
              <w:autoSpaceDN w:val="0"/>
              <w:adjustRightInd w:val="0"/>
            </w:pPr>
            <w:r>
              <w:rPr>
                <w:rFonts w:hint="eastAsia"/>
              </w:rPr>
              <w:t>2、计算价格得分=（评标基准价/评标价）×60（投标人的评标价低于评标基准价的得60分）。</w:t>
            </w:r>
          </w:p>
        </w:tc>
        <w:tc>
          <w:tcPr>
            <w:tcW w:w="585" w:type="pct"/>
            <w:tcBorders>
              <w:top w:val="single" w:color="010101" w:sz="6" w:space="0"/>
              <w:left w:val="single" w:color="010101" w:sz="6" w:space="0"/>
              <w:bottom w:val="single" w:color="010101" w:sz="6" w:space="0"/>
              <w:right w:val="single" w:color="010101" w:sz="6" w:space="0"/>
            </w:tcBorders>
          </w:tcPr>
          <w:p w14:paraId="74F65D26">
            <w:pPr>
              <w:snapToGrid w:val="0"/>
              <w:rPr>
                <w:szCs w:val="21"/>
              </w:rPr>
            </w:pPr>
            <w:r>
              <w:rPr>
                <w:szCs w:val="21"/>
              </w:rPr>
              <w:t> </w:t>
            </w:r>
          </w:p>
        </w:tc>
      </w:tr>
      <w:tr w14:paraId="4AF2E72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0"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72AEE748">
            <w:pPr>
              <w:snapToGrid w:val="0"/>
              <w:jc w:val="center"/>
              <w:rPr>
                <w:szCs w:val="21"/>
              </w:rPr>
            </w:pPr>
            <w:r>
              <w:rPr>
                <w:color w:val="010101"/>
                <w:szCs w:val="21"/>
              </w:rPr>
              <w:t>2</w:t>
            </w:r>
          </w:p>
        </w:tc>
        <w:tc>
          <w:tcPr>
            <w:tcW w:w="605" w:type="pct"/>
            <w:tcBorders>
              <w:top w:val="single" w:color="010101" w:sz="6" w:space="0"/>
              <w:left w:val="single" w:color="010101" w:sz="6" w:space="0"/>
              <w:bottom w:val="single" w:color="010101" w:sz="6" w:space="0"/>
              <w:right w:val="single" w:color="010101" w:sz="6" w:space="0"/>
            </w:tcBorders>
            <w:vAlign w:val="center"/>
          </w:tcPr>
          <w:p w14:paraId="6560866F">
            <w:pPr>
              <w:snapToGrid w:val="0"/>
              <w:jc w:val="center"/>
              <w:rPr>
                <w:szCs w:val="21"/>
              </w:rPr>
            </w:pPr>
            <w:r>
              <w:rPr>
                <w:rFonts w:hint="eastAsia"/>
                <w:color w:val="010101"/>
                <w:szCs w:val="21"/>
              </w:rPr>
              <w:t>响应</w:t>
            </w:r>
            <w:r>
              <w:rPr>
                <w:color w:val="010101"/>
                <w:szCs w:val="21"/>
              </w:rPr>
              <w:t>文件的</w:t>
            </w:r>
            <w:r>
              <w:rPr>
                <w:rFonts w:hint="eastAsia"/>
                <w:color w:val="010101"/>
                <w:szCs w:val="21"/>
              </w:rPr>
              <w:t>完整</w:t>
            </w:r>
            <w:r>
              <w:rPr>
                <w:color w:val="010101"/>
                <w:szCs w:val="21"/>
              </w:rPr>
              <w:t>有效性</w:t>
            </w:r>
          </w:p>
          <w:p w14:paraId="04D08DDE">
            <w:pPr>
              <w:snapToGrid w:val="0"/>
              <w:jc w:val="center"/>
              <w:rPr>
                <w:szCs w:val="21"/>
              </w:rPr>
            </w:pPr>
            <w:r>
              <w:rPr>
                <w:rFonts w:hint="eastAsia"/>
                <w:b/>
                <w:bCs/>
                <w:color w:val="010101"/>
                <w:szCs w:val="21"/>
              </w:rPr>
              <w:t>3</w:t>
            </w:r>
            <w:r>
              <w:rPr>
                <w:b/>
                <w:bCs/>
                <w:color w:val="010101"/>
                <w:szCs w:val="21"/>
              </w:rPr>
              <w:t>分</w:t>
            </w:r>
          </w:p>
        </w:tc>
        <w:tc>
          <w:tcPr>
            <w:tcW w:w="3558" w:type="pct"/>
            <w:tcBorders>
              <w:top w:val="single" w:color="010101" w:sz="6" w:space="0"/>
              <w:left w:val="single" w:color="010101" w:sz="6" w:space="0"/>
              <w:bottom w:val="single" w:color="010101" w:sz="6" w:space="0"/>
              <w:right w:val="single" w:color="010101" w:sz="6" w:space="0"/>
            </w:tcBorders>
          </w:tcPr>
          <w:p w14:paraId="5A76EB8E">
            <w:pPr>
              <w:snapToGrid w:val="0"/>
              <w:rPr>
                <w:szCs w:val="21"/>
              </w:rPr>
            </w:pPr>
            <w:r>
              <w:rPr>
                <w:rFonts w:hint="eastAsia"/>
                <w:color w:val="000000"/>
                <w:szCs w:val="21"/>
              </w:rPr>
              <w:t>供应商响应文件完全符合采购文件的形式要求，无缺、漏项；文字清晰、描述清楚得2分；如发现不符，酌情扣分；如果发现严重不符或任何弄虚作假的行为，则直接取消参评资格。</w:t>
            </w:r>
          </w:p>
        </w:tc>
        <w:tc>
          <w:tcPr>
            <w:tcW w:w="585" w:type="pct"/>
            <w:tcBorders>
              <w:top w:val="single" w:color="010101" w:sz="6" w:space="0"/>
              <w:left w:val="single" w:color="010101" w:sz="6" w:space="0"/>
              <w:bottom w:val="single" w:color="010101" w:sz="6" w:space="0"/>
              <w:right w:val="single" w:color="010101" w:sz="6" w:space="0"/>
            </w:tcBorders>
          </w:tcPr>
          <w:p w14:paraId="77637DFB">
            <w:pPr>
              <w:snapToGrid w:val="0"/>
              <w:rPr>
                <w:szCs w:val="21"/>
              </w:rPr>
            </w:pPr>
            <w:r>
              <w:rPr>
                <w:szCs w:val="21"/>
              </w:rPr>
              <w:t> </w:t>
            </w:r>
          </w:p>
        </w:tc>
      </w:tr>
      <w:tr w14:paraId="11583A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20" w:hRule="atLeast"/>
          <w:jc w:val="center"/>
        </w:trPr>
        <w:tc>
          <w:tcPr>
            <w:tcW w:w="251" w:type="pct"/>
            <w:tcBorders>
              <w:top w:val="single" w:color="010101" w:sz="6" w:space="0"/>
              <w:left w:val="single" w:color="010101" w:sz="6" w:space="0"/>
              <w:right w:val="single" w:color="010101" w:sz="6" w:space="0"/>
            </w:tcBorders>
            <w:vAlign w:val="center"/>
          </w:tcPr>
          <w:p w14:paraId="538DDEA8">
            <w:pPr>
              <w:snapToGrid w:val="0"/>
              <w:jc w:val="center"/>
              <w:rPr>
                <w:szCs w:val="21"/>
              </w:rPr>
            </w:pPr>
            <w:r>
              <w:rPr>
                <w:color w:val="010101"/>
                <w:szCs w:val="21"/>
              </w:rPr>
              <w:t>3</w:t>
            </w:r>
          </w:p>
        </w:tc>
        <w:tc>
          <w:tcPr>
            <w:tcW w:w="605" w:type="pct"/>
            <w:tcBorders>
              <w:top w:val="single" w:color="010101" w:sz="6" w:space="0"/>
              <w:left w:val="single" w:color="010101" w:sz="6" w:space="0"/>
              <w:right w:val="single" w:color="010101" w:sz="6" w:space="0"/>
            </w:tcBorders>
            <w:vAlign w:val="center"/>
          </w:tcPr>
          <w:p w14:paraId="66282A40">
            <w:pPr>
              <w:snapToGrid w:val="0"/>
              <w:jc w:val="center"/>
              <w:rPr>
                <w:szCs w:val="21"/>
              </w:rPr>
            </w:pPr>
            <w:r>
              <w:rPr>
                <w:color w:val="010101"/>
                <w:szCs w:val="21"/>
              </w:rPr>
              <w:t>综合实力</w:t>
            </w:r>
          </w:p>
          <w:p w14:paraId="738E3CAC">
            <w:pPr>
              <w:snapToGrid w:val="0"/>
              <w:jc w:val="center"/>
              <w:rPr>
                <w:szCs w:val="21"/>
              </w:rPr>
            </w:pPr>
            <w:r>
              <w:rPr>
                <w:rFonts w:hint="eastAsia"/>
                <w:b/>
                <w:bCs/>
                <w:color w:val="010101"/>
                <w:szCs w:val="21"/>
              </w:rPr>
              <w:t>3分</w:t>
            </w:r>
          </w:p>
        </w:tc>
        <w:tc>
          <w:tcPr>
            <w:tcW w:w="3558" w:type="pct"/>
            <w:tcBorders>
              <w:top w:val="single" w:color="010101" w:sz="6" w:space="0"/>
              <w:left w:val="single" w:color="010101" w:sz="6" w:space="0"/>
              <w:right w:val="single" w:color="010101" w:sz="6" w:space="0"/>
            </w:tcBorders>
            <w:vAlign w:val="center"/>
          </w:tcPr>
          <w:p w14:paraId="0FC55A1D">
            <w:r>
              <w:rPr>
                <w:rFonts w:hint="eastAsia"/>
              </w:rPr>
              <w:t>根据投标人的企业规模、资质等级、组织机构、研发能力、软硬件设施、发展情况、财务状况（总资产、负债率、利润等）和经营信誉（诉讼、荣誉奖项等）打分。</w:t>
            </w:r>
          </w:p>
          <w:p w14:paraId="6664EEB3">
            <w:r>
              <w:rPr>
                <w:rFonts w:hint="eastAsia"/>
              </w:rPr>
              <w:t>优良(1-2]分；一般[0-1]分</w:t>
            </w:r>
          </w:p>
        </w:tc>
        <w:tc>
          <w:tcPr>
            <w:tcW w:w="585" w:type="pct"/>
            <w:tcBorders>
              <w:top w:val="single" w:color="010101" w:sz="6" w:space="0"/>
              <w:left w:val="single" w:color="010101" w:sz="6" w:space="0"/>
              <w:bottom w:val="single" w:color="010101" w:sz="6" w:space="0"/>
              <w:right w:val="single" w:color="010101" w:sz="6" w:space="0"/>
            </w:tcBorders>
          </w:tcPr>
          <w:p w14:paraId="195A0D50">
            <w:pPr>
              <w:snapToGrid w:val="0"/>
              <w:rPr>
                <w:szCs w:val="21"/>
              </w:rPr>
            </w:pPr>
            <w:r>
              <w:rPr>
                <w:szCs w:val="21"/>
              </w:rPr>
              <w:t> </w:t>
            </w:r>
          </w:p>
        </w:tc>
      </w:tr>
      <w:tr w14:paraId="3D82F17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393" w:hRule="atLeast"/>
          <w:jc w:val="center"/>
        </w:trPr>
        <w:tc>
          <w:tcPr>
            <w:tcW w:w="251" w:type="pct"/>
            <w:tcBorders>
              <w:top w:val="single" w:color="010101" w:sz="6" w:space="0"/>
              <w:left w:val="single" w:color="010101" w:sz="6" w:space="0"/>
              <w:right w:val="single" w:color="010101" w:sz="6" w:space="0"/>
            </w:tcBorders>
            <w:vAlign w:val="center"/>
          </w:tcPr>
          <w:p w14:paraId="0652F274">
            <w:pPr>
              <w:snapToGrid w:val="0"/>
              <w:jc w:val="center"/>
              <w:rPr>
                <w:szCs w:val="21"/>
              </w:rPr>
            </w:pPr>
            <w:r>
              <w:rPr>
                <w:color w:val="010101"/>
                <w:szCs w:val="21"/>
              </w:rPr>
              <w:t>4</w:t>
            </w:r>
          </w:p>
        </w:tc>
        <w:tc>
          <w:tcPr>
            <w:tcW w:w="605" w:type="pct"/>
            <w:tcBorders>
              <w:top w:val="single" w:color="010101" w:sz="6" w:space="0"/>
              <w:left w:val="single" w:color="010101" w:sz="6" w:space="0"/>
              <w:right w:val="single" w:color="010101" w:sz="6" w:space="0"/>
            </w:tcBorders>
            <w:vAlign w:val="center"/>
          </w:tcPr>
          <w:p w14:paraId="4E4D02FA">
            <w:pPr>
              <w:snapToGrid w:val="0"/>
              <w:jc w:val="center"/>
              <w:rPr>
                <w:szCs w:val="21"/>
              </w:rPr>
            </w:pPr>
            <w:r>
              <w:rPr>
                <w:color w:val="010101"/>
                <w:szCs w:val="21"/>
              </w:rPr>
              <w:t>业绩经验</w:t>
            </w:r>
          </w:p>
          <w:p w14:paraId="676B6F97">
            <w:pPr>
              <w:snapToGrid w:val="0"/>
              <w:jc w:val="center"/>
              <w:rPr>
                <w:szCs w:val="21"/>
              </w:rPr>
            </w:pPr>
            <w:r>
              <w:rPr>
                <w:b/>
                <w:bCs/>
                <w:color w:val="010101"/>
                <w:szCs w:val="21"/>
              </w:rPr>
              <w:t>10分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717A22EA">
            <w:pPr>
              <w:snapToGrid w:val="0"/>
              <w:rPr>
                <w:color w:val="000000" w:themeColor="text1"/>
                <w:szCs w:val="21"/>
                <w14:textFill>
                  <w14:solidFill>
                    <w14:schemeClr w14:val="tx1"/>
                  </w14:solidFill>
                </w14:textFill>
              </w:rPr>
            </w:pPr>
            <w:bookmarkStart w:id="19" w:name="_Hlk80883201"/>
            <w:r>
              <w:rPr>
                <w:rFonts w:hint="eastAsia"/>
                <w:color w:val="000000" w:themeColor="text1"/>
                <w:szCs w:val="21"/>
                <w14:textFill>
                  <w14:solidFill>
                    <w14:schemeClr w14:val="tx1"/>
                  </w14:solidFill>
                </w14:textFill>
              </w:rPr>
              <w:t>根据投标产品自2023年1月1日至投标截止日前（以合同签订时间为准）</w:t>
            </w:r>
            <w:bookmarkEnd w:id="19"/>
            <w:r>
              <w:rPr>
                <w:rFonts w:hint="eastAsia"/>
                <w:color w:val="000000" w:themeColor="text1"/>
                <w:szCs w:val="21"/>
                <w14:textFill>
                  <w14:solidFill>
                    <w14:schemeClr w14:val="tx1"/>
                  </w14:solidFill>
                </w14:textFill>
              </w:rPr>
              <w:t>（1）案例合同中包含“话务平台”、“客服系统”相关内容，且合同金额超过100万元的，每有一份得4分，本项最高得8分；</w:t>
            </w:r>
          </w:p>
          <w:p w14:paraId="107716C0">
            <w:pPr>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（2）每提供一个运营商客户服务系统/工单系统建设案例得1分，本项最高得2分。</w:t>
            </w:r>
          </w:p>
          <w:p w14:paraId="5F071444">
            <w:pPr>
              <w:snapToGrid w:val="0"/>
              <w:rPr>
                <w:szCs w:val="21"/>
              </w:rPr>
            </w:pPr>
            <w:r>
              <w:rPr>
                <w:rFonts w:hint="eastAsia"/>
                <w:color w:val="000000" w:themeColor="text1"/>
                <w:szCs w:val="21"/>
                <w14:textFill>
                  <w14:solidFill>
                    <w14:schemeClr w14:val="tx1"/>
                  </w14:solidFill>
                </w14:textFill>
              </w:rPr>
              <w:t>（注：要求提供合同复印件，需提供以下页面：包括甲乙双方签字、盖章页面，提供客户联系方式，否则为无效案例）</w:t>
            </w:r>
          </w:p>
        </w:tc>
        <w:tc>
          <w:tcPr>
            <w:tcW w:w="585" w:type="pct"/>
            <w:tcBorders>
              <w:top w:val="single" w:color="010101" w:sz="6" w:space="0"/>
              <w:left w:val="single" w:color="010101" w:sz="6" w:space="0"/>
              <w:bottom w:val="single" w:color="010101" w:sz="6" w:space="0"/>
              <w:right w:val="single" w:color="010101" w:sz="6" w:space="0"/>
            </w:tcBorders>
          </w:tcPr>
          <w:p w14:paraId="652F8244">
            <w:pPr>
              <w:snapToGrid w:val="0"/>
              <w:rPr>
                <w:szCs w:val="21"/>
              </w:rPr>
            </w:pPr>
            <w:r>
              <w:rPr>
                <w:szCs w:val="21"/>
              </w:rPr>
              <w:t> </w:t>
            </w:r>
          </w:p>
        </w:tc>
      </w:tr>
      <w:tr w14:paraId="7381883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52"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1FA73EEA">
            <w:pPr>
              <w:snapToGrid w:val="0"/>
              <w:jc w:val="center"/>
              <w:rPr>
                <w:szCs w:val="21"/>
              </w:rPr>
            </w:pPr>
            <w:r>
              <w:rPr>
                <w:color w:val="010101"/>
                <w:szCs w:val="21"/>
              </w:rPr>
              <w:t>5</w:t>
            </w:r>
          </w:p>
        </w:tc>
        <w:tc>
          <w:tcPr>
            <w:tcW w:w="605" w:type="pct"/>
            <w:tcBorders>
              <w:top w:val="single" w:color="010101" w:sz="6" w:space="0"/>
              <w:left w:val="single" w:color="010101" w:sz="6" w:space="0"/>
              <w:bottom w:val="single" w:color="010101" w:sz="6" w:space="0"/>
              <w:right w:val="single" w:color="010101" w:sz="6" w:space="0"/>
            </w:tcBorders>
            <w:vAlign w:val="center"/>
          </w:tcPr>
          <w:p w14:paraId="255A7F85">
            <w:pPr>
              <w:snapToGrid w:val="0"/>
              <w:jc w:val="center"/>
              <w:rPr>
                <w:szCs w:val="21"/>
              </w:rPr>
            </w:pPr>
            <w:r>
              <w:rPr>
                <w:color w:val="010101"/>
                <w:szCs w:val="21"/>
              </w:rPr>
              <w:t>技术需求</w:t>
            </w:r>
          </w:p>
          <w:p w14:paraId="3BE4CBF2">
            <w:pPr>
              <w:snapToGrid w:val="0"/>
              <w:jc w:val="center"/>
              <w:rPr>
                <w:szCs w:val="21"/>
              </w:rPr>
            </w:pPr>
            <w:r>
              <w:rPr>
                <w:rFonts w:hint="eastAsia"/>
                <w:b/>
                <w:bCs/>
                <w:color w:val="010101"/>
                <w:szCs w:val="21"/>
              </w:rPr>
              <w:t>1</w:t>
            </w:r>
            <w:r>
              <w:rPr>
                <w:b/>
                <w:bCs/>
                <w:color w:val="010101"/>
                <w:szCs w:val="21"/>
              </w:rPr>
              <w:t>0分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636A8551">
            <w:r>
              <w:rPr>
                <w:rFonts w:hint="eastAsia"/>
              </w:rPr>
              <w:t>根据供应商对采购文件第五章《技术需求书》的偏离情况打分，基本分1</w:t>
            </w:r>
            <w:r>
              <w:t>0</w:t>
            </w:r>
            <w:r>
              <w:rPr>
                <w:rFonts w:hint="eastAsia"/>
              </w:rPr>
              <w:t>分。</w:t>
            </w:r>
          </w:p>
          <w:p w14:paraId="1B340723">
            <w:pPr>
              <w:snapToGrid w:val="0"/>
              <w:rPr>
                <w:szCs w:val="21"/>
              </w:rPr>
            </w:pPr>
            <w:r>
              <w:rPr>
                <w:rFonts w:hint="eastAsia"/>
              </w:rPr>
              <w:t>关键条款（“★”号条款）不满足的直接否决投标；非关键条款每项不满足扣3分，5条以及上非关键条款不满足的视为不实质性响应。</w:t>
            </w:r>
          </w:p>
        </w:tc>
        <w:tc>
          <w:tcPr>
            <w:tcW w:w="585" w:type="pct"/>
            <w:tcBorders>
              <w:top w:val="single" w:color="010101" w:sz="6" w:space="0"/>
              <w:left w:val="single" w:color="010101" w:sz="6" w:space="0"/>
              <w:bottom w:val="single" w:color="010101" w:sz="6" w:space="0"/>
              <w:right w:val="single" w:color="010101" w:sz="6" w:space="0"/>
            </w:tcBorders>
          </w:tcPr>
          <w:p w14:paraId="2BD41DC1">
            <w:pPr>
              <w:snapToGrid w:val="0"/>
              <w:rPr>
                <w:szCs w:val="21"/>
              </w:rPr>
            </w:pPr>
            <w:r>
              <w:rPr>
                <w:szCs w:val="21"/>
              </w:rPr>
              <w:t> </w:t>
            </w:r>
          </w:p>
        </w:tc>
      </w:tr>
      <w:tr w14:paraId="78D4247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04" w:hRule="atLeast"/>
          <w:jc w:val="center"/>
        </w:trPr>
        <w:tc>
          <w:tcPr>
            <w:tcW w:w="251" w:type="pct"/>
            <w:tcBorders>
              <w:top w:val="single" w:color="010101" w:sz="6" w:space="0"/>
              <w:left w:val="single" w:color="010101" w:sz="6" w:space="0"/>
              <w:bottom w:val="single" w:color="010101" w:sz="6" w:space="0"/>
              <w:right w:val="single" w:color="010101" w:sz="6" w:space="0"/>
            </w:tcBorders>
            <w:vAlign w:val="center"/>
          </w:tcPr>
          <w:p w14:paraId="0DAAB7F9">
            <w:pPr>
              <w:snapToGrid w:val="0"/>
              <w:jc w:val="center"/>
              <w:rPr>
                <w:color w:val="010101"/>
                <w:szCs w:val="21"/>
              </w:rPr>
            </w:pPr>
            <w:r>
              <w:rPr>
                <w:rFonts w:hint="eastAsia"/>
                <w:color w:val="010101"/>
                <w:szCs w:val="21"/>
              </w:rPr>
              <w:t>6</w:t>
            </w:r>
          </w:p>
        </w:tc>
        <w:tc>
          <w:tcPr>
            <w:tcW w:w="605" w:type="pct"/>
            <w:tcBorders>
              <w:top w:val="single" w:color="010101" w:sz="6" w:space="0"/>
              <w:left w:val="single" w:color="010101" w:sz="6" w:space="0"/>
              <w:bottom w:val="single" w:color="010101" w:sz="6" w:space="0"/>
              <w:right w:val="single" w:color="010101" w:sz="6" w:space="0"/>
            </w:tcBorders>
            <w:vAlign w:val="center"/>
          </w:tcPr>
          <w:p w14:paraId="6BC0CB53">
            <w:pPr>
              <w:snapToGrid w:val="0"/>
              <w:jc w:val="center"/>
            </w:pPr>
            <w:r>
              <w:rPr>
                <w:rFonts w:hint="eastAsia"/>
              </w:rPr>
              <w:t>免费保修期</w:t>
            </w:r>
          </w:p>
          <w:p w14:paraId="00C9F179">
            <w:pPr>
              <w:pStyle w:val="2"/>
              <w:ind w:firstLine="632"/>
              <w:jc w:val="center"/>
              <w:rPr>
                <w:b/>
                <w:bCs/>
              </w:rPr>
            </w:pPr>
            <w:r>
              <w:rPr>
                <w:rFonts w:hint="eastAsia"/>
                <w:b/>
                <w:bCs/>
                <w:sz w:val="21"/>
                <w:szCs w:val="24"/>
              </w:rPr>
              <w:t>6分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6B5D8B06">
            <w:r>
              <w:rPr>
                <w:rFonts w:hint="eastAsia"/>
              </w:rPr>
              <w:t>根据制造商承诺的免费包修期打分，满足《技术需求书》要求三年的基础上，每增加一年得3分，满分6分。</w:t>
            </w:r>
          </w:p>
          <w:p w14:paraId="28288734">
            <w:r>
              <w:rPr>
                <w:rFonts w:hint="eastAsia"/>
              </w:rPr>
              <w:t>提供制造商承诺并加盖制造商公章。</w:t>
            </w:r>
          </w:p>
        </w:tc>
        <w:tc>
          <w:tcPr>
            <w:tcW w:w="585" w:type="pct"/>
            <w:tcBorders>
              <w:top w:val="single" w:color="010101" w:sz="6" w:space="0"/>
              <w:left w:val="single" w:color="010101" w:sz="6" w:space="0"/>
              <w:bottom w:val="single" w:color="010101" w:sz="6" w:space="0"/>
              <w:right w:val="single" w:color="010101" w:sz="6" w:space="0"/>
            </w:tcBorders>
          </w:tcPr>
          <w:p w14:paraId="2584C07C">
            <w:pPr>
              <w:snapToGrid w:val="0"/>
              <w:rPr>
                <w:szCs w:val="21"/>
              </w:rPr>
            </w:pPr>
          </w:p>
        </w:tc>
      </w:tr>
      <w:tr w14:paraId="6306A52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77" w:hRule="atLeast"/>
          <w:jc w:val="center"/>
        </w:trPr>
        <w:tc>
          <w:tcPr>
            <w:tcW w:w="251" w:type="pct"/>
            <w:tcBorders>
              <w:top w:val="single" w:color="010101" w:sz="6" w:space="0"/>
              <w:left w:val="single" w:color="010101" w:sz="6" w:space="0"/>
              <w:bottom w:val="single" w:color="auto" w:sz="4" w:space="0"/>
              <w:right w:val="single" w:color="010101" w:sz="6" w:space="0"/>
            </w:tcBorders>
            <w:vAlign w:val="center"/>
          </w:tcPr>
          <w:p w14:paraId="5EAABECC">
            <w:pPr>
              <w:snapToGrid w:val="0"/>
              <w:jc w:val="center"/>
              <w:rPr>
                <w:color w:val="010101"/>
                <w:szCs w:val="21"/>
              </w:rPr>
            </w:pPr>
            <w:r>
              <w:rPr>
                <w:rFonts w:hint="eastAsia"/>
                <w:color w:val="010101"/>
                <w:szCs w:val="21"/>
              </w:rPr>
              <w:t>7</w:t>
            </w:r>
          </w:p>
        </w:tc>
        <w:tc>
          <w:tcPr>
            <w:tcW w:w="605" w:type="pct"/>
            <w:tcBorders>
              <w:top w:val="single" w:color="010101" w:sz="6" w:space="0"/>
              <w:left w:val="single" w:color="010101" w:sz="6" w:space="0"/>
              <w:bottom w:val="single" w:color="auto" w:sz="4" w:space="0"/>
              <w:right w:val="single" w:color="010101" w:sz="6" w:space="0"/>
            </w:tcBorders>
            <w:vAlign w:val="center"/>
          </w:tcPr>
          <w:p w14:paraId="44E98838">
            <w:pPr>
              <w:snapToGrid w:val="0"/>
              <w:jc w:val="center"/>
            </w:pPr>
            <w:r>
              <w:rPr>
                <w:rFonts w:hint="eastAsia"/>
              </w:rPr>
              <w:t>供货时限</w:t>
            </w:r>
          </w:p>
          <w:p w14:paraId="1C27139C">
            <w:pPr>
              <w:pStyle w:val="2"/>
              <w:ind w:firstLine="632"/>
              <w:jc w:val="center"/>
              <w:rPr>
                <w:b/>
                <w:bCs/>
              </w:rPr>
            </w:pPr>
            <w:r>
              <w:rPr>
                <w:rFonts w:hint="eastAsia"/>
                <w:b/>
                <w:bCs/>
                <w:sz w:val="21"/>
                <w:szCs w:val="24"/>
              </w:rPr>
              <w:t>2分</w:t>
            </w:r>
          </w:p>
        </w:tc>
        <w:tc>
          <w:tcPr>
            <w:tcW w:w="3558" w:type="pct"/>
            <w:tcBorders>
              <w:top w:val="single" w:color="010101" w:sz="6" w:space="0"/>
              <w:left w:val="single" w:color="010101" w:sz="6" w:space="0"/>
              <w:bottom w:val="single" w:color="010101" w:sz="6" w:space="0"/>
              <w:right w:val="single" w:color="010101" w:sz="6" w:space="0"/>
            </w:tcBorders>
            <w:vAlign w:val="center"/>
          </w:tcPr>
          <w:p w14:paraId="35D6BA90">
            <w:r>
              <w:rPr>
                <w:rFonts w:hint="eastAsia"/>
              </w:rPr>
              <w:t>根据供应商的交货期进行评分：</w:t>
            </w:r>
          </w:p>
          <w:p w14:paraId="732A2C2B">
            <w:r>
              <w:rPr>
                <w:rFonts w:hint="eastAsia"/>
              </w:rPr>
              <w:t>在满足30天到货的基础上，供应商承诺合同签订后到货时间每提前5天，得1分，满分2分，不提前不得分。</w:t>
            </w:r>
          </w:p>
        </w:tc>
        <w:tc>
          <w:tcPr>
            <w:tcW w:w="585" w:type="pct"/>
            <w:tcBorders>
              <w:top w:val="single" w:color="010101" w:sz="6" w:space="0"/>
              <w:left w:val="single" w:color="010101" w:sz="6" w:space="0"/>
              <w:bottom w:val="single" w:color="010101" w:sz="6" w:space="0"/>
              <w:right w:val="single" w:color="010101" w:sz="6" w:space="0"/>
            </w:tcBorders>
          </w:tcPr>
          <w:p w14:paraId="3A6F54F6">
            <w:pPr>
              <w:snapToGrid w:val="0"/>
              <w:rPr>
                <w:szCs w:val="21"/>
              </w:rPr>
            </w:pPr>
          </w:p>
        </w:tc>
      </w:tr>
      <w:tr w14:paraId="52393E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92"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6EEC7960">
            <w:pPr>
              <w:snapToGrid w:val="0"/>
              <w:jc w:val="center"/>
              <w:rPr>
                <w:szCs w:val="21"/>
              </w:rPr>
            </w:pPr>
            <w:r>
              <w:rPr>
                <w:rFonts w:hint="eastAsia"/>
                <w:szCs w:val="21"/>
              </w:rPr>
              <w:t>8</w:t>
            </w:r>
          </w:p>
        </w:tc>
        <w:tc>
          <w:tcPr>
            <w:tcW w:w="605" w:type="pct"/>
            <w:tcBorders>
              <w:top w:val="single" w:color="auto" w:sz="4" w:space="0"/>
              <w:left w:val="single" w:color="auto" w:sz="4" w:space="0"/>
              <w:bottom w:val="single" w:color="auto" w:sz="4" w:space="0"/>
              <w:right w:val="single" w:color="auto" w:sz="4" w:space="0"/>
            </w:tcBorders>
            <w:vAlign w:val="center"/>
          </w:tcPr>
          <w:p w14:paraId="52EC499E">
            <w:pPr>
              <w:pStyle w:val="2"/>
              <w:jc w:val="center"/>
              <w:rPr>
                <w:color w:val="010101"/>
                <w:sz w:val="21"/>
                <w:szCs w:val="21"/>
              </w:rPr>
            </w:pPr>
            <w:r>
              <w:rPr>
                <w:rFonts w:hint="eastAsia"/>
                <w:color w:val="010101"/>
                <w:sz w:val="21"/>
                <w:szCs w:val="21"/>
              </w:rPr>
              <w:t>服务人员资质</w:t>
            </w:r>
            <w:r>
              <w:rPr>
                <w:rFonts w:hint="eastAsia"/>
                <w:b/>
                <w:bCs/>
                <w:color w:val="010101"/>
                <w:sz w:val="21"/>
                <w:szCs w:val="21"/>
              </w:rPr>
              <w:t>4分</w:t>
            </w:r>
          </w:p>
        </w:tc>
        <w:tc>
          <w:tcPr>
            <w:tcW w:w="3558" w:type="pct"/>
            <w:tcBorders>
              <w:top w:val="single" w:color="010101" w:sz="6" w:space="0"/>
              <w:left w:val="single" w:color="auto" w:sz="4" w:space="0"/>
              <w:bottom w:val="single" w:color="010101" w:sz="6" w:space="0"/>
              <w:right w:val="single" w:color="010101" w:sz="6" w:space="0"/>
            </w:tcBorders>
            <w:vAlign w:val="center"/>
          </w:tcPr>
          <w:p w14:paraId="0E696C05">
            <w:r>
              <w:rPr>
                <w:rFonts w:hint="eastAsia"/>
              </w:rPr>
              <w:t>根据制造商服务人员的资质情况进行打分：</w:t>
            </w:r>
          </w:p>
          <w:p w14:paraId="085CA97D">
            <w:r>
              <w:rPr>
                <w:rFonts w:hint="eastAsia"/>
              </w:rPr>
              <w:t>1、根据制造商项目经理具备的有效期内 CISP、CISSP、PMP、系统集成项目管理高级工程师证书打分，每具备一项得0.5分，最高得</w:t>
            </w:r>
            <w:r>
              <w:t>2</w:t>
            </w:r>
            <w:r>
              <w:rPr>
                <w:rFonts w:hint="eastAsia"/>
              </w:rPr>
              <w:t>分。</w:t>
            </w:r>
          </w:p>
          <w:p w14:paraId="102B2C7C">
            <w:r>
              <w:rPr>
                <w:rFonts w:hint="eastAsia"/>
              </w:rPr>
              <w:t>2、根据制造商实施工程师具备的有效期内 CISP、CISSP认证证书打分，每具备一项得1分，最高得2分。</w:t>
            </w:r>
          </w:p>
          <w:p w14:paraId="44F033CA">
            <w:pPr>
              <w:snapToGrid w:val="0"/>
              <w:rPr>
                <w:kern w:val="0"/>
                <w:szCs w:val="21"/>
              </w:rPr>
            </w:pPr>
            <w:r>
              <w:rPr>
                <w:rFonts w:hint="eastAsia"/>
              </w:rPr>
              <w:t>注：须提供认证证书、证书持有人员自2023年1月至今任意三个月的社保缴纳证明文件，加盖制造商公章。以上材料缺少即不得分。</w:t>
            </w:r>
          </w:p>
        </w:tc>
        <w:tc>
          <w:tcPr>
            <w:tcW w:w="585" w:type="pct"/>
            <w:tcBorders>
              <w:top w:val="single" w:color="010101" w:sz="6" w:space="0"/>
              <w:left w:val="single" w:color="010101" w:sz="6" w:space="0"/>
              <w:bottom w:val="single" w:color="010101" w:sz="6" w:space="0"/>
              <w:right w:val="single" w:color="010101" w:sz="6" w:space="0"/>
            </w:tcBorders>
            <w:vAlign w:val="center"/>
          </w:tcPr>
          <w:p w14:paraId="0241D964">
            <w:pPr>
              <w:snapToGrid w:val="0"/>
              <w:rPr>
                <w:szCs w:val="21"/>
              </w:rPr>
            </w:pPr>
            <w:r>
              <w:rPr>
                <w:szCs w:val="21"/>
              </w:rPr>
              <w:t> </w:t>
            </w:r>
          </w:p>
          <w:p w14:paraId="06C6F83A">
            <w:pPr>
              <w:snapToGrid w:val="0"/>
              <w:rPr>
                <w:szCs w:val="21"/>
              </w:rPr>
            </w:pPr>
          </w:p>
        </w:tc>
      </w:tr>
      <w:tr w14:paraId="1F5CE4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251" w:type="pct"/>
            <w:tcBorders>
              <w:top w:val="single" w:color="auto" w:sz="4" w:space="0"/>
              <w:left w:val="single" w:color="auto" w:sz="4" w:space="0"/>
              <w:bottom w:val="single" w:color="auto" w:sz="4" w:space="0"/>
              <w:right w:val="single" w:color="auto" w:sz="4" w:space="0"/>
            </w:tcBorders>
            <w:vAlign w:val="center"/>
          </w:tcPr>
          <w:p w14:paraId="3952F55B">
            <w:pPr>
              <w:snapToGrid w:val="0"/>
              <w:jc w:val="center"/>
              <w:rPr>
                <w:color w:val="010101"/>
                <w:szCs w:val="21"/>
              </w:rPr>
            </w:pPr>
            <w:r>
              <w:rPr>
                <w:rFonts w:hint="eastAsia"/>
                <w:color w:val="010101"/>
                <w:szCs w:val="21"/>
              </w:rPr>
              <w:t>9</w:t>
            </w:r>
          </w:p>
        </w:tc>
        <w:tc>
          <w:tcPr>
            <w:tcW w:w="605" w:type="pct"/>
            <w:tcBorders>
              <w:top w:val="single" w:color="auto" w:sz="4" w:space="0"/>
              <w:left w:val="single" w:color="auto" w:sz="4" w:space="0"/>
              <w:bottom w:val="single" w:color="auto" w:sz="4" w:space="0"/>
              <w:right w:val="single" w:color="auto" w:sz="4" w:space="0"/>
            </w:tcBorders>
            <w:vAlign w:val="center"/>
          </w:tcPr>
          <w:p w14:paraId="406DD6F6">
            <w:pPr>
              <w:snapToGrid w:val="0"/>
              <w:jc w:val="center"/>
              <w:rPr>
                <w:szCs w:val="21"/>
              </w:rPr>
            </w:pPr>
            <w:r>
              <w:rPr>
                <w:color w:val="010101"/>
                <w:szCs w:val="21"/>
              </w:rPr>
              <w:t>服务能力</w:t>
            </w:r>
          </w:p>
          <w:p w14:paraId="77F7C056">
            <w:pPr>
              <w:snapToGrid w:val="0"/>
              <w:jc w:val="center"/>
              <w:rPr>
                <w:b/>
                <w:bCs/>
                <w:color w:val="010101"/>
                <w:szCs w:val="21"/>
              </w:rPr>
            </w:pPr>
            <w:r>
              <w:rPr>
                <w:rFonts w:hint="eastAsia"/>
                <w:b/>
                <w:bCs/>
                <w:color w:val="010101"/>
                <w:szCs w:val="21"/>
              </w:rPr>
              <w:t>2</w:t>
            </w:r>
            <w:r>
              <w:rPr>
                <w:b/>
                <w:bCs/>
                <w:color w:val="010101"/>
                <w:szCs w:val="21"/>
              </w:rPr>
              <w:t>分</w:t>
            </w:r>
          </w:p>
          <w:p w14:paraId="04804C2D">
            <w:pPr>
              <w:snapToGrid w:val="0"/>
              <w:jc w:val="center"/>
              <w:rPr>
                <w:color w:val="010101"/>
                <w:szCs w:val="21"/>
              </w:rPr>
            </w:pPr>
          </w:p>
        </w:tc>
        <w:tc>
          <w:tcPr>
            <w:tcW w:w="3558" w:type="pct"/>
            <w:tcBorders>
              <w:top w:val="single" w:color="010101" w:sz="6" w:space="0"/>
              <w:left w:val="single" w:color="auto" w:sz="4" w:space="0"/>
              <w:bottom w:val="single" w:color="010101" w:sz="6" w:space="0"/>
              <w:right w:val="single" w:color="010101" w:sz="6" w:space="0"/>
            </w:tcBorders>
            <w:vAlign w:val="center"/>
          </w:tcPr>
          <w:p w14:paraId="273A5B10">
            <w:pPr>
              <w:tabs>
                <w:tab w:val="left" w:pos="0"/>
                <w:tab w:val="left" w:pos="402"/>
              </w:tabs>
              <w:rPr>
                <w:color w:val="0D0D0D" w:themeColor="text1" w:themeTint="F2"/>
                <w:kern w:val="0"/>
                <w:szCs w:val="21"/>
                <w14:textFill>
                  <w14:solidFill>
                    <w14:schemeClr w14:val="tx1">
                      <w14:lumMod w14:val="95000"/>
                      <w14:lumOff w14:val="5000"/>
                    </w14:schemeClr>
                  </w14:solidFill>
                </w14:textFill>
              </w:rPr>
            </w:pPr>
            <w:r>
              <w:rPr>
                <w:rFonts w:hint="eastAsia"/>
                <w:color w:val="0D0D0D" w:themeColor="text1" w:themeTint="F2"/>
                <w:kern w:val="0"/>
                <w:szCs w:val="21"/>
                <w14:textFill>
                  <w14:solidFill>
                    <w14:schemeClr w14:val="tx1">
                      <w14:lumMod w14:val="95000"/>
                      <w14:lumOff w14:val="5000"/>
                    </w14:schemeClr>
                  </w14:solidFill>
                </w14:textFill>
              </w:rPr>
              <w:t>1、</w:t>
            </w:r>
            <w:r>
              <w:rPr>
                <w:color w:val="0D0D0D" w:themeColor="text1" w:themeTint="F2"/>
                <w:kern w:val="0"/>
                <w:szCs w:val="21"/>
                <w14:textFill>
                  <w14:solidFill>
                    <w14:schemeClr w14:val="tx1">
                      <w14:lumMod w14:val="95000"/>
                      <w14:lumOff w14:val="5000"/>
                    </w14:schemeClr>
                  </w14:solidFill>
                </w14:textFill>
              </w:rPr>
              <w:t>根据</w:t>
            </w:r>
            <w:r>
              <w:rPr>
                <w:rFonts w:hint="eastAsia"/>
                <w:color w:val="0D0D0D" w:themeColor="text1" w:themeTint="F2"/>
                <w:kern w:val="0"/>
                <w:szCs w:val="21"/>
                <w14:textFill>
                  <w14:solidFill>
                    <w14:schemeClr w14:val="tx1">
                      <w14:lumMod w14:val="95000"/>
                      <w14:lumOff w14:val="5000"/>
                    </w14:schemeClr>
                  </w14:solidFill>
                </w14:textFill>
              </w:rPr>
              <w:t>制造商</w:t>
            </w:r>
            <w:r>
              <w:rPr>
                <w:color w:val="0D0D0D" w:themeColor="text1" w:themeTint="F2"/>
                <w:kern w:val="0"/>
                <w:szCs w:val="21"/>
                <w14:textFill>
                  <w14:solidFill>
                    <w14:schemeClr w14:val="tx1">
                      <w14:lumMod w14:val="95000"/>
                      <w14:lumOff w14:val="5000"/>
                    </w14:schemeClr>
                  </w14:solidFill>
                </w14:textFill>
              </w:rPr>
              <w:t>售后服务体系（包括但不限于售后</w:t>
            </w:r>
            <w:r>
              <w:rPr>
                <w:rFonts w:hint="eastAsia"/>
                <w:color w:val="0D0D0D" w:themeColor="text1" w:themeTint="F2"/>
                <w:kern w:val="0"/>
                <w:szCs w:val="21"/>
                <w14:textFill>
                  <w14:solidFill>
                    <w14:schemeClr w14:val="tx1">
                      <w14:lumMod w14:val="95000"/>
                      <w14:lumOff w14:val="5000"/>
                    </w14:schemeClr>
                  </w14:solidFill>
                </w14:textFill>
              </w:rPr>
              <w:t>服务内容、</w:t>
            </w:r>
            <w:r>
              <w:rPr>
                <w:color w:val="0D0D0D" w:themeColor="text1" w:themeTint="F2"/>
                <w:kern w:val="0"/>
                <w:szCs w:val="21"/>
                <w14:textFill>
                  <w14:solidFill>
                    <w14:schemeClr w14:val="tx1">
                      <w14:lumMod w14:val="95000"/>
                      <w14:lumOff w14:val="5000"/>
                    </w14:schemeClr>
                  </w14:solidFill>
                </w14:textFill>
              </w:rPr>
              <w:t>服务响应、应急方案、应急维护响应时间、故障响应支持、产品升级及维护服务）和技术培训计划打分。</w:t>
            </w:r>
          </w:p>
          <w:p w14:paraId="57418873">
            <w:pPr>
              <w:snapToGrid w:val="0"/>
              <w:rPr>
                <w:color w:val="0D0D0D" w:themeColor="text1" w:themeTint="F2"/>
                <w:kern w:val="0"/>
                <w:szCs w:val="21"/>
                <w14:textFill>
                  <w14:solidFill>
                    <w14:schemeClr w14:val="tx1">
                      <w14:lumMod w14:val="95000"/>
                      <w14:lumOff w14:val="5000"/>
                    </w14:schemeClr>
                  </w14:solidFill>
                </w14:textFill>
              </w:rPr>
            </w:pPr>
            <w:r>
              <w:rPr>
                <w:color w:val="0D0D0D" w:themeColor="text1" w:themeTint="F2"/>
                <w:kern w:val="0"/>
                <w:szCs w:val="21"/>
                <w14:textFill>
                  <w14:solidFill>
                    <w14:schemeClr w14:val="tx1">
                      <w14:lumMod w14:val="95000"/>
                      <w14:lumOff w14:val="5000"/>
                    </w14:schemeClr>
                  </w14:solidFill>
                </w14:textFill>
              </w:rPr>
              <w:t>优良(1，2]分；一般[0，1]分。</w:t>
            </w:r>
          </w:p>
        </w:tc>
        <w:tc>
          <w:tcPr>
            <w:tcW w:w="585" w:type="pct"/>
            <w:tcBorders>
              <w:top w:val="single" w:color="010101" w:sz="6" w:space="0"/>
              <w:left w:val="single" w:color="010101" w:sz="6" w:space="0"/>
              <w:bottom w:val="single" w:color="010101" w:sz="6" w:space="0"/>
              <w:right w:val="single" w:color="010101" w:sz="6" w:space="0"/>
            </w:tcBorders>
            <w:vAlign w:val="center"/>
          </w:tcPr>
          <w:p w14:paraId="3C175EE1">
            <w:pPr>
              <w:snapToGrid w:val="0"/>
              <w:rPr>
                <w:szCs w:val="21"/>
              </w:rPr>
            </w:pPr>
          </w:p>
          <w:p w14:paraId="4E022FF9">
            <w:pPr>
              <w:pStyle w:val="2"/>
              <w:ind w:firstLine="840"/>
            </w:pPr>
          </w:p>
        </w:tc>
      </w:tr>
    </w:tbl>
    <w:p w14:paraId="2CE599EC">
      <w:pPr>
        <w:spacing w:line="360" w:lineRule="auto"/>
        <w:rPr>
          <w:b/>
          <w:bCs/>
          <w:sz w:val="24"/>
        </w:rPr>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14:paraId="1D3755D1">
      <w:pPr>
        <w:pStyle w:val="3"/>
        <w:numPr>
          <w:ilvl w:val="0"/>
          <w:numId w:val="0"/>
        </w:numPr>
        <w:spacing w:before="0" w:after="0" w:line="360" w:lineRule="auto"/>
        <w:rPr>
          <w:b/>
          <w:color w:val="000000"/>
          <w:sz w:val="36"/>
          <w:szCs w:val="36"/>
        </w:rPr>
      </w:pPr>
      <w:r>
        <w:br w:type="page"/>
      </w:r>
      <w:bookmarkStart w:id="20" w:name="_Toc69378618"/>
      <w:r>
        <w:rPr>
          <w:rFonts w:hint="eastAsia"/>
          <w:b/>
          <w:sz w:val="36"/>
          <w:szCs w:val="36"/>
        </w:rPr>
        <w:t>第四章</w:t>
      </w:r>
      <w:r>
        <w:rPr>
          <w:b/>
          <w:sz w:val="36"/>
          <w:szCs w:val="36"/>
        </w:rPr>
        <w:t>合同格式</w:t>
      </w:r>
      <w:bookmarkEnd w:id="20"/>
    </w:p>
    <w:p w14:paraId="63DE0D6E">
      <w:pPr>
        <w:widowControl/>
        <w:spacing w:line="360" w:lineRule="auto"/>
        <w:ind w:firstLine="480" w:firstLineChars="200"/>
        <w:jc w:val="left"/>
        <w:rPr>
          <w:sz w:val="24"/>
        </w:rPr>
      </w:pPr>
      <w:r>
        <w:rPr>
          <w:sz w:val="24"/>
        </w:rPr>
        <w:t>除了对</w:t>
      </w:r>
      <w:r>
        <w:rPr>
          <w:rFonts w:hint="eastAsia"/>
          <w:sz w:val="24"/>
        </w:rPr>
        <w:t>谈判</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谈判</w:t>
      </w:r>
      <w:r>
        <w:rPr>
          <w:sz w:val="24"/>
        </w:rPr>
        <w:t>文件第</w:t>
      </w:r>
      <w:r>
        <w:rPr>
          <w:rFonts w:hint="eastAsia"/>
          <w:sz w:val="24"/>
        </w:rPr>
        <w:t>四</w:t>
      </w:r>
      <w:r>
        <w:rPr>
          <w:sz w:val="24"/>
        </w:rPr>
        <w:t>章《合同格式》内容的任何负偏离均将</w:t>
      </w:r>
      <w:r>
        <w:rPr>
          <w:rFonts w:hint="eastAsia"/>
          <w:sz w:val="24"/>
        </w:rPr>
        <w:t>视为不实质性响应</w:t>
      </w:r>
      <w:r>
        <w:rPr>
          <w:sz w:val="24"/>
        </w:rPr>
        <w:t>。</w:t>
      </w:r>
    </w:p>
    <w:p w14:paraId="29F333DC">
      <w:pPr>
        <w:widowControl/>
        <w:spacing w:line="300" w:lineRule="auto"/>
        <w:jc w:val="left"/>
        <w:rPr>
          <w:b/>
          <w:color w:val="000000"/>
        </w:rPr>
      </w:pPr>
      <w:r>
        <w:rPr>
          <w:rFonts w:eastAsia="黑体"/>
          <w:bCs/>
          <w:color w:val="000000"/>
          <w:sz w:val="52"/>
          <w:szCs w:val="52"/>
        </w:rPr>
        <w:br w:type="page"/>
      </w:r>
    </w:p>
    <w:p w14:paraId="480A4FDE">
      <w:pPr>
        <w:spacing w:line="300" w:lineRule="auto"/>
        <w:jc w:val="center"/>
        <w:rPr>
          <w:rFonts w:ascii="黑体" w:hAnsi="宋体" w:eastAsia="黑体"/>
          <w:color w:val="000000"/>
          <w:kern w:val="0"/>
        </w:rPr>
      </w:pPr>
      <w:r>
        <w:rPr>
          <w:rFonts w:hint="eastAsia" w:eastAsia="黑体"/>
          <w:color w:val="000000"/>
          <w:sz w:val="37"/>
        </w:rPr>
        <w:t>合同格式</w:t>
      </w:r>
    </w:p>
    <w:p w14:paraId="768CA1E2">
      <w:pPr>
        <w:spacing w:line="360" w:lineRule="auto"/>
        <w:ind w:firstLine="422" w:firstLineChars="200"/>
        <w:rPr>
          <w:rFonts w:ascii="宋体" w:hAnsi="宋体" w:cs="宋体"/>
          <w:color w:val="000000"/>
          <w:szCs w:val="21"/>
        </w:rPr>
      </w:pPr>
      <w:r>
        <w:rPr>
          <w:rFonts w:hint="eastAsia" w:ascii="宋体" w:hAnsi="宋体" w:cs="宋体"/>
          <w:b/>
          <w:color w:val="000000"/>
          <w:szCs w:val="21"/>
          <w:u w:val="single"/>
        </w:rPr>
        <w:t>江苏省广电有线信息网络股份有限公司（以下简称“甲方”）</w:t>
      </w:r>
      <w:r>
        <w:rPr>
          <w:rFonts w:hint="eastAsia" w:ascii="宋体" w:hAnsi="宋体" w:cs="宋体"/>
          <w:color w:val="000000"/>
          <w:szCs w:val="21"/>
        </w:rPr>
        <w:t>就</w:t>
      </w:r>
      <w:r>
        <w:rPr>
          <w:rFonts w:hint="eastAsia" w:ascii="宋体" w:hAnsi="宋体" w:cs="宋体"/>
          <w:b/>
          <w:bCs/>
          <w:color w:val="000000"/>
          <w:szCs w:val="21"/>
          <w:u w:val="single"/>
        </w:rPr>
        <w:t>10090</w:t>
      </w:r>
      <w:r>
        <w:rPr>
          <w:rFonts w:hint="eastAsia" w:ascii="宋体" w:hAnsi="宋体" w:cs="宋体"/>
          <w:b/>
          <w:color w:val="000000"/>
          <w:szCs w:val="21"/>
          <w:u w:val="single"/>
        </w:rPr>
        <w:t>服务质量监督热线建设项目</w:t>
      </w:r>
      <w:r>
        <w:rPr>
          <w:rFonts w:hint="eastAsia" w:ascii="宋体" w:hAnsi="宋体" w:cs="宋体"/>
          <w:color w:val="000000"/>
          <w:szCs w:val="21"/>
        </w:rPr>
        <w:t>的采购及相关服务组织了竞争性谈判，经评委会严格评审，本项目由</w:t>
      </w:r>
      <w:r>
        <w:rPr>
          <w:rFonts w:hint="eastAsia" w:ascii="宋体" w:hAnsi="宋体" w:cs="宋体"/>
          <w:b/>
          <w:color w:val="000000"/>
          <w:szCs w:val="21"/>
          <w:u w:val="single"/>
        </w:rPr>
        <w:t xml:space="preserve">  公司（以下简称“乙方”）</w:t>
      </w:r>
      <w:r>
        <w:rPr>
          <w:rFonts w:hint="eastAsia" w:ascii="宋体" w:hAnsi="宋体" w:cs="宋体"/>
          <w:color w:val="000000"/>
          <w:szCs w:val="21"/>
        </w:rPr>
        <w:t>中选。</w:t>
      </w:r>
    </w:p>
    <w:p w14:paraId="4304B56F">
      <w:pPr>
        <w:spacing w:line="360" w:lineRule="auto"/>
        <w:ind w:firstLine="420" w:firstLineChars="200"/>
        <w:rPr>
          <w:rFonts w:ascii="宋体" w:hAnsi="宋体" w:cs="宋体"/>
          <w:color w:val="000000"/>
          <w:szCs w:val="21"/>
        </w:rPr>
      </w:pPr>
      <w:r>
        <w:rPr>
          <w:rFonts w:hint="eastAsia" w:ascii="宋体" w:hAnsi="宋体" w:cs="宋体"/>
          <w:bCs/>
          <w:color w:val="000000"/>
          <w:szCs w:val="21"/>
        </w:rPr>
        <w:t>甲、乙双方根据</w:t>
      </w:r>
      <w:r>
        <w:rPr>
          <w:rFonts w:hint="eastAsia" w:ascii="宋体" w:hAnsi="宋体" w:cs="宋体"/>
          <w:b/>
          <w:bCs/>
          <w:color w:val="000000"/>
          <w:szCs w:val="21"/>
          <w:u w:val="single"/>
        </w:rPr>
        <w:t>10090</w:t>
      </w:r>
      <w:r>
        <w:rPr>
          <w:rFonts w:hint="eastAsia" w:ascii="宋体" w:hAnsi="宋体" w:cs="宋体"/>
          <w:b/>
          <w:color w:val="000000"/>
          <w:szCs w:val="21"/>
          <w:u w:val="single"/>
        </w:rPr>
        <w:t>服务质量监督热线建设项目</w:t>
      </w:r>
      <w:r>
        <w:rPr>
          <w:rFonts w:hint="eastAsia" w:ascii="宋体" w:hAnsi="宋体" w:cs="宋体"/>
          <w:color w:val="000000"/>
          <w:szCs w:val="21"/>
        </w:rPr>
        <w:t>竞争性谈判文件的规定、乙方响应文件及谈判时乙方做出的书面承诺，依法签订本合同。</w:t>
      </w:r>
    </w:p>
    <w:p w14:paraId="23255966">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bookmarkStart w:id="21" w:name="_Toc69378619"/>
      <w:bookmarkStart w:id="22" w:name="_Toc69378620"/>
      <w:r>
        <w:rPr>
          <w:rFonts w:hint="eastAsia" w:ascii="宋体" w:hAnsi="宋体" w:eastAsia="宋体" w:cs="宋体"/>
          <w:b/>
          <w:bCs w:val="0"/>
          <w:sz w:val="21"/>
          <w:szCs w:val="21"/>
        </w:rPr>
        <w:t>一、项目标的和内容</w:t>
      </w:r>
      <w:bookmarkEnd w:id="21"/>
    </w:p>
    <w:p w14:paraId="6F3015CB">
      <w:pPr>
        <w:numPr>
          <w:ilvl w:val="1"/>
          <w:numId w:val="5"/>
        </w:numPr>
        <w:tabs>
          <w:tab w:val="left" w:pos="0"/>
          <w:tab w:val="clear" w:pos="1155"/>
        </w:tabs>
        <w:spacing w:line="360" w:lineRule="auto"/>
        <w:ind w:left="0" w:firstLine="0"/>
        <w:rPr>
          <w:rFonts w:ascii="宋体" w:hAnsi="宋体" w:cs="宋体"/>
          <w:szCs w:val="21"/>
        </w:rPr>
      </w:pPr>
      <w:r>
        <w:rPr>
          <w:rFonts w:hint="eastAsia" w:ascii="宋体" w:hAnsi="宋体" w:cs="宋体"/>
          <w:szCs w:val="21"/>
        </w:rPr>
        <w:t>项目标的内容包括乙方按照甲方具体要求供应“</w:t>
      </w:r>
      <w:r>
        <w:rPr>
          <w:rFonts w:hint="eastAsia" w:ascii="宋体" w:hAnsi="宋体" w:cs="宋体"/>
          <w:b/>
          <w:bCs/>
          <w:color w:val="000000"/>
          <w:szCs w:val="21"/>
          <w:u w:val="single"/>
        </w:rPr>
        <w:t>10090</w:t>
      </w:r>
      <w:r>
        <w:rPr>
          <w:rFonts w:hint="eastAsia" w:ascii="宋体" w:hAnsi="宋体" w:cs="宋体"/>
          <w:b/>
          <w:color w:val="000000"/>
          <w:szCs w:val="21"/>
          <w:u w:val="single"/>
        </w:rPr>
        <w:t>服务质量监督热线建设项目</w:t>
      </w:r>
      <w:r>
        <w:rPr>
          <w:rFonts w:hint="eastAsia" w:ascii="宋体" w:hAnsi="宋体" w:cs="宋体"/>
          <w:szCs w:val="21"/>
        </w:rPr>
        <w:t>”提供软件开发服务，并完成所有系统的安装、调试、对接及操作培训工作，同时乙方承诺配合甲方及甲方指定的厂商完成相关的系统集成。具体开发内容明细及总价等详见附件二：价格表。</w:t>
      </w:r>
    </w:p>
    <w:p w14:paraId="7ABF2FE7">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二、合同总价</w:t>
      </w:r>
      <w:bookmarkEnd w:id="22"/>
    </w:p>
    <w:p w14:paraId="3CC396A7">
      <w:pPr>
        <w:numPr>
          <w:ilvl w:val="1"/>
          <w:numId w:val="5"/>
        </w:numPr>
        <w:tabs>
          <w:tab w:val="left" w:pos="0"/>
          <w:tab w:val="clear" w:pos="1155"/>
        </w:tabs>
        <w:spacing w:line="360" w:lineRule="auto"/>
        <w:ind w:left="0" w:firstLine="0"/>
        <w:rPr>
          <w:rFonts w:ascii="宋体" w:hAnsi="宋体" w:cs="宋体"/>
          <w:color w:val="000000"/>
          <w:szCs w:val="21"/>
        </w:rPr>
      </w:pPr>
      <w:r>
        <w:rPr>
          <w:rFonts w:hint="eastAsia" w:ascii="宋体" w:hAnsi="宋体" w:cs="宋体"/>
          <w:color w:val="000000"/>
          <w:szCs w:val="21"/>
        </w:rPr>
        <w:t>合同总价</w:t>
      </w:r>
      <w:r>
        <w:rPr>
          <w:rFonts w:hint="eastAsia" w:ascii="宋体" w:hAnsi="宋体" w:cs="宋体"/>
          <w:b/>
          <w:color w:val="000000"/>
          <w:szCs w:val="21"/>
        </w:rPr>
        <w:t>（人民币大写）：</w:t>
      </w:r>
      <w:r>
        <w:rPr>
          <w:rFonts w:hint="eastAsia" w:ascii="宋体" w:hAnsi="宋体" w:cs="宋体"/>
          <w:color w:val="000000"/>
          <w:szCs w:val="21"/>
        </w:rPr>
        <w:t>。</w:t>
      </w:r>
    </w:p>
    <w:p w14:paraId="3F293C41">
      <w:pPr>
        <w:spacing w:line="360" w:lineRule="auto"/>
        <w:ind w:firstLine="1265" w:firstLineChars="600"/>
        <w:rPr>
          <w:rFonts w:ascii="宋体" w:hAnsi="宋体" w:cs="宋体"/>
          <w:color w:val="000000"/>
          <w:szCs w:val="21"/>
        </w:rPr>
      </w:pPr>
      <w:r>
        <w:rPr>
          <w:rFonts w:hint="eastAsia" w:ascii="宋体" w:hAnsi="宋体" w:cs="宋体"/>
          <w:b/>
          <w:color w:val="000000"/>
          <w:szCs w:val="21"/>
        </w:rPr>
        <w:t>（人民币小写）：</w:t>
      </w:r>
      <w:r>
        <w:rPr>
          <w:rFonts w:hint="eastAsia" w:ascii="宋体" w:hAnsi="宋体" w:cs="宋体"/>
          <w:b/>
          <w:color w:val="000000"/>
          <w:szCs w:val="21"/>
          <w:u w:val="single"/>
        </w:rPr>
        <w:t>￥</w:t>
      </w:r>
      <w:r>
        <w:rPr>
          <w:rFonts w:hint="eastAsia" w:ascii="宋体" w:hAnsi="宋体" w:cs="宋体"/>
          <w:color w:val="000000"/>
          <w:szCs w:val="21"/>
        </w:rPr>
        <w:t>。</w:t>
      </w:r>
    </w:p>
    <w:p w14:paraId="5312615D">
      <w:pPr>
        <w:numPr>
          <w:ilvl w:val="1"/>
          <w:numId w:val="5"/>
        </w:numPr>
        <w:tabs>
          <w:tab w:val="left" w:pos="0"/>
          <w:tab w:val="clear" w:pos="1155"/>
        </w:tabs>
        <w:spacing w:line="360" w:lineRule="auto"/>
        <w:ind w:left="0" w:firstLine="0"/>
        <w:rPr>
          <w:rFonts w:ascii="宋体" w:hAnsi="宋体" w:cs="宋体"/>
          <w:szCs w:val="21"/>
        </w:rPr>
      </w:pPr>
      <w:bookmarkStart w:id="23" w:name="_Hlk70610090"/>
      <w:r>
        <w:rPr>
          <w:rFonts w:hint="eastAsia" w:ascii="宋体" w:hAnsi="宋体" w:cs="宋体"/>
          <w:szCs w:val="21"/>
        </w:rPr>
        <w:t>合同总价系指按本合同的规定，乙方在完全履行了合同的义务后，甲方支付给乙方的总价款，包括但不限于软硬件的采购费、包装费、运输费、保险费、安装调试费、随机提供的备品备件和专用工具费、检测验收费、培训费、售后服务费，以及与所供产品和服务有关的一切税费，除此之外，</w:t>
      </w:r>
      <w:r>
        <w:rPr>
          <w:rFonts w:hint="eastAsia" w:ascii="宋体" w:hAnsi="宋体" w:cs="宋体"/>
          <w:color w:val="262626"/>
          <w:szCs w:val="21"/>
        </w:rPr>
        <w:t>甲</w:t>
      </w:r>
      <w:r>
        <w:rPr>
          <w:rFonts w:hint="eastAsia" w:ascii="宋体" w:hAnsi="宋体" w:cs="宋体"/>
          <w:szCs w:val="21"/>
        </w:rPr>
        <w:t>方不再以任何名义、任何方式向</w:t>
      </w:r>
      <w:r>
        <w:rPr>
          <w:rFonts w:hint="eastAsia" w:ascii="宋体" w:hAnsi="宋体" w:cs="宋体"/>
          <w:color w:val="262626"/>
          <w:szCs w:val="21"/>
        </w:rPr>
        <w:t>乙</w:t>
      </w:r>
      <w:r>
        <w:rPr>
          <w:rFonts w:hint="eastAsia" w:ascii="宋体" w:hAnsi="宋体" w:cs="宋体"/>
          <w:szCs w:val="21"/>
        </w:rPr>
        <w:t>方支付费用。</w:t>
      </w:r>
    </w:p>
    <w:p w14:paraId="5B0BCECF">
      <w:pPr>
        <w:numPr>
          <w:ilvl w:val="1"/>
          <w:numId w:val="5"/>
        </w:numPr>
        <w:tabs>
          <w:tab w:val="left" w:pos="0"/>
          <w:tab w:val="clear" w:pos="1155"/>
        </w:tabs>
        <w:spacing w:line="360" w:lineRule="auto"/>
        <w:ind w:left="0" w:firstLine="0"/>
        <w:rPr>
          <w:rFonts w:ascii="宋体" w:hAnsi="宋体" w:cs="宋体"/>
          <w:szCs w:val="21"/>
        </w:rPr>
      </w:pPr>
      <w:r>
        <w:rPr>
          <w:rFonts w:hint="eastAsia" w:ascii="宋体" w:hAnsi="宋体" w:cs="宋体"/>
          <w:szCs w:val="21"/>
        </w:rPr>
        <w:t>当国家法定增值税税率发生变更，甲乙双方约定以含税价格不变作为基准，调整增值税税额</w:t>
      </w:r>
      <w:bookmarkEnd w:id="23"/>
      <w:r>
        <w:rPr>
          <w:rFonts w:hint="eastAsia" w:ascii="宋体" w:hAnsi="宋体" w:cs="宋体"/>
          <w:szCs w:val="21"/>
        </w:rPr>
        <w:t>。</w:t>
      </w:r>
    </w:p>
    <w:p w14:paraId="0737B327">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三、付款方式及期限</w:t>
      </w:r>
    </w:p>
    <w:p w14:paraId="3ABAD007">
      <w:pPr>
        <w:tabs>
          <w:tab w:val="left" w:pos="0"/>
        </w:tabs>
        <w:spacing w:line="360" w:lineRule="auto"/>
        <w:rPr>
          <w:rFonts w:ascii="宋体" w:hAnsi="宋体" w:cs="宋体"/>
          <w:szCs w:val="21"/>
        </w:rPr>
      </w:pPr>
      <w:bookmarkStart w:id="24" w:name="_Toc69378621"/>
      <w:r>
        <w:rPr>
          <w:rFonts w:hint="eastAsia" w:ascii="宋体" w:hAnsi="宋体" w:cs="宋体"/>
          <w:szCs w:val="21"/>
        </w:rPr>
        <w:t>1、付款方式：全部款项均70%以电汇方式汇入乙方账号，30%以半年期银行承兑汇票支付。禁止将货款划入其他账号或支付现金。如乙方的收款账号和开户行变更，须及时以书面形式通知甲方，通知须盖有乙方的合同章和财务章。</w:t>
      </w:r>
    </w:p>
    <w:p w14:paraId="2EA82B8C">
      <w:pPr>
        <w:tabs>
          <w:tab w:val="left" w:pos="0"/>
        </w:tabs>
        <w:spacing w:line="360" w:lineRule="auto"/>
        <w:rPr>
          <w:rFonts w:ascii="宋体" w:hAnsi="宋体" w:cs="宋体"/>
          <w:color w:val="000000"/>
          <w:szCs w:val="21"/>
        </w:rPr>
      </w:pPr>
      <w:r>
        <w:rPr>
          <w:rFonts w:hint="eastAsia" w:ascii="宋体" w:hAnsi="宋体" w:cs="宋体"/>
          <w:szCs w:val="21"/>
        </w:rPr>
        <w:t>2、付款期限：合同签订后1个月内，甲方电汇支付乙方合同总价的30%，即人民币    ；系统通过初验后1个月内，甲方电汇支付乙方合同总价的30%，即人民币    ；系统通过终验后1个月内，甲方以半年期银行承兑汇票支付乙方合同总价的30%，即人民币    ；10%余款即人民币    ，作为质量保证金，在终验合格一年后的10个工作日之内支付7%，如乙方此时向甲方开据合同总额3%的银行保函（此保函须在免费包修期结束后到期），甲方在此时将尾款结清（即合同总价的10%），否则甲方将在免费保修期结束后的10个工作日之内支付剩余的3%给乙方。如乙方违反本合同第十五条廉洁条款第二点，甲方有权全部扣除合同总额的10%，若此时合同总额已经全部支付或余款不足10%的，甲方有权根据此合同向乙方进一步追诉。</w:t>
      </w:r>
      <w:r>
        <w:rPr>
          <w:rFonts w:hint="eastAsia" w:ascii="宋体" w:hAnsi="宋体" w:cs="宋体"/>
          <w:color w:val="000000"/>
          <w:szCs w:val="21"/>
        </w:rPr>
        <w:t>3．质量保证金：质量保</w:t>
      </w:r>
      <w:r>
        <w:rPr>
          <w:rFonts w:hint="eastAsia" w:ascii="宋体" w:hAnsi="宋体" w:cs="宋体"/>
          <w:szCs w:val="21"/>
        </w:rPr>
        <w:t>证金包含对履约的保证、对质量的保证和廉政的保证。在合同履</w:t>
      </w:r>
      <w:r>
        <w:rPr>
          <w:rFonts w:hint="eastAsia" w:ascii="宋体" w:hAnsi="宋体" w:cs="宋体"/>
          <w:color w:val="000000"/>
          <w:szCs w:val="21"/>
        </w:rPr>
        <w:t>行过程中，如乙方应承担履约保证、质量保证或廉政保证中约定的保证责任，甲方有权直接在质量保证金中扣除；扣除后保证金不足的，乙方应在五个工作日内补足，或由甲方直接在应付账款中扣除。</w:t>
      </w:r>
    </w:p>
    <w:p w14:paraId="6EAA3617">
      <w:pPr>
        <w:tabs>
          <w:tab w:val="left" w:pos="0"/>
        </w:tabs>
        <w:spacing w:line="360" w:lineRule="auto"/>
        <w:rPr>
          <w:rFonts w:ascii="宋体" w:hAnsi="宋体" w:cs="宋体"/>
          <w:color w:val="000000"/>
          <w:szCs w:val="21"/>
        </w:rPr>
      </w:pPr>
      <w:r>
        <w:rPr>
          <w:rFonts w:hint="eastAsia" w:ascii="宋体" w:hAnsi="宋体" w:cs="宋体"/>
          <w:color w:val="000000"/>
          <w:szCs w:val="21"/>
        </w:rPr>
        <w:t>4．付款前，乙方必须按照国家有关发票管理规定，向甲方</w:t>
      </w:r>
      <w:r>
        <w:rPr>
          <w:rFonts w:hint="eastAsia" w:ascii="宋体" w:hAnsi="宋体" w:cs="宋体"/>
          <w:szCs w:val="21"/>
        </w:rPr>
        <w:t>提供</w:t>
      </w:r>
      <w:r>
        <w:rPr>
          <w:rFonts w:hint="eastAsia" w:ascii="宋体" w:hAnsi="宋体" w:cs="宋体"/>
          <w:color w:val="000000"/>
          <w:szCs w:val="21"/>
        </w:rPr>
        <w:t>增值税专用发票，由甲方审核无误后再支付货款，</w:t>
      </w:r>
      <w:r>
        <w:rPr>
          <w:rFonts w:hint="eastAsia" w:ascii="宋体" w:hAnsi="宋体" w:cs="宋体"/>
          <w:szCs w:val="21"/>
        </w:rPr>
        <w:t>否则</w:t>
      </w:r>
      <w:r>
        <w:rPr>
          <w:rFonts w:hint="eastAsia" w:ascii="宋体" w:hAnsi="宋体" w:cs="宋体"/>
          <w:color w:val="000000"/>
          <w:szCs w:val="21"/>
        </w:rPr>
        <w:t>甲</w:t>
      </w:r>
      <w:r>
        <w:rPr>
          <w:rFonts w:hint="eastAsia" w:ascii="宋体" w:hAnsi="宋体" w:cs="宋体"/>
          <w:szCs w:val="21"/>
        </w:rPr>
        <w:t>方有权拒绝或迟延支付货款，且不影响</w:t>
      </w:r>
      <w:r>
        <w:rPr>
          <w:rFonts w:hint="eastAsia" w:ascii="宋体" w:hAnsi="宋体" w:cs="宋体"/>
          <w:color w:val="000000"/>
          <w:szCs w:val="21"/>
        </w:rPr>
        <w:t>乙</w:t>
      </w:r>
      <w:r>
        <w:rPr>
          <w:rFonts w:hint="eastAsia" w:ascii="宋体" w:hAnsi="宋体" w:cs="宋体"/>
          <w:szCs w:val="21"/>
        </w:rPr>
        <w:t>方履行本合同项下的义务，</w:t>
      </w:r>
      <w:r>
        <w:rPr>
          <w:rFonts w:hint="eastAsia" w:ascii="宋体" w:hAnsi="宋体" w:cs="宋体"/>
          <w:color w:val="000000"/>
          <w:szCs w:val="21"/>
        </w:rPr>
        <w:t>给甲方造成的损失由乙方承担。</w:t>
      </w:r>
    </w:p>
    <w:p w14:paraId="0D4B1B85">
      <w:pPr>
        <w:tabs>
          <w:tab w:val="left" w:pos="0"/>
        </w:tabs>
        <w:spacing w:line="360" w:lineRule="auto"/>
        <w:rPr>
          <w:rFonts w:ascii="宋体" w:hAnsi="宋体" w:cs="宋体"/>
          <w:color w:val="000000"/>
          <w:szCs w:val="21"/>
        </w:rPr>
      </w:pPr>
      <w:r>
        <w:rPr>
          <w:rFonts w:ascii="宋体" w:hAnsi="宋体" w:cs="宋体"/>
          <w:color w:val="000000"/>
          <w:szCs w:val="21"/>
        </w:rPr>
        <w:t>5</w:t>
      </w:r>
      <w:r>
        <w:rPr>
          <w:rFonts w:hint="eastAsia" w:ascii="宋体" w:hAnsi="宋体" w:cs="宋体"/>
          <w:color w:val="000000"/>
          <w:szCs w:val="21"/>
        </w:rPr>
        <w:t>．</w:t>
      </w:r>
      <w:r>
        <w:rPr>
          <w:rFonts w:ascii="宋体" w:hAnsi="宋体" w:cs="宋体"/>
          <w:color w:val="000000"/>
          <w:szCs w:val="21"/>
        </w:rPr>
        <w:t>扣款细则</w:t>
      </w:r>
    </w:p>
    <w:p w14:paraId="7A2CDBB7">
      <w:pPr>
        <w:tabs>
          <w:tab w:val="left" w:pos="0"/>
        </w:tabs>
        <w:spacing w:line="360" w:lineRule="auto"/>
        <w:rPr>
          <w:rFonts w:ascii="宋体" w:hAnsi="宋体" w:cs="宋体"/>
          <w:color w:val="000000"/>
          <w:szCs w:val="21"/>
        </w:rPr>
      </w:pPr>
      <w:r>
        <w:rPr>
          <w:rFonts w:ascii="宋体" w:hAnsi="宋体" w:cs="宋体"/>
          <w:color w:val="000000"/>
          <w:szCs w:val="21"/>
        </w:rPr>
        <w:t>乙方履行义务期间，存在以下情况时，甲方可视情况进行相应的扣款。</w:t>
      </w:r>
      <w:r>
        <w:rPr>
          <w:rFonts w:hint="eastAsia" w:ascii="宋体" w:hAnsi="宋体" w:cs="宋体"/>
          <w:color w:val="000000"/>
          <w:szCs w:val="21"/>
        </w:rPr>
        <w:t>整体考核扣款上限不超过此合同总额的10%，具体参照附件：考核及处罚办法。</w:t>
      </w:r>
    </w:p>
    <w:tbl>
      <w:tblPr>
        <w:tblStyle w:val="53"/>
        <w:tblW w:w="5894" w:type="pct"/>
        <w:tblInd w:w="-744"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566"/>
        <w:gridCol w:w="1433"/>
        <w:gridCol w:w="2433"/>
        <w:gridCol w:w="1427"/>
        <w:gridCol w:w="1496"/>
        <w:gridCol w:w="2502"/>
      </w:tblGrid>
      <w:tr w14:paraId="4D74429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1" w:hRule="atLeast"/>
          <w:tblHeader/>
        </w:trPr>
        <w:tc>
          <w:tcPr>
            <w:tcW w:w="287" w:type="pct"/>
            <w:vAlign w:val="center"/>
          </w:tcPr>
          <w:p w14:paraId="4C0D61D5">
            <w:pPr>
              <w:spacing w:line="320" w:lineRule="exact"/>
              <w:jc w:val="center"/>
              <w:rPr>
                <w:sz w:val="24"/>
              </w:rPr>
            </w:pPr>
            <w:r>
              <w:rPr>
                <w:rFonts w:hint="eastAsia"/>
                <w:b/>
                <w:bCs/>
                <w:color w:val="010101"/>
                <w:szCs w:val="21"/>
              </w:rPr>
              <w:t>序号</w:t>
            </w:r>
          </w:p>
        </w:tc>
        <w:tc>
          <w:tcPr>
            <w:tcW w:w="727" w:type="pct"/>
            <w:vAlign w:val="center"/>
          </w:tcPr>
          <w:p w14:paraId="157CCEFB">
            <w:pPr>
              <w:spacing w:line="320" w:lineRule="exact"/>
              <w:jc w:val="center"/>
              <w:rPr>
                <w:b/>
                <w:bCs/>
                <w:color w:val="010101"/>
                <w:szCs w:val="21"/>
              </w:rPr>
            </w:pPr>
            <w:r>
              <w:rPr>
                <w:rFonts w:hint="eastAsia"/>
                <w:b/>
                <w:bCs/>
                <w:color w:val="010101"/>
                <w:szCs w:val="21"/>
              </w:rPr>
              <w:t>费用类别</w:t>
            </w:r>
          </w:p>
        </w:tc>
        <w:tc>
          <w:tcPr>
            <w:tcW w:w="1234" w:type="pct"/>
            <w:vAlign w:val="center"/>
          </w:tcPr>
          <w:p w14:paraId="7055B31A">
            <w:pPr>
              <w:spacing w:line="320" w:lineRule="exact"/>
              <w:jc w:val="center"/>
              <w:rPr>
                <w:b/>
                <w:bCs/>
                <w:color w:val="010101"/>
                <w:szCs w:val="21"/>
              </w:rPr>
            </w:pPr>
            <w:r>
              <w:rPr>
                <w:rFonts w:hint="eastAsia"/>
                <w:b/>
                <w:bCs/>
                <w:color w:val="010101"/>
                <w:szCs w:val="21"/>
              </w:rPr>
              <w:t>适用状况</w:t>
            </w:r>
          </w:p>
        </w:tc>
        <w:tc>
          <w:tcPr>
            <w:tcW w:w="724" w:type="pct"/>
            <w:vAlign w:val="center"/>
          </w:tcPr>
          <w:p w14:paraId="7759FF04">
            <w:pPr>
              <w:spacing w:line="320" w:lineRule="exact"/>
              <w:jc w:val="center"/>
              <w:rPr>
                <w:b/>
                <w:bCs/>
                <w:color w:val="010101"/>
                <w:szCs w:val="21"/>
              </w:rPr>
            </w:pPr>
            <w:r>
              <w:rPr>
                <w:rFonts w:hint="eastAsia"/>
                <w:b/>
                <w:bCs/>
                <w:color w:val="010101"/>
                <w:szCs w:val="21"/>
              </w:rPr>
              <w:t>执行方法</w:t>
            </w:r>
          </w:p>
        </w:tc>
        <w:tc>
          <w:tcPr>
            <w:tcW w:w="759" w:type="pct"/>
            <w:vAlign w:val="center"/>
          </w:tcPr>
          <w:p w14:paraId="4F06E78A">
            <w:pPr>
              <w:spacing w:line="320" w:lineRule="exact"/>
              <w:jc w:val="center"/>
              <w:rPr>
                <w:b/>
                <w:bCs/>
                <w:color w:val="010101"/>
                <w:szCs w:val="21"/>
              </w:rPr>
            </w:pPr>
            <w:r>
              <w:rPr>
                <w:rFonts w:hint="eastAsia"/>
                <w:b/>
                <w:bCs/>
                <w:color w:val="010101"/>
                <w:szCs w:val="21"/>
              </w:rPr>
              <w:t>罚款金额</w:t>
            </w:r>
          </w:p>
        </w:tc>
        <w:tc>
          <w:tcPr>
            <w:tcW w:w="1269" w:type="pct"/>
            <w:vAlign w:val="center"/>
          </w:tcPr>
          <w:p w14:paraId="567ACFA2">
            <w:pPr>
              <w:spacing w:line="320" w:lineRule="exact"/>
              <w:jc w:val="center"/>
              <w:rPr>
                <w:b/>
                <w:bCs/>
                <w:color w:val="010101"/>
                <w:szCs w:val="21"/>
              </w:rPr>
            </w:pPr>
            <w:r>
              <w:rPr>
                <w:rFonts w:hint="eastAsia"/>
                <w:b/>
                <w:bCs/>
                <w:color w:val="010101"/>
                <w:szCs w:val="21"/>
              </w:rPr>
              <w:t>备注</w:t>
            </w:r>
          </w:p>
        </w:tc>
      </w:tr>
      <w:tr w14:paraId="117BD51A">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419EDBA0">
            <w:pPr>
              <w:spacing w:line="320" w:lineRule="exact"/>
              <w:jc w:val="center"/>
              <w:rPr>
                <w:sz w:val="24"/>
              </w:rPr>
            </w:pPr>
            <w:r>
              <w:rPr>
                <w:rFonts w:hint="eastAsia"/>
                <w:sz w:val="24"/>
              </w:rPr>
              <w:t>1</w:t>
            </w:r>
          </w:p>
        </w:tc>
        <w:tc>
          <w:tcPr>
            <w:tcW w:w="727" w:type="pct"/>
            <w:vAlign w:val="center"/>
          </w:tcPr>
          <w:p w14:paraId="3D375C77">
            <w:pPr>
              <w:rPr>
                <w:rFonts w:ascii="宋体" w:hAnsi="宋体" w:cs="宋体"/>
                <w:szCs w:val="21"/>
              </w:rPr>
            </w:pPr>
            <w:r>
              <w:rPr>
                <w:rFonts w:hint="eastAsia" w:ascii="宋体" w:hAnsi="宋体" w:cs="宋体"/>
                <w:szCs w:val="21"/>
              </w:rPr>
              <w:t>项目人员缺勤费用</w:t>
            </w:r>
          </w:p>
        </w:tc>
        <w:tc>
          <w:tcPr>
            <w:tcW w:w="1234" w:type="pct"/>
            <w:vAlign w:val="center"/>
          </w:tcPr>
          <w:p w14:paraId="31145C9B">
            <w:pPr>
              <w:rPr>
                <w:rFonts w:ascii="宋体" w:hAnsi="宋体" w:cs="宋体"/>
                <w:szCs w:val="21"/>
              </w:rPr>
            </w:pPr>
            <w:r>
              <w:rPr>
                <w:rFonts w:hint="eastAsia" w:ascii="宋体" w:hAnsi="宋体" w:cs="宋体"/>
                <w:szCs w:val="21"/>
              </w:rPr>
              <w:t>乙方未按照甲方的考勤要求开展工作或未经甲方同意擅自更换项目人员。</w:t>
            </w:r>
          </w:p>
        </w:tc>
        <w:tc>
          <w:tcPr>
            <w:tcW w:w="724" w:type="pct"/>
            <w:vAlign w:val="center"/>
          </w:tcPr>
          <w:p w14:paraId="6AC3886B">
            <w:pPr>
              <w:rPr>
                <w:rFonts w:ascii="宋体" w:hAnsi="宋体" w:cs="宋体"/>
                <w:szCs w:val="21"/>
              </w:rPr>
            </w:pPr>
            <w:r>
              <w:rPr>
                <w:rFonts w:hint="eastAsia" w:ascii="宋体" w:hAnsi="宋体" w:cs="宋体"/>
                <w:szCs w:val="21"/>
              </w:rPr>
              <w:t>由甲方项目经理提交项目考勤表,提交财务部扣款</w:t>
            </w:r>
          </w:p>
        </w:tc>
        <w:tc>
          <w:tcPr>
            <w:tcW w:w="759" w:type="pct"/>
            <w:vAlign w:val="center"/>
          </w:tcPr>
          <w:p w14:paraId="4D163119">
            <w:pPr>
              <w:jc w:val="center"/>
              <w:rPr>
                <w:rFonts w:ascii="宋体" w:hAnsi="宋体" w:cs="宋体"/>
                <w:szCs w:val="21"/>
              </w:rPr>
            </w:pPr>
            <w:r>
              <w:rPr>
                <w:rFonts w:hint="eastAsia" w:ascii="宋体" w:hAnsi="宋体" w:cs="宋体"/>
                <w:szCs w:val="21"/>
              </w:rPr>
              <w:t>100元/人天</w:t>
            </w:r>
          </w:p>
        </w:tc>
        <w:tc>
          <w:tcPr>
            <w:tcW w:w="1269" w:type="pct"/>
            <w:vAlign w:val="center"/>
          </w:tcPr>
          <w:p w14:paraId="670CD747">
            <w:pPr>
              <w:jc w:val="center"/>
              <w:rPr>
                <w:rFonts w:ascii="宋体" w:hAnsi="宋体" w:cs="宋体"/>
                <w:szCs w:val="21"/>
              </w:rPr>
            </w:pPr>
          </w:p>
        </w:tc>
      </w:tr>
      <w:tr w14:paraId="40DFD41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17E79C22">
            <w:pPr>
              <w:spacing w:line="320" w:lineRule="exact"/>
              <w:jc w:val="center"/>
              <w:rPr>
                <w:sz w:val="24"/>
              </w:rPr>
            </w:pPr>
            <w:r>
              <w:rPr>
                <w:rFonts w:hint="eastAsia"/>
                <w:sz w:val="24"/>
              </w:rPr>
              <w:t>2</w:t>
            </w:r>
          </w:p>
        </w:tc>
        <w:tc>
          <w:tcPr>
            <w:tcW w:w="727" w:type="pct"/>
            <w:vAlign w:val="center"/>
          </w:tcPr>
          <w:p w14:paraId="5B6ACFC7">
            <w:pPr>
              <w:rPr>
                <w:rFonts w:ascii="宋体" w:hAnsi="宋体" w:cs="宋体"/>
                <w:szCs w:val="21"/>
              </w:rPr>
            </w:pPr>
            <w:r>
              <w:rPr>
                <w:rFonts w:hint="eastAsia" w:ascii="宋体" w:hAnsi="宋体" w:cs="宋体"/>
                <w:szCs w:val="21"/>
              </w:rPr>
              <w:t>项目进度滞后费用</w:t>
            </w:r>
          </w:p>
        </w:tc>
        <w:tc>
          <w:tcPr>
            <w:tcW w:w="1234" w:type="pct"/>
            <w:vAlign w:val="center"/>
          </w:tcPr>
          <w:p w14:paraId="7247BE50">
            <w:pPr>
              <w:rPr>
                <w:rFonts w:ascii="宋体" w:hAnsi="宋体" w:cs="宋体"/>
                <w:szCs w:val="21"/>
              </w:rPr>
            </w:pPr>
            <w:r>
              <w:rPr>
                <w:rFonts w:hint="eastAsia" w:ascii="宋体" w:hAnsi="宋体" w:cs="宋体"/>
                <w:szCs w:val="21"/>
              </w:rPr>
              <w:t>乙方未按照提交的项目进度按时完成阶段性工作。</w:t>
            </w:r>
          </w:p>
        </w:tc>
        <w:tc>
          <w:tcPr>
            <w:tcW w:w="724" w:type="pct"/>
            <w:vAlign w:val="center"/>
          </w:tcPr>
          <w:p w14:paraId="616DB7BB">
            <w:pPr>
              <w:rPr>
                <w:rFonts w:ascii="宋体" w:hAnsi="宋体" w:cs="宋体"/>
                <w:szCs w:val="21"/>
              </w:rPr>
            </w:pPr>
            <w:r>
              <w:rPr>
                <w:rFonts w:hint="eastAsia" w:ascii="宋体" w:hAnsi="宋体" w:cs="宋体"/>
                <w:szCs w:val="21"/>
              </w:rPr>
              <w:t>由甲方项目经理完成项目进度确认表，提交财务部扣款</w:t>
            </w:r>
          </w:p>
        </w:tc>
        <w:tc>
          <w:tcPr>
            <w:tcW w:w="759" w:type="pct"/>
            <w:vAlign w:val="center"/>
          </w:tcPr>
          <w:p w14:paraId="05BD3B22">
            <w:pPr>
              <w:jc w:val="center"/>
              <w:rPr>
                <w:rFonts w:ascii="宋体" w:hAnsi="宋体" w:cs="宋体"/>
                <w:szCs w:val="21"/>
              </w:rPr>
            </w:pPr>
            <w:r>
              <w:rPr>
                <w:rFonts w:hint="eastAsia" w:ascii="宋体" w:hAnsi="宋体" w:cs="宋体"/>
                <w:szCs w:val="21"/>
              </w:rPr>
              <w:t>10,000元/天</w:t>
            </w:r>
          </w:p>
        </w:tc>
        <w:tc>
          <w:tcPr>
            <w:tcW w:w="1269" w:type="pct"/>
            <w:vAlign w:val="center"/>
          </w:tcPr>
          <w:p w14:paraId="50073AAB">
            <w:pPr>
              <w:jc w:val="center"/>
              <w:rPr>
                <w:rFonts w:ascii="宋体" w:hAnsi="宋体" w:cs="宋体"/>
                <w:szCs w:val="21"/>
              </w:rPr>
            </w:pPr>
            <w:r>
              <w:rPr>
                <w:rFonts w:hint="eastAsia" w:ascii="宋体" w:hAnsi="宋体" w:cs="宋体"/>
                <w:szCs w:val="21"/>
              </w:rPr>
              <w:t>由于项目风险等不可抗力原因，进度滞后五个工作日内，提供合理说明经项目经理确认后可免责。</w:t>
            </w:r>
          </w:p>
        </w:tc>
      </w:tr>
      <w:tr w14:paraId="222AD4C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4339C0B2">
            <w:pPr>
              <w:spacing w:line="320" w:lineRule="exact"/>
              <w:jc w:val="center"/>
              <w:rPr>
                <w:sz w:val="24"/>
              </w:rPr>
            </w:pPr>
            <w:r>
              <w:rPr>
                <w:rFonts w:hint="eastAsia"/>
                <w:sz w:val="24"/>
              </w:rPr>
              <w:t>3</w:t>
            </w:r>
          </w:p>
        </w:tc>
        <w:tc>
          <w:tcPr>
            <w:tcW w:w="727" w:type="pct"/>
            <w:vAlign w:val="center"/>
          </w:tcPr>
          <w:p w14:paraId="0FB9D022">
            <w:pPr>
              <w:rPr>
                <w:rFonts w:ascii="宋体" w:hAnsi="宋体" w:cs="宋体"/>
                <w:szCs w:val="21"/>
              </w:rPr>
            </w:pPr>
            <w:r>
              <w:rPr>
                <w:rFonts w:hint="eastAsia" w:ascii="宋体" w:hAnsi="宋体" w:cs="宋体"/>
                <w:szCs w:val="21"/>
              </w:rPr>
              <w:t>产品质量不合格</w:t>
            </w:r>
          </w:p>
        </w:tc>
        <w:tc>
          <w:tcPr>
            <w:tcW w:w="1234" w:type="pct"/>
            <w:vAlign w:val="center"/>
          </w:tcPr>
          <w:p w14:paraId="7CBA86F2">
            <w:pPr>
              <w:rPr>
                <w:rFonts w:ascii="宋体" w:hAnsi="宋体" w:cs="宋体"/>
                <w:szCs w:val="21"/>
              </w:rPr>
            </w:pPr>
            <w:r>
              <w:rPr>
                <w:rFonts w:hint="eastAsia" w:ascii="宋体" w:hAnsi="宋体" w:cs="宋体"/>
                <w:szCs w:val="21"/>
              </w:rPr>
              <w:t>乙方提交的服务不满足事先约定的质量要求。</w:t>
            </w:r>
          </w:p>
        </w:tc>
        <w:tc>
          <w:tcPr>
            <w:tcW w:w="724" w:type="pct"/>
            <w:vAlign w:val="center"/>
          </w:tcPr>
          <w:p w14:paraId="19AFDA5F">
            <w:pPr>
              <w:rPr>
                <w:rFonts w:ascii="宋体" w:hAnsi="宋体" w:cs="宋体"/>
                <w:szCs w:val="21"/>
              </w:rPr>
            </w:pPr>
            <w:r>
              <w:rPr>
                <w:rFonts w:hint="eastAsia" w:ascii="宋体" w:hAnsi="宋体" w:cs="宋体"/>
                <w:szCs w:val="21"/>
              </w:rPr>
              <w:t>由甲方项目经理完成产品质量缺陷说明，提交财务部扣款</w:t>
            </w:r>
          </w:p>
        </w:tc>
        <w:tc>
          <w:tcPr>
            <w:tcW w:w="759" w:type="pct"/>
            <w:vAlign w:val="center"/>
          </w:tcPr>
          <w:p w14:paraId="318B7B27">
            <w:pPr>
              <w:jc w:val="center"/>
              <w:rPr>
                <w:rFonts w:ascii="宋体" w:hAnsi="宋体" w:cs="宋体"/>
                <w:szCs w:val="21"/>
              </w:rPr>
            </w:pPr>
            <w:r>
              <w:rPr>
                <w:rFonts w:hint="eastAsia" w:ascii="宋体" w:hAnsi="宋体" w:cs="宋体"/>
                <w:szCs w:val="21"/>
              </w:rPr>
              <w:t>合同款*5%~10%</w:t>
            </w:r>
          </w:p>
        </w:tc>
        <w:tc>
          <w:tcPr>
            <w:tcW w:w="1269" w:type="pct"/>
            <w:vAlign w:val="center"/>
          </w:tcPr>
          <w:p w14:paraId="24100B38">
            <w:pPr>
              <w:jc w:val="center"/>
              <w:rPr>
                <w:rFonts w:ascii="宋体" w:hAnsi="宋体" w:cs="宋体"/>
                <w:szCs w:val="21"/>
              </w:rPr>
            </w:pPr>
            <w:r>
              <w:rPr>
                <w:rFonts w:hint="eastAsia" w:ascii="宋体" w:hAnsi="宋体" w:cs="宋体"/>
                <w:szCs w:val="21"/>
              </w:rPr>
              <w:t>视问题严重程度</w:t>
            </w:r>
          </w:p>
        </w:tc>
      </w:tr>
      <w:tr w14:paraId="257FA64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105CE8C1">
            <w:pPr>
              <w:spacing w:line="320" w:lineRule="exact"/>
              <w:jc w:val="center"/>
              <w:rPr>
                <w:sz w:val="24"/>
              </w:rPr>
            </w:pPr>
            <w:r>
              <w:rPr>
                <w:rFonts w:hint="eastAsia"/>
                <w:sz w:val="24"/>
              </w:rPr>
              <w:t>4</w:t>
            </w:r>
          </w:p>
        </w:tc>
        <w:tc>
          <w:tcPr>
            <w:tcW w:w="727" w:type="pct"/>
            <w:vAlign w:val="center"/>
          </w:tcPr>
          <w:p w14:paraId="766E549D">
            <w:pPr>
              <w:rPr>
                <w:rFonts w:ascii="宋体" w:hAnsi="宋体" w:cs="宋体"/>
                <w:szCs w:val="21"/>
              </w:rPr>
            </w:pPr>
            <w:r>
              <w:rPr>
                <w:rFonts w:hint="eastAsia" w:ascii="宋体" w:hAnsi="宋体" w:cs="宋体"/>
                <w:szCs w:val="21"/>
              </w:rPr>
              <w:t>技术支持延迟或售后不合格</w:t>
            </w:r>
          </w:p>
        </w:tc>
        <w:tc>
          <w:tcPr>
            <w:tcW w:w="1234" w:type="pct"/>
            <w:vAlign w:val="center"/>
          </w:tcPr>
          <w:p w14:paraId="6DD4A0EF">
            <w:pPr>
              <w:rPr>
                <w:rFonts w:ascii="宋体" w:hAnsi="宋体" w:cs="宋体"/>
                <w:szCs w:val="21"/>
              </w:rPr>
            </w:pPr>
            <w:r>
              <w:rPr>
                <w:rFonts w:hint="eastAsia" w:ascii="宋体" w:hAnsi="宋体" w:cs="宋体"/>
                <w:szCs w:val="21"/>
              </w:rPr>
              <w:t>乙方未在要求的时间内解决甲方提出的符合包修或技术支持范围的问题</w:t>
            </w:r>
          </w:p>
        </w:tc>
        <w:tc>
          <w:tcPr>
            <w:tcW w:w="724" w:type="pct"/>
            <w:vAlign w:val="center"/>
          </w:tcPr>
          <w:p w14:paraId="2460BEF3">
            <w:pPr>
              <w:rPr>
                <w:rFonts w:ascii="宋体" w:hAnsi="宋体" w:cs="宋体"/>
                <w:szCs w:val="21"/>
              </w:rPr>
            </w:pPr>
            <w:r>
              <w:rPr>
                <w:rFonts w:hint="eastAsia" w:ascii="宋体" w:hAnsi="宋体" w:cs="宋体"/>
                <w:szCs w:val="21"/>
              </w:rPr>
              <w:t>由甲方项目经理完成售后反馈表，提交财务部扣款</w:t>
            </w:r>
          </w:p>
        </w:tc>
        <w:tc>
          <w:tcPr>
            <w:tcW w:w="759" w:type="pct"/>
            <w:vAlign w:val="center"/>
          </w:tcPr>
          <w:p w14:paraId="55331572">
            <w:pPr>
              <w:jc w:val="center"/>
              <w:rPr>
                <w:rFonts w:ascii="宋体" w:hAnsi="宋体" w:cs="宋体"/>
                <w:szCs w:val="21"/>
              </w:rPr>
            </w:pPr>
            <w:r>
              <w:rPr>
                <w:rFonts w:hint="eastAsia" w:ascii="宋体" w:hAnsi="宋体" w:cs="宋体"/>
                <w:szCs w:val="21"/>
              </w:rPr>
              <w:t>5,000~50,000元</w:t>
            </w:r>
          </w:p>
        </w:tc>
        <w:tc>
          <w:tcPr>
            <w:tcW w:w="1269" w:type="pct"/>
            <w:vAlign w:val="center"/>
          </w:tcPr>
          <w:p w14:paraId="426AE729">
            <w:pPr>
              <w:jc w:val="center"/>
              <w:rPr>
                <w:rFonts w:ascii="宋体" w:hAnsi="宋体" w:cs="宋体"/>
                <w:szCs w:val="21"/>
              </w:rPr>
            </w:pPr>
            <w:r>
              <w:rPr>
                <w:rFonts w:hint="eastAsia" w:ascii="宋体" w:hAnsi="宋体" w:cs="宋体"/>
                <w:szCs w:val="21"/>
              </w:rPr>
              <w:t>视问题严重程度</w:t>
            </w:r>
          </w:p>
        </w:tc>
      </w:tr>
      <w:tr w14:paraId="6D9ED883">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6" w:hRule="atLeast"/>
          <w:tblHeader/>
        </w:trPr>
        <w:tc>
          <w:tcPr>
            <w:tcW w:w="287" w:type="pct"/>
            <w:vAlign w:val="center"/>
          </w:tcPr>
          <w:p w14:paraId="6AFD0328">
            <w:pPr>
              <w:spacing w:line="320" w:lineRule="exact"/>
              <w:jc w:val="center"/>
              <w:rPr>
                <w:sz w:val="24"/>
              </w:rPr>
            </w:pPr>
            <w:r>
              <w:rPr>
                <w:rFonts w:hint="eastAsia"/>
                <w:sz w:val="24"/>
              </w:rPr>
              <w:t>5</w:t>
            </w:r>
          </w:p>
        </w:tc>
        <w:tc>
          <w:tcPr>
            <w:tcW w:w="727" w:type="pct"/>
            <w:vAlign w:val="center"/>
          </w:tcPr>
          <w:p w14:paraId="508EAF74">
            <w:pPr>
              <w:rPr>
                <w:rFonts w:ascii="宋体" w:hAnsi="宋体" w:cs="宋体"/>
                <w:szCs w:val="21"/>
              </w:rPr>
            </w:pPr>
            <w:r>
              <w:rPr>
                <w:rFonts w:hint="eastAsia" w:ascii="宋体" w:hAnsi="宋体" w:cs="宋体"/>
                <w:szCs w:val="21"/>
              </w:rPr>
              <w:t>文档缺失或质量不合格</w:t>
            </w:r>
          </w:p>
        </w:tc>
        <w:tc>
          <w:tcPr>
            <w:tcW w:w="1234" w:type="pct"/>
            <w:vAlign w:val="center"/>
          </w:tcPr>
          <w:p w14:paraId="0343E36E">
            <w:pPr>
              <w:rPr>
                <w:rFonts w:ascii="宋体" w:hAnsi="宋体" w:cs="宋体"/>
                <w:szCs w:val="21"/>
              </w:rPr>
            </w:pPr>
            <w:r>
              <w:rPr>
                <w:rFonts w:hint="eastAsia" w:ascii="宋体" w:hAnsi="宋体" w:cs="宋体"/>
                <w:szCs w:val="21"/>
              </w:rPr>
              <w:t>乙方未提供或提供的技术规范、培训材料等文档</w:t>
            </w:r>
          </w:p>
        </w:tc>
        <w:tc>
          <w:tcPr>
            <w:tcW w:w="724" w:type="pct"/>
            <w:vAlign w:val="center"/>
          </w:tcPr>
          <w:p w14:paraId="44DE9545">
            <w:pPr>
              <w:rPr>
                <w:rFonts w:ascii="宋体" w:hAnsi="宋体" w:cs="宋体"/>
                <w:szCs w:val="21"/>
              </w:rPr>
            </w:pPr>
            <w:r>
              <w:rPr>
                <w:rFonts w:hint="eastAsia" w:ascii="宋体" w:hAnsi="宋体" w:cs="宋体"/>
                <w:szCs w:val="21"/>
              </w:rPr>
              <w:t>由甲方项目经理确认文档条目，提交财务部扣款</w:t>
            </w:r>
          </w:p>
        </w:tc>
        <w:tc>
          <w:tcPr>
            <w:tcW w:w="759" w:type="pct"/>
            <w:vAlign w:val="center"/>
          </w:tcPr>
          <w:p w14:paraId="6C45CB2D">
            <w:pPr>
              <w:jc w:val="center"/>
              <w:rPr>
                <w:rFonts w:ascii="宋体" w:hAnsi="宋体" w:cs="宋体"/>
                <w:szCs w:val="21"/>
              </w:rPr>
            </w:pPr>
            <w:r>
              <w:rPr>
                <w:rFonts w:hint="eastAsia" w:ascii="宋体" w:hAnsi="宋体" w:cs="宋体"/>
                <w:szCs w:val="21"/>
              </w:rPr>
              <w:t>1,000~5,0000元</w:t>
            </w:r>
          </w:p>
        </w:tc>
        <w:tc>
          <w:tcPr>
            <w:tcW w:w="1269" w:type="pct"/>
            <w:vAlign w:val="center"/>
          </w:tcPr>
          <w:p w14:paraId="2303956C">
            <w:pPr>
              <w:jc w:val="center"/>
              <w:rPr>
                <w:rFonts w:ascii="宋体" w:hAnsi="宋体" w:cs="宋体"/>
                <w:szCs w:val="21"/>
              </w:rPr>
            </w:pPr>
            <w:r>
              <w:rPr>
                <w:rFonts w:hint="eastAsia" w:ascii="宋体" w:hAnsi="宋体" w:cs="宋体"/>
                <w:szCs w:val="21"/>
              </w:rPr>
              <w:t>视文档重要性</w:t>
            </w:r>
          </w:p>
        </w:tc>
      </w:tr>
    </w:tbl>
    <w:p w14:paraId="4FBD6C83">
      <w:pPr>
        <w:pStyle w:val="2"/>
        <w:ind w:firstLine="840"/>
      </w:pPr>
    </w:p>
    <w:p w14:paraId="3BDDC335">
      <w:pPr>
        <w:pStyle w:val="3"/>
        <w:widowControl/>
        <w:numPr>
          <w:ilvl w:val="0"/>
          <w:numId w:val="0"/>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四、产品的质量要求</w:t>
      </w:r>
    </w:p>
    <w:bookmarkEnd w:id="24"/>
    <w:p w14:paraId="468AC931">
      <w:pPr>
        <w:spacing w:line="360" w:lineRule="auto"/>
        <w:ind w:firstLine="420" w:firstLineChars="200"/>
        <w:rPr>
          <w:rFonts w:ascii="宋体" w:hAnsi="宋体" w:cs="宋体"/>
          <w:szCs w:val="21"/>
        </w:rPr>
      </w:pPr>
      <w:bookmarkStart w:id="25" w:name="_Toc69378633"/>
      <w:r>
        <w:rPr>
          <w:rFonts w:hint="eastAsia" w:ascii="宋体" w:hAnsi="宋体" w:cs="宋体"/>
          <w:szCs w:val="21"/>
        </w:rPr>
        <w:t>乙方所提供产品的服务功能、技术指标、性能和服务实现必须完全满足甲方在“</w:t>
      </w:r>
      <w:r>
        <w:rPr>
          <w:rFonts w:hint="eastAsia" w:ascii="宋体" w:hAnsi="宋体" w:cs="宋体"/>
          <w:b/>
          <w:bCs/>
          <w:color w:val="000000"/>
          <w:szCs w:val="21"/>
          <w:u w:val="single"/>
        </w:rPr>
        <w:t>10090</w:t>
      </w:r>
      <w:r>
        <w:rPr>
          <w:rFonts w:hint="eastAsia" w:ascii="宋体" w:hAnsi="宋体" w:cs="宋体"/>
          <w:b/>
          <w:color w:val="000000"/>
          <w:szCs w:val="21"/>
          <w:u w:val="single"/>
        </w:rPr>
        <w:t>服务质量监督热线建设项目</w:t>
      </w:r>
      <w:r>
        <w:rPr>
          <w:rFonts w:hint="eastAsia" w:ascii="宋体" w:hAnsi="宋体" w:cs="宋体"/>
          <w:szCs w:val="21"/>
        </w:rPr>
        <w:t>”招标文件中提出的技术要求，乙方所提供产品的功能与服务实现必须完全遵守投标文件和询标时做出的书面承诺；</w:t>
      </w:r>
      <w:r>
        <w:rPr>
          <w:szCs w:val="21"/>
        </w:rPr>
        <w:t>乙方保证所提供的产品和服务是原厂独立开发产品，不存在权利瑕疵，且须提供产品的出厂检测报告和产品质量合格证明书，并且符合相应技术规定的品质和规格要求，若技术性能无相应说明，则按国家或国际有关部门最新颁布的标准及规范为准。</w:t>
      </w:r>
    </w:p>
    <w:p w14:paraId="29D3048A">
      <w:pPr>
        <w:pStyle w:val="3"/>
        <w:numPr>
          <w:ilvl w:val="0"/>
          <w:numId w:val="0"/>
        </w:numPr>
        <w:spacing w:before="0" w:after="0" w:line="360" w:lineRule="auto"/>
        <w:jc w:val="both"/>
        <w:rPr>
          <w:rFonts w:ascii="宋体" w:hAnsi="宋体" w:eastAsia="宋体" w:cs="宋体"/>
          <w:b/>
          <w:bCs w:val="0"/>
          <w:sz w:val="21"/>
          <w:szCs w:val="21"/>
        </w:rPr>
      </w:pPr>
      <w:r>
        <w:rPr>
          <w:rFonts w:hint="eastAsia" w:ascii="宋体" w:hAnsi="宋体" w:eastAsia="宋体" w:cs="宋体"/>
          <w:b/>
          <w:bCs w:val="0"/>
          <w:sz w:val="21"/>
          <w:szCs w:val="21"/>
        </w:rPr>
        <w:t>五、系统的提交</w:t>
      </w:r>
    </w:p>
    <w:p w14:paraId="7CAD8D3F">
      <w:pPr>
        <w:tabs>
          <w:tab w:val="left" w:pos="0"/>
        </w:tabs>
        <w:spacing w:line="360" w:lineRule="auto"/>
        <w:rPr>
          <w:rFonts w:ascii="宋体" w:hAnsi="宋体" w:cs="宋体"/>
          <w:szCs w:val="21"/>
        </w:rPr>
      </w:pPr>
      <w:r>
        <w:rPr>
          <w:rFonts w:hint="eastAsia" w:ascii="宋体" w:hAnsi="宋体" w:cs="宋体"/>
          <w:szCs w:val="21"/>
        </w:rPr>
        <w:t>1. 产品的交货地点为甲方指定地点、指定楼层。</w:t>
      </w:r>
    </w:p>
    <w:p w14:paraId="5D67D199">
      <w:pPr>
        <w:tabs>
          <w:tab w:val="left" w:pos="0"/>
        </w:tabs>
        <w:spacing w:line="360" w:lineRule="auto"/>
        <w:rPr>
          <w:rFonts w:ascii="宋体" w:hAnsi="宋体" w:cs="宋体"/>
          <w:szCs w:val="21"/>
        </w:rPr>
      </w:pPr>
      <w:r>
        <w:rPr>
          <w:rFonts w:hint="eastAsia" w:ascii="宋体" w:hAnsi="宋体" w:cs="宋体"/>
          <w:szCs w:val="21"/>
        </w:rPr>
        <w:t>2.乙方提交时应同时提供下列技术资料：</w:t>
      </w:r>
    </w:p>
    <w:p w14:paraId="25F86BB1">
      <w:pPr>
        <w:tabs>
          <w:tab w:val="left" w:pos="0"/>
        </w:tabs>
        <w:spacing w:line="360" w:lineRule="auto"/>
        <w:rPr>
          <w:rFonts w:ascii="宋体" w:hAnsi="宋体" w:cs="宋体"/>
          <w:szCs w:val="21"/>
        </w:rPr>
      </w:pPr>
      <w:r>
        <w:rPr>
          <w:rFonts w:hint="eastAsia" w:ascii="宋体" w:hAnsi="宋体" w:cs="宋体"/>
          <w:szCs w:val="21"/>
        </w:rPr>
        <w:t>（1）系统检验报告；</w:t>
      </w:r>
    </w:p>
    <w:p w14:paraId="3D93FECE">
      <w:pPr>
        <w:tabs>
          <w:tab w:val="left" w:pos="0"/>
        </w:tabs>
        <w:spacing w:line="360" w:lineRule="auto"/>
        <w:rPr>
          <w:rFonts w:ascii="宋体" w:hAnsi="宋体" w:cs="宋体"/>
          <w:szCs w:val="21"/>
        </w:rPr>
      </w:pPr>
      <w:r>
        <w:rPr>
          <w:rFonts w:hint="eastAsia" w:ascii="宋体" w:hAnsi="宋体" w:cs="宋体"/>
          <w:szCs w:val="21"/>
        </w:rPr>
        <w:t>（2）接口开发的源代码、接口文档、测试方案、测试记录、测试过程中出现的问题及解决方法、操作手册、使用说明书、系统业务规则等；</w:t>
      </w:r>
    </w:p>
    <w:p w14:paraId="052568F2">
      <w:pPr>
        <w:tabs>
          <w:tab w:val="left" w:pos="0"/>
        </w:tabs>
        <w:spacing w:line="360" w:lineRule="auto"/>
        <w:rPr>
          <w:rFonts w:ascii="宋体" w:hAnsi="宋体" w:cs="宋体"/>
          <w:szCs w:val="21"/>
        </w:rPr>
      </w:pPr>
      <w:r>
        <w:rPr>
          <w:rFonts w:hint="eastAsia" w:ascii="宋体" w:hAnsi="宋体" w:cs="宋体"/>
          <w:szCs w:val="21"/>
        </w:rPr>
        <w:t>（3）招标文件中所要求提交的资料。</w:t>
      </w:r>
    </w:p>
    <w:p w14:paraId="7AB01BB2">
      <w:pPr>
        <w:tabs>
          <w:tab w:val="left" w:pos="0"/>
        </w:tabs>
        <w:spacing w:line="360" w:lineRule="auto"/>
        <w:rPr>
          <w:rFonts w:ascii="宋体" w:hAnsi="宋体" w:cs="宋体"/>
          <w:szCs w:val="21"/>
        </w:rPr>
      </w:pPr>
      <w:r>
        <w:rPr>
          <w:rFonts w:hint="eastAsia" w:ascii="宋体" w:hAnsi="宋体" w:cs="宋体"/>
          <w:szCs w:val="21"/>
        </w:rPr>
        <w:t>3.系统上线后，甲方负责清点开发功能内容。在系统安装调试前，甲乙双方代表在施工现场共同清点验收。若一方因故无法抵达施工现场，则无条件接受另一方清点验收结果。</w:t>
      </w:r>
    </w:p>
    <w:p w14:paraId="3C2C4921">
      <w:pPr>
        <w:tabs>
          <w:tab w:val="left" w:pos="0"/>
        </w:tabs>
        <w:spacing w:line="360" w:lineRule="auto"/>
      </w:pPr>
      <w:r>
        <w:rPr>
          <w:rFonts w:hint="eastAsia" w:ascii="宋体" w:hAnsi="宋体" w:cs="宋体"/>
          <w:szCs w:val="21"/>
        </w:rPr>
        <w:t>4.甲方有权拒绝验收现场的被损坏或有缺陷的或不符合招标文件、乙方投标文件和询标时乙方做出的书面承诺的任何开发成果。</w:t>
      </w:r>
    </w:p>
    <w:p w14:paraId="08C0E995">
      <w:pPr>
        <w:pStyle w:val="3"/>
        <w:numPr>
          <w:ilvl w:val="0"/>
          <w:numId w:val="0"/>
        </w:numPr>
        <w:spacing w:before="0" w:after="0" w:line="360" w:lineRule="auto"/>
        <w:jc w:val="both"/>
        <w:rPr>
          <w:rFonts w:ascii="宋体" w:hAnsi="宋体" w:eastAsia="宋体" w:cs="宋体"/>
          <w:b/>
          <w:bCs w:val="0"/>
          <w:sz w:val="21"/>
          <w:szCs w:val="21"/>
        </w:rPr>
      </w:pPr>
      <w:r>
        <w:rPr>
          <w:rFonts w:hint="eastAsia" w:ascii="宋体" w:hAnsi="宋体" w:eastAsia="宋体" w:cs="宋体"/>
          <w:b/>
          <w:bCs w:val="0"/>
          <w:sz w:val="21"/>
          <w:szCs w:val="21"/>
        </w:rPr>
        <w:t>六、运输费用</w:t>
      </w:r>
    </w:p>
    <w:p w14:paraId="6C8C1AD1">
      <w:pPr>
        <w:spacing w:line="360" w:lineRule="auto"/>
        <w:ind w:firstLine="420" w:firstLineChars="200"/>
        <w:rPr>
          <w:rFonts w:ascii="宋体" w:hAnsi="宋体" w:cs="宋体"/>
          <w:szCs w:val="21"/>
        </w:rPr>
      </w:pPr>
      <w:r>
        <w:rPr>
          <w:rFonts w:hint="eastAsia" w:ascii="宋体" w:hAnsi="宋体" w:cs="宋体"/>
          <w:szCs w:val="21"/>
        </w:rPr>
        <w:t>乙方承担所有因系统开发而产生的运输、装卸和保险等费用。</w:t>
      </w:r>
    </w:p>
    <w:p w14:paraId="568BBDE3">
      <w:pPr>
        <w:pStyle w:val="3"/>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七、供货周期</w:t>
      </w:r>
    </w:p>
    <w:p w14:paraId="685D9738">
      <w:pPr>
        <w:spacing w:line="360" w:lineRule="auto"/>
        <w:ind w:firstLine="420" w:firstLineChars="200"/>
        <w:rPr>
          <w:rFonts w:ascii="宋体" w:hAnsi="宋体" w:cs="宋体"/>
          <w:color w:val="000000"/>
          <w:szCs w:val="21"/>
        </w:rPr>
      </w:pPr>
      <w:r>
        <w:rPr>
          <w:rFonts w:hint="eastAsia" w:ascii="宋体" w:hAnsi="宋体" w:cs="宋体"/>
          <w:color w:val="000000"/>
          <w:szCs w:val="21"/>
        </w:rPr>
        <w:t>乙方在合同生效后天内（不超过30个自然日）内完成对应系统的对接、开发、改造、测试及调试工作。乙方每逾期一天交付（不足一天按一天计算），按合同总价的5‰收取滞纳金，滞纳金从合同款中扣除。如逾期时间超过4周仍未能交付全部设备（软件），在不妨碍甲方其他救济手段的情况下，甲方可以向乙方发出书面违约通知从而全部或部分地终止合同，并向乙方索赔。</w:t>
      </w:r>
    </w:p>
    <w:p w14:paraId="098A5B0B">
      <w:pPr>
        <w:spacing w:line="360" w:lineRule="auto"/>
        <w:ind w:firstLine="420" w:firstLineChars="200"/>
        <w:rPr>
          <w:rFonts w:ascii="宋体" w:hAnsi="宋体" w:cs="宋体"/>
          <w:szCs w:val="21"/>
        </w:rPr>
      </w:pPr>
      <w:r>
        <w:rPr>
          <w:rFonts w:hint="eastAsia" w:ascii="宋体" w:hAnsi="宋体" w:cs="宋体"/>
          <w:color w:val="000000"/>
          <w:szCs w:val="21"/>
        </w:rPr>
        <w:t>乙方逾期交货，甲方接受的，不影响甲方追究乙方逾期交货的违约责任。</w:t>
      </w:r>
    </w:p>
    <w:p w14:paraId="52E48D88">
      <w:pPr>
        <w:pStyle w:val="3"/>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八、验收标准</w:t>
      </w:r>
    </w:p>
    <w:p w14:paraId="3DE69CF4">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需免费提供验收所需的资源、接口测试工具、并搭建测试环境，按甲方招标文件、乙方投标文件、询标时乙方做出的书面承诺以及甲、乙双方共同签订的补充协议的要求进行验收。乙方在完成系统改造、接口达到技术要求规定的指标并开通业务后，向甲方提交系统初验申请报告，甲方应在接到乙方提供的系统初验申请报告后10个工作日内组织有关部门进行初验。初验合格的，甲、乙双方确定系统试运行开始日期、试运行方案及终验方案。试运行期为初验通过后的3个月。在试运行期结束后，如系统的性能和业务功能满足招标文件及合同要求，乙方应提交终验申请报告和试运行报告，试运行报告应包括所有数据记录和故障处理过程。甲方应在收到终验申请报告及全部文件后的10个工作日内组织有关部门验收，并在验收后10个工作日内给予验收结果或提出修改意见。</w:t>
      </w:r>
    </w:p>
    <w:p w14:paraId="0C54F37F">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如第一次验收未通过，甲方应将有关不符合要求的情况书面通知乙方，乙方应在收到甲方书面通知后20天内完成对系统的调整，使系统达到验收标准，并再次向甲方提出验收申请。甲方应在接到调整后的系统验收申请报告10个工作日内组织第二次验收。如系统仍未通过验收，则视为系统不合格，甲方有权解除合同并按照本合同的相关条款追究乙方的责任。</w:t>
      </w:r>
    </w:p>
    <w:p w14:paraId="27F88D1D">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因甲方原因未能及时组织初验或终验，甲方应在乙方的协助下尽快解决问题。</w:t>
      </w:r>
    </w:p>
    <w:p w14:paraId="0581F3AB">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甲、乙双方应按合同规定的时间进行初验和终验，验收时间因各种原因需要更改的，甲、乙双方应共同商定修改验收日期。</w:t>
      </w:r>
    </w:p>
    <w:p w14:paraId="3EA8EE53">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在验收过程中，若一方对验收过程或结果提出质疑，且经协商不成的，可由甲方选择法定检验机构进行检验，检验费用由乙方承担。</w:t>
      </w:r>
    </w:p>
    <w:p w14:paraId="2CD8D072">
      <w:pPr>
        <w:numPr>
          <w:ilvl w:val="0"/>
          <w:numId w:val="6"/>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甲、乙双方约定合同产品检验期自交货日起至初验通过之日止。甲、乙双方约定合同产品免费</w:t>
      </w:r>
      <w:r>
        <w:rPr>
          <w:rFonts w:hint="eastAsia" w:ascii="宋体" w:hAnsi="宋体" w:cs="宋体"/>
          <w:color w:val="000000" w:themeColor="text1"/>
          <w:szCs w:val="21"/>
          <w14:textFill>
            <w14:solidFill>
              <w14:schemeClr w14:val="tx1"/>
            </w14:solidFill>
          </w14:textFill>
        </w:rPr>
        <w:t>包修期为年</w:t>
      </w:r>
      <w:r>
        <w:rPr>
          <w:rFonts w:hint="eastAsia" w:ascii="宋体" w:hAnsi="宋体" w:cs="宋体"/>
          <w:color w:val="000000"/>
          <w:szCs w:val="21"/>
        </w:rPr>
        <w:t>（不少于3年）</w:t>
      </w:r>
      <w:r>
        <w:rPr>
          <w:rFonts w:hint="eastAsia" w:ascii="宋体" w:hAnsi="宋体" w:cs="宋体"/>
          <w:szCs w:val="21"/>
        </w:rPr>
        <w:t>，自初验通过之日起计算。</w:t>
      </w:r>
    </w:p>
    <w:p w14:paraId="06A27B78">
      <w:pPr>
        <w:pStyle w:val="3"/>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九、售后服务</w:t>
      </w:r>
    </w:p>
    <w:p w14:paraId="3C4E340B">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服务响应时间：乙方提供每周7天×24小时的技术支持和服务。如果出现技术问题或故障，乙方应按投标文件和询标时做出的书面承诺提供相应的服务和技术支持。</w:t>
      </w:r>
    </w:p>
    <w:p w14:paraId="766AE0A3">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包修期：免费包修期  年（不少于3年），自初验通过之日起计算。超过免费包修期后，乙方对其提供的改造功能在系统寿命期内提供有偿保修服务，维保服务的内容与包修期相同。整个系统的维保年服务费用（全包）不超过成交总价（合同价）</w:t>
      </w:r>
      <w:r>
        <w:rPr>
          <w:rFonts w:hint="eastAsia" w:ascii="宋体" w:hAnsi="宋体" w:cs="宋体"/>
          <w:color w:val="000000" w:themeColor="text1"/>
          <w:szCs w:val="21"/>
          <w14:textFill>
            <w14:solidFill>
              <w14:schemeClr w14:val="tx1"/>
            </w14:solidFill>
          </w14:textFill>
        </w:rPr>
        <w:t>的  %。</w:t>
      </w:r>
    </w:p>
    <w:p w14:paraId="0B3763A9">
      <w:pPr>
        <w:widowControl/>
        <w:numPr>
          <w:ilvl w:val="0"/>
          <w:numId w:val="7"/>
        </w:numPr>
        <w:tabs>
          <w:tab w:val="left" w:pos="0"/>
          <w:tab w:val="clear" w:pos="1155"/>
        </w:tabs>
        <w:spacing w:line="360" w:lineRule="auto"/>
        <w:ind w:left="0" w:firstLine="0"/>
        <w:jc w:val="left"/>
        <w:rPr>
          <w:rFonts w:ascii="宋体" w:hAnsi="宋体" w:cs="宋体"/>
          <w:szCs w:val="21"/>
        </w:rPr>
      </w:pPr>
      <w:bookmarkStart w:id="26" w:name="_Hlk74747813"/>
      <w:r>
        <w:rPr>
          <w:rFonts w:hint="eastAsia" w:ascii="宋体" w:hAnsi="宋体" w:cs="宋体"/>
          <w:szCs w:val="21"/>
        </w:rPr>
        <w:t>技术交流：乙方及原厂商应当针对本项目系统（软硬件）与甲方进行现场技术交流，以提高甲方操作和维护水平。</w:t>
      </w:r>
    </w:p>
    <w:bookmarkEnd w:id="26"/>
    <w:p w14:paraId="0D58E247">
      <w:pPr>
        <w:widowControl/>
        <w:numPr>
          <w:ilvl w:val="0"/>
          <w:numId w:val="7"/>
        </w:numPr>
        <w:tabs>
          <w:tab w:val="left" w:pos="0"/>
          <w:tab w:val="clear" w:pos="1155"/>
        </w:tabs>
        <w:spacing w:line="360" w:lineRule="auto"/>
        <w:ind w:left="0" w:firstLine="0"/>
        <w:jc w:val="left"/>
        <w:rPr>
          <w:rFonts w:ascii="宋体" w:hAnsi="宋体" w:cs="宋体"/>
          <w:szCs w:val="21"/>
        </w:rPr>
      </w:pPr>
      <w:bookmarkStart w:id="27" w:name="_Hlk74747839"/>
      <w:r>
        <w:rPr>
          <w:rFonts w:hint="eastAsia" w:ascii="宋体" w:hAnsi="宋体" w:cs="宋体"/>
          <w:szCs w:val="21"/>
        </w:rPr>
        <w:t>自主服务：乙方所提供的自主开发技术服务均已包含3年期每周7天×24小时服务。如乙方停止销售本合同涉及的开发服务，不免除乙方对此应承担的责任。</w:t>
      </w:r>
    </w:p>
    <w:bookmarkEnd w:id="27"/>
    <w:p w14:paraId="6D3E3D24">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在甲方使用主流品牌的硬件、软件产品出现兼容性问题时，原厂商须积极配合，与有关硬件、软件厂商和甲方接洽，及时定位问题原因、寻求解决方案。</w:t>
      </w:r>
    </w:p>
    <w:p w14:paraId="5167546A">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在包修期内及包修期后，甲方在使用乙方设备中不论何种原因造成的故障，乙方在接到甲方要求修复的通知后：</w:t>
      </w:r>
    </w:p>
    <w:p w14:paraId="0FCDDC5D">
      <w:pPr>
        <w:tabs>
          <w:tab w:val="left" w:pos="0"/>
          <w:tab w:val="left" w:pos="53"/>
        </w:tabs>
        <w:spacing w:line="360" w:lineRule="auto"/>
        <w:rPr>
          <w:rFonts w:ascii="宋体" w:hAnsi="宋体" w:cs="宋体"/>
          <w:szCs w:val="21"/>
        </w:rPr>
      </w:pPr>
      <w:r>
        <w:rPr>
          <w:rFonts w:hint="eastAsia" w:ascii="宋体" w:hAnsi="宋体" w:cs="宋体"/>
          <w:szCs w:val="21"/>
        </w:rPr>
        <w:t>（1）电话支持：乙方为甲方提供7*24（每周7天，每天24小时，下同）电话支持服务。</w:t>
      </w:r>
    </w:p>
    <w:p w14:paraId="1CC9F1EE">
      <w:pPr>
        <w:spacing w:line="360" w:lineRule="auto"/>
        <w:rPr>
          <w:rFonts w:ascii="宋体" w:hAnsi="宋体" w:cs="宋体"/>
          <w:szCs w:val="21"/>
        </w:rPr>
      </w:pPr>
      <w:r>
        <w:rPr>
          <w:rFonts w:hint="eastAsia" w:ascii="宋体" w:hAnsi="宋体" w:cs="宋体"/>
          <w:szCs w:val="21"/>
        </w:rPr>
        <w:t xml:space="preserve">乙方24小时故障报修电话：                </w:t>
      </w:r>
    </w:p>
    <w:p w14:paraId="06F892EA">
      <w:pPr>
        <w:pStyle w:val="22"/>
        <w:tabs>
          <w:tab w:val="left" w:pos="417"/>
        </w:tabs>
        <w:spacing w:after="0" w:line="360" w:lineRule="auto"/>
        <w:ind w:left="10" w:hanging="10" w:hangingChars="5"/>
        <w:rPr>
          <w:rFonts w:ascii="宋体" w:hAnsi="宋体" w:eastAsia="宋体" w:cs="宋体"/>
          <w:kern w:val="2"/>
          <w:sz w:val="21"/>
          <w:szCs w:val="21"/>
        </w:rPr>
      </w:pPr>
      <w:r>
        <w:rPr>
          <w:rFonts w:hint="eastAsia" w:ascii="宋体" w:hAnsi="宋体" w:eastAsia="宋体" w:cs="宋体"/>
          <w:kern w:val="2"/>
          <w:sz w:val="21"/>
          <w:szCs w:val="21"/>
        </w:rPr>
        <w:t xml:space="preserve">技术支持电话：             </w:t>
      </w:r>
    </w:p>
    <w:p w14:paraId="4BA714AD">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服务改进：乙方提供的项目服务人员态度与能力不符合项目要求，甲方提出改进要求，3个工作日内没有明显改进，乙方项目经理5*8（每周5天，每天8小时，下同）在现场监督改进，3个工作日仍然没有明显改进，乙方项目经理的上级领导5*8在现场监督改进，依次类推，直到大中华服务总经理（或同级别经理）5*8在现场监督，直到完全改进。</w:t>
      </w:r>
    </w:p>
    <w:p w14:paraId="049F1CCB">
      <w:pPr>
        <w:widowControl/>
        <w:numPr>
          <w:ilvl w:val="0"/>
          <w:numId w:val="7"/>
        </w:numPr>
        <w:tabs>
          <w:tab w:val="left" w:pos="0"/>
          <w:tab w:val="clear" w:pos="1155"/>
        </w:tabs>
        <w:spacing w:line="360" w:lineRule="auto"/>
        <w:ind w:left="0" w:firstLine="0"/>
        <w:jc w:val="left"/>
        <w:rPr>
          <w:rFonts w:ascii="宋体" w:hAnsi="宋体" w:cs="宋体"/>
          <w:szCs w:val="21"/>
        </w:rPr>
      </w:pPr>
      <w:r>
        <w:rPr>
          <w:rFonts w:hint="eastAsia" w:ascii="宋体" w:hAnsi="宋体" w:cs="宋体"/>
          <w:szCs w:val="21"/>
        </w:rPr>
        <w:t>本售后服务要求必须视为保证系统运行所需的基本要求，如有遗漏，乙方应予以补充，否则将认为乙方认同遗漏部分并免费提供。</w:t>
      </w:r>
    </w:p>
    <w:p w14:paraId="2E482624">
      <w:pPr>
        <w:pStyle w:val="3"/>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十、技术支持</w:t>
      </w:r>
    </w:p>
    <w:p w14:paraId="609CB778">
      <w:pPr>
        <w:spacing w:line="300" w:lineRule="auto"/>
        <w:rPr>
          <w:rFonts w:ascii="宋体" w:hAnsi="宋体" w:cs="宋体"/>
          <w:szCs w:val="21"/>
        </w:rPr>
      </w:pPr>
      <w:r>
        <w:rPr>
          <w:rFonts w:hint="eastAsia" w:ascii="宋体" w:hAnsi="宋体" w:cs="宋体"/>
          <w:szCs w:val="21"/>
        </w:rPr>
        <w:t>1. 乙方需提供全套技术文件。文档内容须覆盖乙方所提供软件功能使用及管理应用。如乙方提供的项目/软件文档错误或不达要求，须无条件根据甲方提出细化要求予以补充或修订。文档资料包含但不限于以下内容：</w:t>
      </w:r>
      <w:bookmarkStart w:id="28" w:name="_Hlk76397900"/>
    </w:p>
    <w:p w14:paraId="6BEE76CE">
      <w:pPr>
        <w:spacing w:line="300" w:lineRule="auto"/>
        <w:rPr>
          <w:color w:val="000000"/>
          <w:kern w:val="0"/>
          <w:sz w:val="20"/>
        </w:rPr>
      </w:pPr>
      <w:r>
        <w:rPr>
          <w:color w:val="000000"/>
          <w:kern w:val="0"/>
          <w:szCs w:val="28"/>
        </w:rPr>
        <w:t>（1）</w:t>
      </w:r>
      <w:r>
        <w:rPr>
          <w:rFonts w:hint="eastAsia"/>
          <w:color w:val="000000"/>
          <w:kern w:val="0"/>
          <w:szCs w:val="28"/>
        </w:rPr>
        <w:t>接口</w:t>
      </w:r>
      <w:r>
        <w:rPr>
          <w:color w:val="000000"/>
          <w:kern w:val="0"/>
          <w:szCs w:val="28"/>
        </w:rPr>
        <w:t>需求分析文档；</w:t>
      </w:r>
    </w:p>
    <w:p w14:paraId="14A2E301">
      <w:pPr>
        <w:spacing w:line="300" w:lineRule="auto"/>
        <w:rPr>
          <w:color w:val="000000"/>
          <w:kern w:val="0"/>
          <w:sz w:val="20"/>
        </w:rPr>
      </w:pPr>
      <w:r>
        <w:rPr>
          <w:color w:val="000000"/>
          <w:kern w:val="0"/>
          <w:szCs w:val="28"/>
        </w:rPr>
        <w:t>（2）</w:t>
      </w:r>
      <w:r>
        <w:rPr>
          <w:rFonts w:hint="eastAsia"/>
          <w:color w:val="000000"/>
          <w:szCs w:val="28"/>
        </w:rPr>
        <w:t>系统部署说明</w:t>
      </w:r>
      <w:r>
        <w:rPr>
          <w:color w:val="000000"/>
          <w:kern w:val="0"/>
          <w:szCs w:val="28"/>
        </w:rPr>
        <w:t>；</w:t>
      </w:r>
    </w:p>
    <w:p w14:paraId="5852250E">
      <w:pPr>
        <w:spacing w:line="300" w:lineRule="auto"/>
        <w:rPr>
          <w:color w:val="000000"/>
          <w:kern w:val="0"/>
          <w:sz w:val="20"/>
        </w:rPr>
      </w:pPr>
      <w:r>
        <w:rPr>
          <w:color w:val="000000"/>
          <w:kern w:val="0"/>
          <w:szCs w:val="28"/>
        </w:rPr>
        <w:t>（3）</w:t>
      </w:r>
      <w:r>
        <w:rPr>
          <w:color w:val="000000"/>
          <w:szCs w:val="28"/>
        </w:rPr>
        <w:t>数据结构和数据字典说明</w:t>
      </w:r>
      <w:r>
        <w:rPr>
          <w:color w:val="000000"/>
          <w:kern w:val="0"/>
          <w:szCs w:val="28"/>
        </w:rPr>
        <w:t>；</w:t>
      </w:r>
    </w:p>
    <w:p w14:paraId="71F8E537">
      <w:pPr>
        <w:spacing w:line="300" w:lineRule="auto"/>
        <w:rPr>
          <w:color w:val="000000"/>
          <w:kern w:val="0"/>
          <w:sz w:val="20"/>
        </w:rPr>
      </w:pPr>
      <w:r>
        <w:rPr>
          <w:color w:val="000000"/>
          <w:kern w:val="0"/>
          <w:szCs w:val="28"/>
        </w:rPr>
        <w:t>（4）</w:t>
      </w:r>
      <w:r>
        <w:rPr>
          <w:color w:val="000000"/>
          <w:szCs w:val="28"/>
        </w:rPr>
        <w:t>用户操作手册，包含</w:t>
      </w:r>
      <w:r>
        <w:rPr>
          <w:rFonts w:hint="eastAsia"/>
          <w:color w:val="000000"/>
          <w:szCs w:val="28"/>
        </w:rPr>
        <w:t>接口相关、资源管理</w:t>
      </w:r>
      <w:r>
        <w:rPr>
          <w:color w:val="000000"/>
          <w:szCs w:val="28"/>
        </w:rPr>
        <w:t>功能、页面、关键页面信息项的操作指引及信息说明等</w:t>
      </w:r>
      <w:r>
        <w:rPr>
          <w:color w:val="000000"/>
          <w:kern w:val="0"/>
          <w:szCs w:val="28"/>
        </w:rPr>
        <w:t>；</w:t>
      </w:r>
    </w:p>
    <w:p w14:paraId="6549BAD3">
      <w:pPr>
        <w:spacing w:line="300" w:lineRule="auto"/>
        <w:rPr>
          <w:color w:val="000000"/>
          <w:kern w:val="0"/>
          <w:sz w:val="20"/>
        </w:rPr>
      </w:pPr>
      <w:r>
        <w:rPr>
          <w:color w:val="000000"/>
          <w:kern w:val="0"/>
          <w:szCs w:val="28"/>
        </w:rPr>
        <w:t>（5）</w:t>
      </w:r>
      <w:r>
        <w:rPr>
          <w:rFonts w:hint="eastAsia"/>
          <w:color w:val="000000"/>
          <w:szCs w:val="28"/>
        </w:rPr>
        <w:t>资源</w:t>
      </w:r>
      <w:r>
        <w:rPr>
          <w:color w:val="000000"/>
          <w:szCs w:val="28"/>
        </w:rPr>
        <w:t>运行维护手册，包含</w:t>
      </w:r>
      <w:r>
        <w:rPr>
          <w:rFonts w:hint="eastAsia"/>
          <w:color w:val="000000"/>
          <w:szCs w:val="28"/>
        </w:rPr>
        <w:t>系统</w:t>
      </w:r>
      <w:r>
        <w:rPr>
          <w:color w:val="000000"/>
          <w:szCs w:val="28"/>
        </w:rPr>
        <w:t>安装、升级、迁移、维护等方面内容的说明</w:t>
      </w:r>
      <w:r>
        <w:rPr>
          <w:color w:val="000000"/>
          <w:kern w:val="0"/>
          <w:szCs w:val="28"/>
        </w:rPr>
        <w:t>；</w:t>
      </w:r>
    </w:p>
    <w:p w14:paraId="363D96E6">
      <w:pPr>
        <w:widowControl/>
        <w:tabs>
          <w:tab w:val="left" w:pos="0"/>
        </w:tabs>
        <w:spacing w:line="360" w:lineRule="auto"/>
        <w:jc w:val="left"/>
        <w:rPr>
          <w:rFonts w:ascii="宋体" w:hAnsi="宋体" w:cs="宋体"/>
          <w:szCs w:val="21"/>
        </w:rPr>
      </w:pPr>
      <w:r>
        <w:rPr>
          <w:color w:val="000000"/>
          <w:kern w:val="0"/>
          <w:szCs w:val="28"/>
        </w:rPr>
        <w:t>（6）</w:t>
      </w:r>
      <w:r>
        <w:rPr>
          <w:color w:val="000000"/>
          <w:szCs w:val="28"/>
        </w:rPr>
        <w:t>系统接口手册，包含系统提供或客制开发的接口类库、说明、示例代码等</w:t>
      </w:r>
      <w:bookmarkEnd w:id="28"/>
      <w:r>
        <w:rPr>
          <w:rFonts w:hint="eastAsia" w:ascii="宋体" w:hAnsi="宋体" w:cs="宋体"/>
          <w:szCs w:val="21"/>
        </w:rPr>
        <w:t>。</w:t>
      </w:r>
    </w:p>
    <w:p w14:paraId="2F10FC9C">
      <w:pPr>
        <w:pStyle w:val="3"/>
        <w:numPr>
          <w:ilvl w:val="0"/>
          <w:numId w:val="0"/>
        </w:numPr>
        <w:spacing w:before="0" w:after="0" w:line="360" w:lineRule="auto"/>
        <w:jc w:val="both"/>
        <w:rPr>
          <w:rFonts w:ascii="宋体" w:hAnsi="宋体" w:eastAsia="宋体" w:cs="宋体"/>
          <w:b/>
          <w:kern w:val="2"/>
          <w:sz w:val="21"/>
          <w:szCs w:val="21"/>
        </w:rPr>
      </w:pPr>
      <w:r>
        <w:rPr>
          <w:rFonts w:hint="eastAsia" w:ascii="宋体" w:hAnsi="宋体" w:eastAsia="宋体" w:cs="宋体"/>
          <w:b/>
          <w:kern w:val="2"/>
          <w:sz w:val="21"/>
          <w:szCs w:val="21"/>
        </w:rPr>
        <w:t>十一、技术升级和优惠条件</w:t>
      </w:r>
    </w:p>
    <w:p w14:paraId="27F61DED">
      <w:pPr>
        <w:widowControl/>
        <w:tabs>
          <w:tab w:val="left" w:pos="0"/>
        </w:tabs>
        <w:spacing w:line="360" w:lineRule="auto"/>
        <w:jc w:val="left"/>
        <w:rPr>
          <w:rFonts w:ascii="宋体" w:hAnsi="宋体" w:cs="宋体"/>
          <w:szCs w:val="21"/>
        </w:rPr>
      </w:pPr>
      <w:r>
        <w:rPr>
          <w:rFonts w:hint="eastAsia" w:ascii="宋体" w:hAnsi="宋体" w:cs="宋体"/>
          <w:szCs w:val="21"/>
        </w:rPr>
        <w:t>1. 乙方对所供硬件及第三方软件在设备寿命期内提供免费的软件升级服务（包括设备模板），并在升级后为甲方提供免费的培训。</w:t>
      </w:r>
    </w:p>
    <w:p w14:paraId="792843C3">
      <w:pPr>
        <w:widowControl/>
        <w:tabs>
          <w:tab w:val="left" w:pos="0"/>
        </w:tabs>
        <w:spacing w:line="360" w:lineRule="auto"/>
        <w:jc w:val="left"/>
        <w:rPr>
          <w:rFonts w:ascii="宋体" w:hAnsi="宋体" w:cs="宋体"/>
          <w:szCs w:val="21"/>
        </w:rPr>
      </w:pPr>
      <w:r>
        <w:rPr>
          <w:rFonts w:hint="eastAsia" w:ascii="宋体" w:hAnsi="宋体" w:cs="宋体"/>
          <w:szCs w:val="21"/>
        </w:rPr>
        <w:t>2. 乙方承诺升级后的软件没有版权及权属争议等其它问题，并且保证到下次升级时可正常使用。</w:t>
      </w:r>
    </w:p>
    <w:p w14:paraId="698D3F29">
      <w:pPr>
        <w:tabs>
          <w:tab w:val="left" w:pos="0"/>
        </w:tabs>
        <w:spacing w:line="360" w:lineRule="auto"/>
        <w:rPr>
          <w:rFonts w:ascii="宋体" w:hAnsi="宋体" w:cs="宋体"/>
          <w:szCs w:val="21"/>
        </w:rPr>
      </w:pPr>
      <w:r>
        <w:rPr>
          <w:rFonts w:hint="eastAsia" w:ascii="宋体" w:hAnsi="宋体" w:cs="宋体"/>
          <w:szCs w:val="21"/>
        </w:rPr>
        <w:t>3. 本次合同范围，即“</w:t>
      </w:r>
      <w:r>
        <w:rPr>
          <w:rFonts w:hint="eastAsia" w:ascii="宋体" w:hAnsi="宋体" w:cs="宋体"/>
          <w:b/>
          <w:bCs/>
          <w:color w:val="000000"/>
          <w:szCs w:val="21"/>
          <w:u w:val="single"/>
        </w:rPr>
        <w:t>10090</w:t>
      </w:r>
      <w:r>
        <w:rPr>
          <w:rFonts w:hint="eastAsia" w:ascii="宋体" w:hAnsi="宋体" w:cs="宋体"/>
          <w:b/>
          <w:color w:val="000000"/>
          <w:szCs w:val="21"/>
          <w:u w:val="single"/>
        </w:rPr>
        <w:t>服务质量监督热线建设项目</w:t>
      </w:r>
      <w:r>
        <w:rPr>
          <w:rFonts w:hint="eastAsia" w:ascii="宋体" w:hAnsi="宋体" w:cs="宋体"/>
          <w:szCs w:val="21"/>
        </w:rPr>
        <w:t>”项目范围，对于系统今后新增设备和软件的所有集成，乙方全部免收集成费。</w:t>
      </w:r>
    </w:p>
    <w:p w14:paraId="4B013C3D">
      <w:pPr>
        <w:tabs>
          <w:tab w:val="left" w:pos="0"/>
        </w:tabs>
        <w:spacing w:line="360" w:lineRule="auto"/>
        <w:rPr>
          <w:szCs w:val="21"/>
        </w:rPr>
      </w:pPr>
      <w:r>
        <w:rPr>
          <w:rFonts w:hint="eastAsia" w:ascii="宋体" w:hAnsi="宋体" w:cs="宋体"/>
          <w:szCs w:val="21"/>
        </w:rPr>
        <w:t>4. 甲方在本系统扩容时，乙方提供的同类设备、配件、软件及相关服务等报价应不高于本“</w:t>
      </w:r>
      <w:r>
        <w:rPr>
          <w:rFonts w:hint="eastAsia" w:ascii="宋体" w:hAnsi="宋体" w:cs="宋体"/>
          <w:b/>
          <w:bCs/>
          <w:color w:val="000000"/>
          <w:szCs w:val="21"/>
          <w:u w:val="single"/>
        </w:rPr>
        <w:t>10090</w:t>
      </w:r>
      <w:r>
        <w:rPr>
          <w:rFonts w:hint="eastAsia" w:ascii="宋体" w:hAnsi="宋体" w:cs="宋体"/>
          <w:b/>
          <w:color w:val="000000"/>
          <w:szCs w:val="21"/>
          <w:u w:val="single"/>
        </w:rPr>
        <w:t>服务质量监督热线建设项目</w:t>
      </w:r>
      <w:r>
        <w:rPr>
          <w:rFonts w:hint="eastAsia" w:ascii="宋体" w:hAnsi="宋体" w:cs="宋体"/>
          <w:szCs w:val="21"/>
        </w:rPr>
        <w:t>”项目的中标价格、折扣，且不高于当时市场价格，</w:t>
      </w:r>
      <w:r>
        <w:rPr>
          <w:rFonts w:hint="eastAsia"/>
          <w:szCs w:val="21"/>
        </w:rPr>
        <w:t>甲方保留二次询价的权利</w:t>
      </w:r>
      <w:r>
        <w:rPr>
          <w:szCs w:val="21"/>
        </w:rPr>
        <w:t>。</w:t>
      </w:r>
    </w:p>
    <w:p w14:paraId="498E0D86">
      <w:pPr>
        <w:pStyle w:val="3"/>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29" w:name="_Toc47617116"/>
      <w:r>
        <w:rPr>
          <w:rFonts w:hint="eastAsia" w:ascii="宋体" w:hAnsi="宋体" w:eastAsia="宋体" w:cs="宋体"/>
          <w:b/>
          <w:kern w:val="2"/>
          <w:sz w:val="21"/>
          <w:szCs w:val="21"/>
        </w:rPr>
        <w:t>十二、技术和资料的保密事项</w:t>
      </w:r>
      <w:bookmarkEnd w:id="29"/>
    </w:p>
    <w:p w14:paraId="7897DD11">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甲、乙双方同意，在任何时候，不论是合同有效期内还是合同终止以后，对任何一方提供的秘密信息或双方共有的秘密信息均实行严格保密。</w:t>
      </w:r>
    </w:p>
    <w:p w14:paraId="071C3133">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甲方在未得到乙方许可前提下，不得向任何第三方透露乙方提供的软件及所附全部文档和资料的商业秘密和技术秘密。</w:t>
      </w:r>
    </w:p>
    <w:p w14:paraId="4FCE9D9C">
      <w:pPr>
        <w:numPr>
          <w:ilvl w:val="0"/>
          <w:numId w:val="8"/>
        </w:numPr>
        <w:tabs>
          <w:tab w:val="left" w:pos="0"/>
          <w:tab w:val="clear" w:pos="1155"/>
        </w:tabs>
        <w:spacing w:line="360" w:lineRule="auto"/>
        <w:ind w:left="0" w:firstLine="0"/>
        <w:rPr>
          <w:rFonts w:ascii="宋体" w:hAnsi="宋体" w:cs="宋体"/>
          <w:szCs w:val="21"/>
        </w:rPr>
      </w:pPr>
      <w:r>
        <w:rPr>
          <w:rFonts w:hint="eastAsia" w:ascii="宋体" w:hAnsi="宋体" w:cs="宋体"/>
          <w:szCs w:val="21"/>
        </w:rPr>
        <w:t>乙方有责任对技术开发中涉及的甲方商业情报、技术情报及相关文档资料保密。未得到甲方书面许可前提下，不得向任何第三方透露软件开发或使用过程中所涉及的甲方的商业秘密和技术秘密。</w:t>
      </w:r>
    </w:p>
    <w:p w14:paraId="5C874F2A">
      <w:pPr>
        <w:pStyle w:val="3"/>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30" w:name="_Toc72326304"/>
      <w:r>
        <w:rPr>
          <w:rFonts w:hint="eastAsia" w:ascii="宋体" w:hAnsi="宋体" w:eastAsia="宋体" w:cs="宋体"/>
          <w:b/>
          <w:kern w:val="2"/>
          <w:sz w:val="21"/>
          <w:szCs w:val="21"/>
        </w:rPr>
        <w:t>十三、</w:t>
      </w:r>
      <w:bookmarkEnd w:id="30"/>
      <w:bookmarkStart w:id="31" w:name="_Toc72326305"/>
      <w:r>
        <w:rPr>
          <w:rFonts w:hint="eastAsia" w:ascii="宋体" w:hAnsi="宋体" w:eastAsia="宋体" w:cs="宋体"/>
          <w:b/>
          <w:kern w:val="2"/>
          <w:sz w:val="21"/>
          <w:szCs w:val="21"/>
        </w:rPr>
        <w:t>双方责任</w:t>
      </w:r>
      <w:bookmarkEnd w:id="31"/>
    </w:p>
    <w:p w14:paraId="697EDD10">
      <w:pPr>
        <w:numPr>
          <w:ilvl w:val="255"/>
          <w:numId w:val="0"/>
        </w:numPr>
        <w:adjustRightInd w:val="0"/>
        <w:snapToGrid w:val="0"/>
        <w:spacing w:line="360" w:lineRule="auto"/>
        <w:rPr>
          <w:rFonts w:ascii="宋体" w:hAnsi="宋体" w:cs="宋体"/>
          <w:szCs w:val="21"/>
        </w:rPr>
      </w:pPr>
      <w:r>
        <w:rPr>
          <w:rFonts w:hint="eastAsia" w:ascii="宋体" w:hAnsi="宋体" w:cs="宋体"/>
          <w:szCs w:val="21"/>
        </w:rPr>
        <w:t>甲方责任</w:t>
      </w:r>
    </w:p>
    <w:p w14:paraId="23516571">
      <w:pPr>
        <w:numPr>
          <w:ilvl w:val="0"/>
          <w:numId w:val="9"/>
        </w:numPr>
        <w:adjustRightInd w:val="0"/>
        <w:snapToGrid w:val="0"/>
        <w:spacing w:line="360" w:lineRule="auto"/>
        <w:rPr>
          <w:rFonts w:ascii="宋体" w:hAnsi="宋体" w:cs="宋体"/>
          <w:szCs w:val="21"/>
        </w:rPr>
      </w:pPr>
      <w:r>
        <w:rPr>
          <w:rFonts w:hint="eastAsia" w:ascii="宋体" w:hAnsi="宋体" w:cs="宋体"/>
          <w:szCs w:val="21"/>
        </w:rPr>
        <w:t>甲方需为乙方提供项目实施便利，积极配合乙方进行项目实施安装及调试。</w:t>
      </w:r>
    </w:p>
    <w:p w14:paraId="0C7DB704">
      <w:pPr>
        <w:numPr>
          <w:ilvl w:val="0"/>
          <w:numId w:val="9"/>
        </w:numPr>
        <w:adjustRightInd w:val="0"/>
        <w:snapToGrid w:val="0"/>
        <w:spacing w:line="360" w:lineRule="auto"/>
        <w:rPr>
          <w:rFonts w:ascii="宋体" w:hAnsi="宋体" w:cs="宋体"/>
          <w:szCs w:val="21"/>
        </w:rPr>
      </w:pPr>
      <w:r>
        <w:rPr>
          <w:rFonts w:hint="eastAsia" w:ascii="宋体" w:hAnsi="宋体" w:cs="宋体"/>
          <w:szCs w:val="21"/>
        </w:rPr>
        <w:t>甲方需为乙方协调各方关系提供便利。</w:t>
      </w:r>
    </w:p>
    <w:p w14:paraId="485CDB4F">
      <w:pPr>
        <w:numPr>
          <w:ilvl w:val="0"/>
          <w:numId w:val="9"/>
        </w:numPr>
        <w:adjustRightInd w:val="0"/>
        <w:snapToGrid w:val="0"/>
        <w:spacing w:line="360" w:lineRule="auto"/>
        <w:rPr>
          <w:rFonts w:ascii="宋体" w:hAnsi="宋体" w:cs="宋体"/>
          <w:szCs w:val="21"/>
        </w:rPr>
      </w:pPr>
      <w:r>
        <w:rPr>
          <w:rFonts w:hint="eastAsia" w:ascii="宋体" w:hAnsi="宋体" w:cs="宋体"/>
          <w:szCs w:val="21"/>
        </w:rPr>
        <w:t>甲方应指派管理人员、技术人员参加项目系统安装、系统测试和其它工作。</w:t>
      </w:r>
    </w:p>
    <w:p w14:paraId="02BC458F">
      <w:pPr>
        <w:numPr>
          <w:ilvl w:val="0"/>
          <w:numId w:val="9"/>
        </w:numPr>
        <w:adjustRightInd w:val="0"/>
        <w:snapToGrid w:val="0"/>
        <w:spacing w:line="360" w:lineRule="auto"/>
        <w:rPr>
          <w:rFonts w:ascii="宋体" w:hAnsi="宋体" w:cs="宋体"/>
          <w:szCs w:val="21"/>
        </w:rPr>
      </w:pPr>
      <w:r>
        <w:rPr>
          <w:rFonts w:hint="eastAsia" w:ascii="宋体" w:hAnsi="宋体" w:cs="宋体"/>
          <w:szCs w:val="21"/>
        </w:rPr>
        <w:t>因乙方未按合同质量或要求交付产品，甲方有权拒收，甲方的该项权利不因产品在启运前通过甲方的验收而受到任何限制或影响。</w:t>
      </w:r>
    </w:p>
    <w:p w14:paraId="7EE4AF00">
      <w:pPr>
        <w:numPr>
          <w:ilvl w:val="255"/>
          <w:numId w:val="0"/>
        </w:numPr>
        <w:adjustRightInd w:val="0"/>
        <w:snapToGrid w:val="0"/>
        <w:spacing w:line="360" w:lineRule="auto"/>
        <w:rPr>
          <w:rFonts w:ascii="宋体" w:hAnsi="宋体" w:cs="宋体"/>
          <w:szCs w:val="21"/>
        </w:rPr>
      </w:pPr>
      <w:r>
        <w:rPr>
          <w:rFonts w:hint="eastAsia" w:ascii="宋体" w:hAnsi="宋体" w:cs="宋体"/>
          <w:szCs w:val="21"/>
        </w:rPr>
        <w:t>乙方责任</w:t>
      </w:r>
    </w:p>
    <w:p w14:paraId="4ACB85AC">
      <w:pPr>
        <w:numPr>
          <w:ilvl w:val="0"/>
          <w:numId w:val="10"/>
        </w:numPr>
        <w:spacing w:line="360" w:lineRule="auto"/>
        <w:ind w:left="0" w:firstLine="0"/>
        <w:rPr>
          <w:rFonts w:ascii="宋体" w:hAnsi="宋体" w:cs="宋体"/>
          <w:szCs w:val="21"/>
        </w:rPr>
      </w:pPr>
      <w:r>
        <w:rPr>
          <w:rFonts w:hint="eastAsia" w:ascii="宋体" w:hAnsi="宋体" w:cs="宋体"/>
          <w:szCs w:val="21"/>
        </w:rPr>
        <w:t>乙方承诺：除投标文件及后续书面承诺标明的偏离外，乙方提供的产品和服务均满足招标文件要求。</w:t>
      </w:r>
    </w:p>
    <w:p w14:paraId="110FD465">
      <w:pPr>
        <w:numPr>
          <w:ilvl w:val="0"/>
          <w:numId w:val="10"/>
        </w:numPr>
        <w:spacing w:line="360" w:lineRule="auto"/>
        <w:ind w:left="0" w:firstLine="0"/>
        <w:rPr>
          <w:rFonts w:ascii="宋体" w:hAnsi="宋体" w:cs="宋体"/>
          <w:szCs w:val="21"/>
        </w:rPr>
      </w:pPr>
      <w:r>
        <w:rPr>
          <w:rFonts w:hint="eastAsia" w:ascii="宋体" w:hAnsi="宋体" w:cs="宋体"/>
          <w:szCs w:val="21"/>
        </w:rPr>
        <w:t>乙方应按照招标文件、投标文件、乙方后续书面承诺的技术要求以及甲、乙双方协定补充文件，提供合格的产品，并保证通过甲方的验收。</w:t>
      </w:r>
    </w:p>
    <w:p w14:paraId="7F5AD2AF">
      <w:pPr>
        <w:numPr>
          <w:ilvl w:val="0"/>
          <w:numId w:val="10"/>
        </w:numPr>
        <w:spacing w:line="360" w:lineRule="auto"/>
        <w:ind w:left="0" w:firstLine="0"/>
        <w:rPr>
          <w:rFonts w:ascii="宋体" w:hAnsi="宋体" w:cs="宋体"/>
          <w:szCs w:val="21"/>
        </w:rPr>
      </w:pPr>
      <w:r>
        <w:rPr>
          <w:rFonts w:hint="eastAsia" w:ascii="宋体" w:hAnsi="宋体" w:cs="宋体"/>
          <w:szCs w:val="21"/>
        </w:rPr>
        <w:t>在系统安装、调试、开发过程中，乙方须保证不影响甲方现有系统的正常运行和现有业务的正常发展。</w:t>
      </w:r>
    </w:p>
    <w:p w14:paraId="763ECFA4">
      <w:pPr>
        <w:numPr>
          <w:ilvl w:val="0"/>
          <w:numId w:val="10"/>
        </w:numPr>
        <w:spacing w:line="360" w:lineRule="auto"/>
        <w:ind w:left="0" w:firstLine="0"/>
        <w:rPr>
          <w:rFonts w:ascii="宋体" w:hAnsi="宋体" w:cs="宋体"/>
          <w:szCs w:val="21"/>
        </w:rPr>
      </w:pPr>
      <w:r>
        <w:rPr>
          <w:rFonts w:hint="eastAsia" w:ascii="宋体" w:hAnsi="宋体" w:cs="宋体"/>
          <w:szCs w:val="21"/>
        </w:rPr>
        <w:t>乙方保证在系统安装、调试、开发过程中不非法使用第三方软件。</w:t>
      </w:r>
    </w:p>
    <w:p w14:paraId="56A97FCE">
      <w:pPr>
        <w:numPr>
          <w:ilvl w:val="0"/>
          <w:numId w:val="10"/>
        </w:numPr>
        <w:spacing w:line="360" w:lineRule="auto"/>
        <w:ind w:left="0" w:firstLine="0"/>
        <w:rPr>
          <w:rFonts w:ascii="宋体" w:hAnsi="宋体" w:cs="宋体"/>
          <w:szCs w:val="21"/>
        </w:rPr>
      </w:pPr>
      <w:r>
        <w:rPr>
          <w:rFonts w:hint="eastAsia" w:ascii="宋体" w:hAnsi="宋体" w:cs="宋体"/>
          <w:szCs w:val="21"/>
        </w:rPr>
        <w:t>乙方在产品安装、调试、开发过程中须派驻足够的有经验的工程技术人员到施工现场进行安装指导，在甲方的组织安排下负责完成系统调试、现场性能试验和验收，服从甲方的现场安排。</w:t>
      </w:r>
    </w:p>
    <w:p w14:paraId="7C8A039E">
      <w:pPr>
        <w:numPr>
          <w:ilvl w:val="0"/>
          <w:numId w:val="10"/>
        </w:numPr>
        <w:spacing w:line="360" w:lineRule="auto"/>
        <w:ind w:left="0" w:firstLine="0"/>
        <w:rPr>
          <w:rFonts w:ascii="宋体" w:hAnsi="宋体" w:cs="宋体"/>
          <w:szCs w:val="21"/>
        </w:rPr>
      </w:pPr>
      <w:r>
        <w:rPr>
          <w:rFonts w:hint="eastAsia" w:ascii="宋体" w:hAnsi="宋体" w:cs="宋体"/>
          <w:szCs w:val="21"/>
        </w:rPr>
        <w:t>乙方按照要求提供产品合格证书、产品检测记录、调试记录等技术资料。</w:t>
      </w:r>
    </w:p>
    <w:p w14:paraId="1677E2EE">
      <w:pPr>
        <w:numPr>
          <w:ilvl w:val="0"/>
          <w:numId w:val="10"/>
        </w:numPr>
        <w:spacing w:line="360" w:lineRule="auto"/>
        <w:ind w:left="0" w:firstLine="0"/>
        <w:rPr>
          <w:rFonts w:ascii="宋体" w:hAnsi="宋体" w:cs="宋体"/>
          <w:szCs w:val="21"/>
        </w:rPr>
      </w:pPr>
      <w:r>
        <w:rPr>
          <w:rFonts w:hint="eastAsia" w:ascii="宋体" w:hAnsi="宋体" w:cs="宋体"/>
          <w:szCs w:val="21"/>
        </w:rPr>
        <w:t>乙方负责与硬件设备相配套的软件厂家、其它设备的制造商、第三方软件厂家和售后服务部门等联系沟通，完成安装、调试，配置相关的产品。</w:t>
      </w:r>
    </w:p>
    <w:p w14:paraId="7958C44D">
      <w:pPr>
        <w:numPr>
          <w:ilvl w:val="0"/>
          <w:numId w:val="10"/>
        </w:numPr>
        <w:spacing w:line="360" w:lineRule="auto"/>
        <w:ind w:left="0" w:firstLine="0"/>
        <w:rPr>
          <w:rFonts w:ascii="宋体" w:hAnsi="宋体" w:cs="宋体"/>
          <w:szCs w:val="21"/>
        </w:rPr>
      </w:pPr>
      <w:r>
        <w:rPr>
          <w:rFonts w:hint="eastAsia" w:ascii="宋体" w:hAnsi="宋体" w:cs="宋体"/>
          <w:szCs w:val="21"/>
        </w:rPr>
        <w:t>乙方负责配合相关厂家，定期检查产品、及时排查硬件故障。</w:t>
      </w:r>
    </w:p>
    <w:p w14:paraId="3CA04BCC">
      <w:pPr>
        <w:numPr>
          <w:ilvl w:val="0"/>
          <w:numId w:val="10"/>
        </w:numPr>
        <w:spacing w:line="360" w:lineRule="auto"/>
        <w:ind w:left="0" w:firstLine="0"/>
        <w:rPr>
          <w:rFonts w:ascii="宋体" w:hAnsi="宋体" w:cs="宋体"/>
          <w:szCs w:val="21"/>
        </w:rPr>
      </w:pPr>
      <w:r>
        <w:rPr>
          <w:rFonts w:hint="eastAsia" w:ascii="宋体" w:hAnsi="宋体" w:cs="宋体"/>
          <w:szCs w:val="21"/>
        </w:rPr>
        <w:t>乙方未按合同规定的质量要求交付产品，甲方拒收时，乙方应承担合同的违约责任。</w:t>
      </w:r>
    </w:p>
    <w:p w14:paraId="7A2C87B7">
      <w:pPr>
        <w:numPr>
          <w:ilvl w:val="0"/>
          <w:numId w:val="10"/>
        </w:numPr>
        <w:spacing w:line="360" w:lineRule="auto"/>
        <w:ind w:left="0" w:firstLine="0"/>
        <w:rPr>
          <w:rFonts w:ascii="宋体" w:hAnsi="宋体" w:cs="宋体"/>
          <w:szCs w:val="21"/>
        </w:rPr>
      </w:pPr>
      <w:r>
        <w:rPr>
          <w:rFonts w:hint="eastAsia" w:ascii="宋体" w:hAnsi="宋体" w:cs="宋体"/>
          <w:szCs w:val="21"/>
        </w:rPr>
        <w:t>迟延履行，甲方书面确定一个合理的期限，如乙方仍不能履行，按乙方不履行合同处理。</w:t>
      </w:r>
    </w:p>
    <w:p w14:paraId="7037A628">
      <w:pPr>
        <w:numPr>
          <w:ilvl w:val="0"/>
          <w:numId w:val="10"/>
        </w:numPr>
        <w:spacing w:line="360" w:lineRule="auto"/>
        <w:ind w:left="0" w:firstLine="0"/>
        <w:rPr>
          <w:rFonts w:ascii="宋体" w:hAnsi="宋体" w:cs="宋体"/>
          <w:szCs w:val="21"/>
        </w:rPr>
      </w:pPr>
      <w:r>
        <w:rPr>
          <w:rFonts w:hint="eastAsia" w:ascii="宋体" w:hAnsi="宋体" w:cs="宋体"/>
          <w:szCs w:val="21"/>
        </w:rPr>
        <w:t>本合同所有产品的制造，都必须由投标文件和询标时做出的书面承诺中明确的制造商承担，否则将按乙方不履行合同处理。</w:t>
      </w:r>
    </w:p>
    <w:p w14:paraId="5B950929">
      <w:pPr>
        <w:numPr>
          <w:ilvl w:val="0"/>
          <w:numId w:val="10"/>
        </w:numPr>
        <w:spacing w:line="360" w:lineRule="auto"/>
        <w:ind w:left="0" w:firstLine="0"/>
        <w:rPr>
          <w:rFonts w:ascii="宋体" w:hAnsi="宋体" w:cs="宋体"/>
          <w:szCs w:val="21"/>
        </w:rPr>
      </w:pPr>
      <w:r>
        <w:rPr>
          <w:rFonts w:hint="eastAsia" w:ascii="宋体" w:hAnsi="宋体" w:cs="宋体"/>
          <w:szCs w:val="21"/>
        </w:rPr>
        <w:t>乙方保证不在软件中对功能、性能、容量进行人为限制，不得含有陷阱、逻辑炸弹、后门等非法程序代码。</w:t>
      </w:r>
    </w:p>
    <w:p w14:paraId="32029D44">
      <w:pPr>
        <w:numPr>
          <w:ilvl w:val="0"/>
          <w:numId w:val="10"/>
        </w:numPr>
        <w:spacing w:line="360" w:lineRule="auto"/>
        <w:ind w:left="0" w:firstLine="0"/>
        <w:rPr>
          <w:rFonts w:ascii="宋体" w:hAnsi="宋体" w:cs="宋体"/>
          <w:szCs w:val="21"/>
        </w:rPr>
      </w:pPr>
      <w:r>
        <w:rPr>
          <w:rFonts w:hint="eastAsia" w:ascii="宋体" w:hAnsi="宋体" w:cs="宋体"/>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700513F1">
      <w:pPr>
        <w:numPr>
          <w:ilvl w:val="0"/>
          <w:numId w:val="10"/>
        </w:numPr>
        <w:spacing w:line="360" w:lineRule="auto"/>
        <w:ind w:left="0" w:firstLine="0"/>
        <w:rPr>
          <w:rFonts w:ascii="宋体" w:hAnsi="宋体" w:cs="宋体"/>
          <w:szCs w:val="21"/>
        </w:rPr>
      </w:pPr>
      <w:r>
        <w:rPr>
          <w:rFonts w:hint="eastAsia" w:ascii="宋体" w:hAnsi="宋体" w:cs="宋体"/>
          <w:szCs w:val="21"/>
        </w:rPr>
        <w:t>乙方应为其人员（含派驻甲方的技术工程师）提供相应劳动保护，非因甲方原因，乙方人员遭受人身、财产损害，或乙方人员造成甲方、第三人人身财产损害的，由乙方承担全部责任。</w:t>
      </w:r>
    </w:p>
    <w:p w14:paraId="0DAD49F7">
      <w:pPr>
        <w:numPr>
          <w:ilvl w:val="0"/>
          <w:numId w:val="10"/>
        </w:numPr>
        <w:spacing w:line="360" w:lineRule="auto"/>
        <w:ind w:left="0" w:firstLine="0"/>
        <w:rPr>
          <w:rFonts w:ascii="宋体" w:hAnsi="宋体" w:cs="宋体"/>
          <w:szCs w:val="21"/>
        </w:rPr>
      </w:pPr>
      <w:r>
        <w:rPr>
          <w:rFonts w:hint="eastAsia" w:ascii="宋体" w:hAnsi="宋体" w:cs="宋体"/>
          <w:szCs w:val="21"/>
        </w:rPr>
        <w:t>乙方负责甲方的软件的安装部署、调试、系统集成工作。</w:t>
      </w:r>
    </w:p>
    <w:p w14:paraId="6522C90E">
      <w:pPr>
        <w:numPr>
          <w:ilvl w:val="0"/>
          <w:numId w:val="10"/>
        </w:numPr>
        <w:spacing w:line="360" w:lineRule="auto"/>
        <w:ind w:left="0" w:firstLine="0"/>
        <w:rPr>
          <w:rFonts w:ascii="宋体" w:hAnsi="宋体" w:cs="宋体"/>
          <w:szCs w:val="21"/>
        </w:rPr>
      </w:pPr>
      <w:r>
        <w:rPr>
          <w:rFonts w:hint="eastAsia" w:ascii="宋体" w:hAnsi="宋体" w:cs="宋体"/>
          <w:szCs w:val="21"/>
        </w:rPr>
        <w:t>乙方与甲方双方共享本项目的知识产权，乙方向甲方完全开放所有软件二次开发源代码；甲方有权根据自己的规划、方案，或与乙方讨论并修改的规划和方案单独申请国家、省、市或行业的奖项（如科技进步奖），甲方同意在获奖项目上与乙方共同署名，分享荣誉。乙方须根据甲方要求提供奖项申报、论文等相关材料。</w:t>
      </w:r>
    </w:p>
    <w:p w14:paraId="168ACDA1">
      <w:pPr>
        <w:numPr>
          <w:ilvl w:val="0"/>
          <w:numId w:val="10"/>
        </w:numPr>
        <w:spacing w:line="360" w:lineRule="auto"/>
        <w:ind w:left="0" w:firstLine="0"/>
        <w:rPr>
          <w:szCs w:val="21"/>
        </w:rPr>
      </w:pPr>
      <w:r>
        <w:rPr>
          <w:rFonts w:hint="eastAsia" w:ascii="宋体" w:hAnsi="宋体" w:cs="宋体"/>
          <w:szCs w:val="21"/>
        </w:rPr>
        <w:t>乙方须保证提供的软件能够完整、平稳的运行在国内外各操作系统。</w:t>
      </w:r>
    </w:p>
    <w:p w14:paraId="1367B7A8">
      <w:pPr>
        <w:pStyle w:val="3"/>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32" w:name="_Toc72326306"/>
      <w:r>
        <w:rPr>
          <w:rFonts w:hint="eastAsia" w:ascii="宋体" w:hAnsi="宋体" w:eastAsia="宋体" w:cs="宋体"/>
          <w:b/>
          <w:kern w:val="2"/>
          <w:sz w:val="21"/>
          <w:szCs w:val="21"/>
        </w:rPr>
        <w:t>十四、违约责任</w:t>
      </w:r>
      <w:bookmarkEnd w:id="32"/>
    </w:p>
    <w:p w14:paraId="6EEDC964">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乙方承担本合同约定事项的违约责任，且不因设备或软件是由第三方制造或开发设计等因素而受到影响。</w:t>
      </w:r>
    </w:p>
    <w:p w14:paraId="6B324E56">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由于乙方提供的产品不符合招标文件及本合同第四条所规定的要求时，甲方有权要求乙方更换，如果乙方产品在更换后仍不符合要求，甲方有权终止合同。乙方</w:t>
      </w:r>
      <w:r>
        <w:rPr>
          <w:rFonts w:hint="eastAsia" w:ascii="宋体" w:hAnsi="宋体" w:cs="宋体"/>
          <w:szCs w:val="21"/>
        </w:rPr>
        <w:t>应支付合同总额20%的违约金给</w:t>
      </w:r>
      <w:r>
        <w:rPr>
          <w:rFonts w:hint="eastAsia" w:ascii="宋体" w:hAnsi="宋体" w:cs="宋体"/>
          <w:color w:val="000000"/>
          <w:szCs w:val="21"/>
        </w:rPr>
        <w:t>甲方</w:t>
      </w:r>
      <w:r>
        <w:rPr>
          <w:rFonts w:hint="eastAsia" w:ascii="宋体" w:hAnsi="宋体" w:cs="宋体"/>
          <w:szCs w:val="21"/>
        </w:rPr>
        <w:t>。</w:t>
      </w:r>
    </w:p>
    <w:p w14:paraId="572337FB">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szCs w:val="21"/>
        </w:rPr>
        <w:t>若乙方未按甲方要求</w:t>
      </w:r>
      <w:r>
        <w:rPr>
          <w:rFonts w:hint="eastAsia" w:ascii="宋体" w:hAnsi="宋体" w:cs="宋体"/>
          <w:color w:val="000000"/>
          <w:szCs w:val="21"/>
        </w:rPr>
        <w:t>提供的技术规范、培训材料等文档材料，或提供的技术规范、培训材料等文档材料质量不合格，甲方有权要求乙方更换，直至文档材料符合要求为止，同时甲方有权</w:t>
      </w:r>
      <w:r>
        <w:rPr>
          <w:rFonts w:hint="eastAsia" w:ascii="宋体" w:hAnsi="宋体" w:cs="宋体"/>
          <w:szCs w:val="21"/>
        </w:rPr>
        <w:t>开据处罚单给乙方，并</w:t>
      </w:r>
      <w:r>
        <w:rPr>
          <w:rFonts w:hint="eastAsia" w:ascii="宋体" w:hAnsi="宋体" w:cs="宋体"/>
          <w:color w:val="000000"/>
          <w:szCs w:val="21"/>
        </w:rPr>
        <w:t>根据文档重要性</w:t>
      </w:r>
      <w:r>
        <w:rPr>
          <w:rFonts w:hint="eastAsia" w:ascii="宋体" w:hAnsi="宋体" w:cs="宋体"/>
          <w:szCs w:val="21"/>
        </w:rPr>
        <w:t>直接从合同应付款中扣除不超过合同总额1%作为违约金。</w:t>
      </w:r>
    </w:p>
    <w:p w14:paraId="193EAA98">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若甲方已有系统是由乙方提供的，则乙方应按甲方要求进行技术服务，保证业务的正常运营和系统的正常运行，否则甲方有权终止本合同。</w:t>
      </w:r>
    </w:p>
    <w:p w14:paraId="6ED8107B">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在合同规定的包修期内，如果乙方维修售后服务不及时，未按照本合同第十条约定提供售后服务，且出现严重故障和紧急故障的，</w:t>
      </w:r>
      <w:r>
        <w:rPr>
          <w:rFonts w:hint="eastAsia" w:ascii="宋体" w:hAnsi="宋体" w:cs="宋体"/>
          <w:szCs w:val="21"/>
        </w:rPr>
        <w:t>甲方有权开据处罚单给乙方，并直接从合同应付款中扣除合同总额1%作为违约金，如累计超过3次（含），则视为乙方违约，甲方有权终止本合同，并保留追究乙方违约责任的权利</w:t>
      </w:r>
      <w:r>
        <w:rPr>
          <w:rFonts w:hint="eastAsia" w:ascii="宋体" w:hAnsi="宋体" w:cs="宋体"/>
          <w:color w:val="000000"/>
          <w:szCs w:val="21"/>
        </w:rPr>
        <w:t>。</w:t>
      </w:r>
    </w:p>
    <w:p w14:paraId="31E43478">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在合同规定的包修期内，如因乙方原因造成甲方其他经济损失的，乙方须承担赔偿损失的责任。</w:t>
      </w:r>
    </w:p>
    <w:p w14:paraId="163FF6D7">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甲方有权根据当地质检部门出具的检验报告，就乙方提供的产品及系统质量问题向乙方提出索赔，检测费用由乙方承担。</w:t>
      </w:r>
    </w:p>
    <w:p w14:paraId="36AF5ED2">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如果在甲方发出索赔通知后20日内，乙方未作书面答复，视为乙方接受索赔要求，乙方应当立即支付赔偿金。</w:t>
      </w:r>
    </w:p>
    <w:p w14:paraId="6C502FA8">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乙方未按本合同约定提供合格的服务，甲方在行使上述权利的同时，有权向第三方寻求该服务，由此产生的费用由乙方承担。</w:t>
      </w:r>
    </w:p>
    <w:p w14:paraId="3B98FC2F">
      <w:pPr>
        <w:numPr>
          <w:ilvl w:val="0"/>
          <w:numId w:val="11"/>
        </w:numPr>
        <w:tabs>
          <w:tab w:val="left" w:pos="0"/>
        </w:tabs>
        <w:spacing w:line="360" w:lineRule="auto"/>
        <w:ind w:left="0" w:firstLine="0"/>
        <w:rPr>
          <w:rFonts w:ascii="宋体" w:hAnsi="宋体" w:cs="宋体"/>
          <w:color w:val="000000"/>
          <w:szCs w:val="21"/>
        </w:rPr>
      </w:pPr>
      <w:r>
        <w:rPr>
          <w:rFonts w:hint="eastAsia" w:ascii="宋体" w:hAnsi="宋体" w:cs="宋体"/>
          <w:color w:val="000000"/>
          <w:szCs w:val="21"/>
        </w:rPr>
        <w:t>因乙方违约导致甲方终止合同的，乙方应将甲方已付的所有合同价款及利息退还甲方后，</w:t>
      </w:r>
      <w:r>
        <w:rPr>
          <w:rFonts w:hint="eastAsia" w:ascii="宋体" w:hAnsi="宋体" w:cs="宋体"/>
          <w:szCs w:val="21"/>
        </w:rPr>
        <w:t>此后</w:t>
      </w:r>
      <w:r>
        <w:rPr>
          <w:rFonts w:hint="eastAsia" w:ascii="宋体" w:hAnsi="宋体" w:cs="宋体"/>
          <w:color w:val="000000"/>
          <w:szCs w:val="21"/>
        </w:rPr>
        <w:t>甲方将相关软硬件设备及资料退还乙方，</w:t>
      </w:r>
      <w:bookmarkStart w:id="33" w:name="_Hlk75012964"/>
      <w:r>
        <w:rPr>
          <w:rFonts w:hint="eastAsia" w:ascii="宋体" w:hAnsi="宋体" w:cs="宋体"/>
          <w:szCs w:val="21"/>
        </w:rPr>
        <w:t>要求</w:t>
      </w:r>
      <w:r>
        <w:rPr>
          <w:rFonts w:hint="eastAsia" w:ascii="宋体" w:hAnsi="宋体" w:cs="宋体"/>
          <w:color w:val="000000"/>
          <w:szCs w:val="21"/>
        </w:rPr>
        <w:t>乙方</w:t>
      </w:r>
      <w:r>
        <w:rPr>
          <w:rFonts w:hint="eastAsia" w:ascii="宋体" w:hAnsi="宋体" w:cs="宋体"/>
          <w:szCs w:val="21"/>
        </w:rPr>
        <w:t>承担本合同约定的违约责任，支付甲方合同总价款的20%作为违约金，</w:t>
      </w:r>
      <w:bookmarkEnd w:id="33"/>
      <w:r>
        <w:rPr>
          <w:rFonts w:hint="eastAsia" w:ascii="宋体" w:hAnsi="宋体" w:cs="宋体"/>
          <w:szCs w:val="21"/>
        </w:rPr>
        <w:t>同时赔偿因此给甲方造成的全部损失</w:t>
      </w:r>
      <w:r>
        <w:rPr>
          <w:rFonts w:hint="eastAsia" w:ascii="宋体" w:hAnsi="宋体" w:cs="宋体"/>
          <w:color w:val="000000"/>
          <w:szCs w:val="21"/>
        </w:rPr>
        <w:t>。</w:t>
      </w:r>
    </w:p>
    <w:p w14:paraId="38280D3F">
      <w:pPr>
        <w:numPr>
          <w:ilvl w:val="0"/>
          <w:numId w:val="11"/>
        </w:numPr>
        <w:tabs>
          <w:tab w:val="left" w:pos="0"/>
        </w:tabs>
        <w:spacing w:line="360" w:lineRule="auto"/>
        <w:ind w:left="0" w:firstLine="0"/>
        <w:rPr>
          <w:rFonts w:ascii="宋体" w:hAnsi="宋体" w:cs="宋体"/>
          <w:color w:val="000000"/>
          <w:szCs w:val="21"/>
        </w:rPr>
      </w:pPr>
      <w:bookmarkStart w:id="34" w:name="_Hlk74819798"/>
      <w:bookmarkStart w:id="35" w:name="_Hlk75012998"/>
      <w:r>
        <w:rPr>
          <w:rFonts w:hint="eastAsia" w:ascii="宋体" w:hAnsi="宋体" w:cs="宋体"/>
          <w:szCs w:val="21"/>
        </w:rPr>
        <w:t>乙方将本项目转让给他人的，将本项目肢解后分别转让给他人的，违反本法规定将中标项目的部分主体、关键性工作分包给他人的，或者分包人再次分包的，转让、分包无效，并视为乙方违约，乙方应向甲方赔偿由此而给甲方造成的损失，此外，甲方有权没收乙方全部的质量保证金（即合同总价的10%）</w:t>
      </w:r>
      <w:bookmarkEnd w:id="34"/>
      <w:r>
        <w:rPr>
          <w:rFonts w:hint="eastAsia" w:ascii="宋体" w:hAnsi="宋体" w:cs="宋体"/>
          <w:szCs w:val="21"/>
        </w:rPr>
        <w:t>。</w:t>
      </w:r>
    </w:p>
    <w:bookmarkEnd w:id="35"/>
    <w:p w14:paraId="3C0E8496">
      <w:pPr>
        <w:numPr>
          <w:ilvl w:val="0"/>
          <w:numId w:val="11"/>
        </w:numPr>
        <w:tabs>
          <w:tab w:val="left" w:pos="0"/>
        </w:tabs>
        <w:spacing w:line="360" w:lineRule="auto"/>
        <w:ind w:left="0" w:firstLine="0"/>
        <w:rPr>
          <w:rFonts w:ascii="宋体" w:hAnsi="宋体" w:cs="宋体"/>
          <w:szCs w:val="21"/>
        </w:rPr>
      </w:pPr>
      <w:r>
        <w:rPr>
          <w:rFonts w:hint="eastAsia" w:ascii="宋体" w:hAnsi="宋体" w:cs="宋体"/>
          <w:color w:val="000000"/>
          <w:szCs w:val="21"/>
        </w:rPr>
        <w:t>由于乙方的原因导致甲方业务数据错误或业务数据丢失，给甲方造成损失的，乙方应赔偿甲方因此遭受的直接损失，如出现一次业务数据错误或业务数据丢失，甲方有权开据处罚单给乙方，并直接从合同款中</w:t>
      </w:r>
      <w:bookmarkStart w:id="36" w:name="_Hlk75013045"/>
      <w:r>
        <w:rPr>
          <w:rFonts w:hint="eastAsia" w:ascii="宋体" w:hAnsi="宋体" w:cs="宋体"/>
          <w:color w:val="000000"/>
          <w:szCs w:val="21"/>
        </w:rPr>
        <w:t>扣除合同总额1%作为违约金</w:t>
      </w:r>
      <w:bookmarkEnd w:id="36"/>
      <w:r>
        <w:rPr>
          <w:rFonts w:hint="eastAsia" w:ascii="宋体" w:hAnsi="宋体" w:cs="宋体"/>
          <w:color w:val="000000"/>
          <w:szCs w:val="21"/>
        </w:rPr>
        <w:t>。</w:t>
      </w:r>
      <w:bookmarkStart w:id="37" w:name="_Hlk74748674"/>
    </w:p>
    <w:p w14:paraId="04860274">
      <w:pPr>
        <w:numPr>
          <w:ilvl w:val="0"/>
          <w:numId w:val="11"/>
        </w:numPr>
        <w:tabs>
          <w:tab w:val="left" w:pos="0"/>
        </w:tabs>
        <w:spacing w:line="360" w:lineRule="auto"/>
        <w:ind w:left="0" w:firstLine="0"/>
        <w:rPr>
          <w:rFonts w:ascii="宋体" w:hAnsi="宋体" w:cs="宋体"/>
          <w:szCs w:val="21"/>
        </w:rPr>
      </w:pPr>
      <w:r>
        <w:rPr>
          <w:rFonts w:hint="eastAsia" w:ascii="宋体" w:hAnsi="宋体" w:cs="宋体"/>
          <w:szCs w:val="21"/>
        </w:rPr>
        <w:t>无论本合同其他条款如何规定，因乙方违约（包括但不限于：违反对系统、软件性能、功能的担保等）需对甲方承担的违约责任和违约金总额累计不超过合同总额（但此赔偿不能解除乙方相关责任、义务的继续履行，如修正、更换）。</w:t>
      </w:r>
      <w:bookmarkEnd w:id="37"/>
    </w:p>
    <w:p w14:paraId="5CEBB257">
      <w:pPr>
        <w:pStyle w:val="3"/>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38" w:name="_Toc72326307"/>
      <w:r>
        <w:rPr>
          <w:rFonts w:hint="eastAsia" w:ascii="宋体" w:hAnsi="宋体" w:eastAsia="宋体" w:cs="宋体"/>
          <w:b/>
          <w:kern w:val="2"/>
          <w:sz w:val="21"/>
          <w:szCs w:val="21"/>
        </w:rPr>
        <w:t>十五、廉洁条款</w:t>
      </w:r>
      <w:bookmarkEnd w:id="38"/>
    </w:p>
    <w:p w14:paraId="7AFC4708">
      <w:pPr>
        <w:numPr>
          <w:ilvl w:val="0"/>
          <w:numId w:val="12"/>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14:paraId="4A4E3B48">
      <w:pPr>
        <w:numPr>
          <w:ilvl w:val="0"/>
          <w:numId w:val="12"/>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14:paraId="5CB6357C">
      <w:pPr>
        <w:pStyle w:val="3"/>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39" w:name="_Toc72326308"/>
      <w:r>
        <w:rPr>
          <w:rFonts w:hint="eastAsia" w:ascii="宋体" w:hAnsi="宋体" w:eastAsia="宋体" w:cs="宋体"/>
          <w:b/>
          <w:kern w:val="2"/>
          <w:sz w:val="21"/>
          <w:szCs w:val="21"/>
        </w:rPr>
        <w:t>十六、不可抗力</w:t>
      </w:r>
      <w:bookmarkEnd w:id="39"/>
    </w:p>
    <w:p w14:paraId="38B9CDD3">
      <w:pPr>
        <w:numPr>
          <w:ilvl w:val="0"/>
          <w:numId w:val="13"/>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当发生不可抗拒事故时，受影响一方应于10日内以书面形式通知对方，以减轻可能给对方造成的损失，并应当在合理期限内提供公证机构出具的有效证明文件证明。</w:t>
      </w:r>
    </w:p>
    <w:p w14:paraId="3DDADA18">
      <w:pPr>
        <w:numPr>
          <w:ilvl w:val="0"/>
          <w:numId w:val="13"/>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当不可抗力事故终止后，受影响一方应以书面形式通知对方，双方商定合同是否继续履行。</w:t>
      </w:r>
    </w:p>
    <w:p w14:paraId="667F0278">
      <w:pPr>
        <w:numPr>
          <w:ilvl w:val="0"/>
          <w:numId w:val="13"/>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不可抗力，互不追究或承担违约责任。但有违约因素的除外。</w:t>
      </w:r>
    </w:p>
    <w:p w14:paraId="3ECF3C10">
      <w:pPr>
        <w:pStyle w:val="3"/>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40" w:name="_Toc72326309"/>
      <w:r>
        <w:rPr>
          <w:rFonts w:hint="eastAsia" w:ascii="宋体" w:hAnsi="宋体" w:eastAsia="宋体" w:cs="宋体"/>
          <w:b/>
          <w:kern w:val="2"/>
          <w:sz w:val="21"/>
          <w:szCs w:val="21"/>
        </w:rPr>
        <w:t>十七、解决纠纷的方式</w:t>
      </w:r>
      <w:bookmarkEnd w:id="40"/>
    </w:p>
    <w:p w14:paraId="2F789CCD">
      <w:pPr>
        <w:numPr>
          <w:ilvl w:val="0"/>
          <w:numId w:val="14"/>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凡由执行本合同引起或与合同有关的争议，均应通过友好协商解决；协商不成的，由甲方所在地有管辖权的人民法院裁决。</w:t>
      </w:r>
    </w:p>
    <w:p w14:paraId="6B51DF97">
      <w:pPr>
        <w:numPr>
          <w:ilvl w:val="0"/>
          <w:numId w:val="14"/>
        </w:numPr>
        <w:adjustRightInd w:val="0"/>
        <w:snapToGrid w:val="0"/>
        <w:spacing w:line="360" w:lineRule="auto"/>
        <w:ind w:left="0" w:firstLine="0"/>
        <w:rPr>
          <w:rFonts w:ascii="宋体" w:hAnsi="宋体" w:cs="宋体"/>
          <w:szCs w:val="21"/>
        </w:rPr>
      </w:pPr>
      <w:r>
        <w:rPr>
          <w:rFonts w:hint="eastAsia" w:ascii="宋体" w:hAnsi="宋体" w:cs="宋体"/>
          <w:szCs w:val="21"/>
        </w:rPr>
        <w:t>除争议事项待处理外，双方应继续执行合同无争议部分，除非无争议部分不可单独履行。</w:t>
      </w:r>
    </w:p>
    <w:p w14:paraId="1CED0F72">
      <w:pPr>
        <w:numPr>
          <w:ilvl w:val="0"/>
          <w:numId w:val="14"/>
        </w:numPr>
        <w:adjustRightInd w:val="0"/>
        <w:snapToGrid w:val="0"/>
        <w:spacing w:line="360" w:lineRule="auto"/>
        <w:ind w:left="0" w:firstLine="0"/>
        <w:rPr>
          <w:rFonts w:ascii="宋体" w:hAnsi="宋体" w:cs="宋体"/>
          <w:szCs w:val="21"/>
        </w:rPr>
      </w:pPr>
      <w:r>
        <w:rPr>
          <w:rFonts w:hint="eastAsia" w:ascii="宋体" w:hAnsi="宋体" w:cs="宋体"/>
          <w:szCs w:val="21"/>
        </w:rPr>
        <w:t>本合同适用于中华人民共和国大陆地区现行有效的法律。</w:t>
      </w:r>
    </w:p>
    <w:p w14:paraId="5935C697">
      <w:pPr>
        <w:pStyle w:val="3"/>
        <w:numPr>
          <w:ilvl w:val="255"/>
          <w:numId w:val="0"/>
        </w:numPr>
        <w:adjustRightInd w:val="0"/>
        <w:snapToGrid w:val="0"/>
        <w:spacing w:before="0" w:after="0" w:line="360" w:lineRule="auto"/>
        <w:ind w:left="4"/>
        <w:jc w:val="both"/>
        <w:rPr>
          <w:rFonts w:ascii="宋体" w:hAnsi="宋体" w:eastAsia="宋体" w:cs="宋体"/>
          <w:b/>
          <w:kern w:val="2"/>
          <w:sz w:val="21"/>
          <w:szCs w:val="21"/>
        </w:rPr>
      </w:pPr>
      <w:bookmarkStart w:id="41" w:name="_Toc72326310"/>
      <w:r>
        <w:rPr>
          <w:rFonts w:hint="eastAsia" w:ascii="宋体" w:hAnsi="宋体" w:eastAsia="宋体" w:cs="宋体"/>
          <w:b/>
          <w:kern w:val="2"/>
          <w:sz w:val="21"/>
          <w:szCs w:val="21"/>
        </w:rPr>
        <w:t>十八、合同生效及其他</w:t>
      </w:r>
      <w:bookmarkEnd w:id="41"/>
    </w:p>
    <w:p w14:paraId="2A0F42A9">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合同的生效期：本合同一式四份（甲乙双方各二份），每份均具有同等法律效力，自甲乙双方盖章之日起生效。</w:t>
      </w:r>
    </w:p>
    <w:p w14:paraId="680AE9FD">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本合同所有附件为本合同不可分割的组成部分，与合同正文有同等的法律效力：</w:t>
      </w:r>
    </w:p>
    <w:p w14:paraId="30918529">
      <w:pPr>
        <w:adjustRightInd w:val="0"/>
        <w:snapToGrid w:val="0"/>
        <w:spacing w:line="360" w:lineRule="auto"/>
        <w:rPr>
          <w:rFonts w:ascii="宋体" w:hAnsi="宋体" w:cs="宋体"/>
          <w:szCs w:val="21"/>
        </w:rPr>
      </w:pPr>
      <w:r>
        <w:rPr>
          <w:rFonts w:hint="eastAsia" w:ascii="宋体" w:hAnsi="宋体" w:cs="宋体"/>
          <w:szCs w:val="21"/>
        </w:rPr>
        <w:t>（1）甲方的竞争性谈判文件、乙方的响应文件、谈判时乙方做出的书面承诺及其它补充修改的部分；</w:t>
      </w:r>
    </w:p>
    <w:p w14:paraId="4D69701C">
      <w:pPr>
        <w:adjustRightInd w:val="0"/>
        <w:snapToGrid w:val="0"/>
        <w:spacing w:line="360" w:lineRule="auto"/>
        <w:rPr>
          <w:rFonts w:ascii="宋体" w:hAnsi="宋体" w:cs="宋体"/>
          <w:szCs w:val="21"/>
        </w:rPr>
      </w:pPr>
      <w:r>
        <w:rPr>
          <w:rFonts w:hint="eastAsia" w:ascii="宋体" w:hAnsi="宋体" w:cs="宋体"/>
          <w:szCs w:val="21"/>
        </w:rPr>
        <w:t>（2）在执行本合同期间，甲乙双方的所有应采用书面方式的通知。</w:t>
      </w:r>
    </w:p>
    <w:p w14:paraId="346639BF">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本合同与上述文件如对相同内容有不同约定，且约定内容有冲突的，除另有特别约定外，依下列原则处理：</w:t>
      </w:r>
    </w:p>
    <w:p w14:paraId="2CD3C33C">
      <w:pPr>
        <w:adjustRightInd w:val="0"/>
        <w:snapToGrid w:val="0"/>
        <w:spacing w:line="360" w:lineRule="auto"/>
        <w:rPr>
          <w:rFonts w:ascii="宋体" w:hAnsi="宋体" w:cs="宋体"/>
          <w:szCs w:val="21"/>
        </w:rPr>
      </w:pPr>
      <w:r>
        <w:rPr>
          <w:rFonts w:hint="eastAsia" w:ascii="宋体" w:hAnsi="宋体" w:cs="宋体"/>
          <w:szCs w:val="21"/>
        </w:rPr>
        <w:t>（1）合同条款优先于竞争性谈判文件和响应文件条款；</w:t>
      </w:r>
    </w:p>
    <w:p w14:paraId="5548C2EA">
      <w:pPr>
        <w:adjustRightInd w:val="0"/>
        <w:snapToGrid w:val="0"/>
        <w:spacing w:line="360" w:lineRule="auto"/>
        <w:rPr>
          <w:rFonts w:ascii="宋体" w:hAnsi="宋体" w:cs="宋体"/>
          <w:szCs w:val="21"/>
        </w:rPr>
      </w:pPr>
      <w:r>
        <w:rPr>
          <w:rFonts w:hint="eastAsia" w:ascii="宋体" w:hAnsi="宋体" w:cs="宋体"/>
          <w:szCs w:val="21"/>
        </w:rPr>
        <w:t>（2）在后文件的效力优先于在先文件的效力。</w:t>
      </w:r>
    </w:p>
    <w:p w14:paraId="64D7DA1B">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甲乙双方对合同条款的理解有争议时，应当按照合同的有关条款、合同的目的、交易习惯以及诚实信用原则，确定该条款的真实含义。</w:t>
      </w:r>
    </w:p>
    <w:p w14:paraId="39238BC6">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对本合同的任何修改和增补，以双方另行签订的补充协议为准。</w:t>
      </w:r>
    </w:p>
    <w:p w14:paraId="5F653D7E">
      <w:pPr>
        <w:numPr>
          <w:ilvl w:val="0"/>
          <w:numId w:val="15"/>
        </w:numPr>
        <w:tabs>
          <w:tab w:val="left" w:pos="0"/>
          <w:tab w:val="clear" w:pos="420"/>
        </w:tabs>
        <w:adjustRightInd w:val="0"/>
        <w:snapToGrid w:val="0"/>
        <w:spacing w:line="360" w:lineRule="auto"/>
        <w:ind w:left="0" w:firstLine="0"/>
        <w:rPr>
          <w:rFonts w:ascii="宋体" w:hAnsi="宋体" w:cs="宋体"/>
          <w:szCs w:val="21"/>
        </w:rPr>
      </w:pPr>
      <w:r>
        <w:rPr>
          <w:rFonts w:hint="eastAsia" w:ascii="宋体" w:hAnsi="宋体" w:cs="宋体"/>
          <w:szCs w:val="21"/>
        </w:rPr>
        <w:t>甲乙双方对本合同中产品的具体价格和交易方式有保密的责任，未经对方的书面许可，任何一方不得向第三方透露。</w:t>
      </w:r>
    </w:p>
    <w:p w14:paraId="418C0A19">
      <w:pPr>
        <w:numPr>
          <w:ilvl w:val="0"/>
          <w:numId w:val="15"/>
        </w:numPr>
        <w:adjustRightInd w:val="0"/>
        <w:snapToGrid w:val="0"/>
        <w:spacing w:line="360" w:lineRule="auto"/>
        <w:rPr>
          <w:rFonts w:ascii="宋体" w:hAnsi="宋体" w:cs="宋体"/>
          <w:szCs w:val="21"/>
        </w:rPr>
      </w:pPr>
      <w:r>
        <w:rPr>
          <w:rFonts w:hint="eastAsia" w:ascii="宋体" w:hAnsi="宋体" w:cs="宋体"/>
          <w:szCs w:val="21"/>
        </w:rPr>
        <w:t>本合同中的未尽事宜，甲乙双方协商解决，并按《中华人民共和国民法典》调整。</w:t>
      </w:r>
    </w:p>
    <w:p w14:paraId="374D9335">
      <w:pPr>
        <w:pStyle w:val="3"/>
        <w:numPr>
          <w:ilvl w:val="255"/>
          <w:numId w:val="0"/>
        </w:numPr>
        <w:adjustRightInd w:val="0"/>
        <w:snapToGrid w:val="0"/>
        <w:spacing w:before="0" w:after="0" w:line="360" w:lineRule="auto"/>
        <w:ind w:left="4"/>
        <w:jc w:val="left"/>
        <w:rPr>
          <w:rFonts w:ascii="宋体" w:hAnsi="宋体" w:eastAsia="宋体" w:cs="宋体"/>
          <w:b/>
          <w:kern w:val="2"/>
          <w:sz w:val="21"/>
          <w:szCs w:val="21"/>
        </w:rPr>
      </w:pPr>
      <w:bookmarkStart w:id="42" w:name="_Toc72326311"/>
      <w:r>
        <w:rPr>
          <w:rFonts w:hint="eastAsia" w:ascii="宋体" w:hAnsi="宋体" w:eastAsia="宋体" w:cs="宋体"/>
          <w:b/>
          <w:kern w:val="2"/>
          <w:sz w:val="21"/>
          <w:szCs w:val="21"/>
        </w:rPr>
        <w:t>十九、附件列表</w:t>
      </w:r>
      <w:bookmarkEnd w:id="42"/>
    </w:p>
    <w:p w14:paraId="5193D4B2">
      <w:pPr>
        <w:spacing w:line="360" w:lineRule="auto"/>
        <w:rPr>
          <w:b/>
          <w:bCs/>
          <w:color w:val="000000"/>
          <w:szCs w:val="21"/>
        </w:rPr>
      </w:pPr>
      <w:r>
        <w:rPr>
          <w:rFonts w:hint="eastAsia"/>
          <w:b/>
          <w:bCs/>
          <w:color w:val="000000"/>
          <w:szCs w:val="21"/>
        </w:rPr>
        <w:t>附件一：响应函</w:t>
      </w:r>
    </w:p>
    <w:p w14:paraId="3A5CCA50">
      <w:pPr>
        <w:adjustRightInd w:val="0"/>
        <w:snapToGrid w:val="0"/>
        <w:spacing w:line="360" w:lineRule="auto"/>
        <w:ind w:left="210" w:hanging="210" w:hangingChars="100"/>
        <w:jc w:val="left"/>
        <w:rPr>
          <w:rFonts w:ascii="宋体" w:hAnsi="宋体" w:cs="宋体"/>
          <w:szCs w:val="21"/>
        </w:rPr>
      </w:pPr>
    </w:p>
    <w:p w14:paraId="4E2D55E7">
      <w:pPr>
        <w:adjustRightInd w:val="0"/>
        <w:snapToGrid w:val="0"/>
        <w:spacing w:line="360" w:lineRule="auto"/>
        <w:ind w:left="210" w:hanging="210" w:hangingChars="100"/>
        <w:jc w:val="left"/>
        <w:rPr>
          <w:rFonts w:ascii="宋体" w:hAnsi="宋体" w:cs="宋体"/>
          <w:szCs w:val="21"/>
        </w:rPr>
      </w:pPr>
      <w:r>
        <w:rPr>
          <w:rFonts w:hint="eastAsia" w:ascii="宋体" w:hAnsi="宋体" w:cs="宋体"/>
          <w:szCs w:val="21"/>
        </w:rPr>
        <w:t>甲方：</w:t>
      </w:r>
      <w:r>
        <w:rPr>
          <w:rFonts w:hint="eastAsia" w:ascii="宋体" w:hAnsi="宋体" w:cs="宋体"/>
          <w:szCs w:val="21"/>
          <w:u w:val="single"/>
        </w:rPr>
        <w:t>江苏省广电有线信息网络股份有限公司</w:t>
      </w:r>
      <w:r>
        <w:rPr>
          <w:rFonts w:hint="eastAsia" w:ascii="宋体" w:hAnsi="宋体" w:cs="宋体"/>
          <w:szCs w:val="21"/>
        </w:rPr>
        <w:t>乙方：</w:t>
      </w:r>
      <w:r>
        <w:rPr>
          <w:rFonts w:hint="eastAsia" w:ascii="宋体" w:hAnsi="宋体" w:cs="宋体"/>
          <w:szCs w:val="21"/>
          <w:u w:val="single"/>
        </w:rPr>
        <w:t xml:space="preserve">                       公司</w:t>
      </w:r>
    </w:p>
    <w:p w14:paraId="6A5BB6C0">
      <w:pPr>
        <w:adjustRightInd w:val="0"/>
        <w:snapToGrid w:val="0"/>
        <w:spacing w:line="360" w:lineRule="auto"/>
        <w:rPr>
          <w:rFonts w:ascii="宋体" w:hAnsi="宋体" w:cs="宋体"/>
          <w:szCs w:val="21"/>
        </w:rPr>
      </w:pPr>
      <w:r>
        <w:rPr>
          <w:rFonts w:hint="eastAsia" w:ascii="宋体" w:hAnsi="宋体" w:cs="宋体"/>
          <w:szCs w:val="21"/>
        </w:rPr>
        <w:t>（盖章）_________________________          （盖章）_______________________</w:t>
      </w:r>
    </w:p>
    <w:p w14:paraId="603B4DE1">
      <w:pPr>
        <w:adjustRightInd w:val="0"/>
        <w:snapToGrid w:val="0"/>
        <w:spacing w:line="360" w:lineRule="auto"/>
        <w:ind w:firstLine="105" w:firstLineChars="50"/>
        <w:rPr>
          <w:rFonts w:ascii="宋体" w:hAnsi="宋体" w:cs="宋体"/>
          <w:szCs w:val="21"/>
        </w:rPr>
      </w:pPr>
      <w:r>
        <w:rPr>
          <w:rFonts w:hint="eastAsia" w:ascii="宋体" w:hAnsi="宋体" w:cs="宋体"/>
          <w:szCs w:val="21"/>
        </w:rPr>
        <w:t>地址：___________________                  地址：____________________</w:t>
      </w:r>
    </w:p>
    <w:p w14:paraId="0B762C92">
      <w:pPr>
        <w:adjustRightInd w:val="0"/>
        <w:snapToGrid w:val="0"/>
        <w:spacing w:line="360" w:lineRule="auto"/>
        <w:ind w:firstLine="105" w:firstLineChars="50"/>
        <w:rPr>
          <w:rFonts w:ascii="宋体" w:hAnsi="宋体" w:cs="宋体"/>
          <w:szCs w:val="21"/>
        </w:rPr>
      </w:pPr>
      <w:r>
        <w:rPr>
          <w:rFonts w:hint="eastAsia" w:ascii="宋体" w:hAnsi="宋体" w:cs="宋体"/>
          <w:szCs w:val="21"/>
        </w:rPr>
        <w:t>电话：                 电话：___________________</w:t>
      </w:r>
    </w:p>
    <w:p w14:paraId="376CBF2A">
      <w:pPr>
        <w:adjustRightInd w:val="0"/>
        <w:snapToGrid w:val="0"/>
        <w:spacing w:line="360" w:lineRule="auto"/>
        <w:ind w:firstLine="105" w:firstLineChars="50"/>
        <w:rPr>
          <w:rFonts w:ascii="宋体" w:hAnsi="宋体" w:cs="宋体"/>
          <w:szCs w:val="21"/>
          <w:u w:val="single"/>
        </w:rPr>
      </w:pPr>
      <w:r>
        <w:rPr>
          <w:rFonts w:hint="eastAsia" w:ascii="宋体" w:hAnsi="宋体" w:cs="宋体"/>
          <w:szCs w:val="21"/>
        </w:rPr>
        <w:t>开户银行：               开户银行：___________________</w:t>
      </w:r>
    </w:p>
    <w:p w14:paraId="2E3A09AF">
      <w:pPr>
        <w:adjustRightInd w:val="0"/>
        <w:snapToGrid w:val="0"/>
        <w:spacing w:line="360" w:lineRule="auto"/>
        <w:ind w:firstLine="105" w:firstLineChars="50"/>
        <w:rPr>
          <w:rFonts w:ascii="宋体" w:hAnsi="宋体" w:cs="宋体"/>
          <w:szCs w:val="21"/>
        </w:rPr>
      </w:pPr>
      <w:r>
        <w:rPr>
          <w:rFonts w:hint="eastAsia" w:ascii="宋体" w:hAnsi="宋体" w:cs="宋体"/>
          <w:szCs w:val="21"/>
        </w:rPr>
        <w:t>银行账号：           银行账号：___________________</w:t>
      </w:r>
    </w:p>
    <w:p w14:paraId="738A0DAF">
      <w:pPr>
        <w:spacing w:line="300" w:lineRule="auto"/>
        <w:ind w:firstLine="5040" w:firstLineChars="2400"/>
        <w:rPr>
          <w:rFonts w:ascii="宋体" w:hAnsi="宋体" w:cs="宋体"/>
          <w:szCs w:val="21"/>
        </w:rPr>
      </w:pPr>
    </w:p>
    <w:p w14:paraId="682018B8">
      <w:pPr>
        <w:spacing w:line="300" w:lineRule="auto"/>
        <w:ind w:firstLine="5040" w:firstLineChars="2400"/>
        <w:rPr>
          <w:rFonts w:ascii="宋体" w:hAnsi="宋体" w:cs="宋体"/>
          <w:szCs w:val="21"/>
        </w:rPr>
      </w:pPr>
      <w:r>
        <w:rPr>
          <w:rFonts w:hint="eastAsia" w:ascii="宋体" w:hAnsi="宋体" w:cs="宋体"/>
          <w:szCs w:val="21"/>
        </w:rPr>
        <w:t>签订日期：年月日</w:t>
      </w:r>
      <w:bookmarkEnd w:id="25"/>
    </w:p>
    <w:p w14:paraId="11793B23">
      <w:pPr>
        <w:spacing w:line="360" w:lineRule="auto"/>
        <w:jc w:val="center"/>
        <w:rPr>
          <w:b/>
          <w:bCs/>
          <w:color w:val="000000"/>
          <w:szCs w:val="21"/>
        </w:rPr>
      </w:pPr>
      <w:r>
        <w:rPr>
          <w:sz w:val="22"/>
          <w:szCs w:val="22"/>
        </w:rPr>
        <w:br w:type="page"/>
      </w:r>
      <w:r>
        <w:rPr>
          <w:rFonts w:hint="eastAsia"/>
          <w:b/>
          <w:bCs/>
          <w:color w:val="000000"/>
          <w:szCs w:val="21"/>
        </w:rPr>
        <w:t>附件二：价格表</w:t>
      </w:r>
    </w:p>
    <w:tbl>
      <w:tblPr>
        <w:tblStyle w:val="53"/>
        <w:tblW w:w="54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994"/>
        <w:gridCol w:w="3308"/>
        <w:gridCol w:w="852"/>
        <w:gridCol w:w="848"/>
        <w:gridCol w:w="1829"/>
      </w:tblGrid>
      <w:tr w14:paraId="6C0B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808" w:type="pct"/>
            <w:vAlign w:val="center"/>
          </w:tcPr>
          <w:p w14:paraId="508BD0FD">
            <w:pPr>
              <w:spacing w:line="400" w:lineRule="exact"/>
              <w:jc w:val="center"/>
              <w:rPr>
                <w:rFonts w:ascii="仿宋" w:hAnsi="仿宋" w:eastAsia="仿宋" w:cs="宋体"/>
                <w:kern w:val="0"/>
                <w:sz w:val="24"/>
              </w:rPr>
            </w:pPr>
            <w:r>
              <w:rPr>
                <w:rFonts w:hint="eastAsia" w:ascii="仿宋" w:hAnsi="仿宋" w:eastAsia="仿宋" w:cs="宋体"/>
                <w:kern w:val="0"/>
                <w:sz w:val="24"/>
              </w:rPr>
              <w:t>序号</w:t>
            </w:r>
          </w:p>
        </w:tc>
        <w:tc>
          <w:tcPr>
            <w:tcW w:w="532" w:type="pct"/>
            <w:noWrap/>
            <w:vAlign w:val="center"/>
          </w:tcPr>
          <w:p w14:paraId="4CC4E6BA">
            <w:pPr>
              <w:spacing w:line="400" w:lineRule="exact"/>
              <w:jc w:val="center"/>
              <w:rPr>
                <w:rFonts w:ascii="仿宋" w:hAnsi="仿宋" w:eastAsia="仿宋" w:cs="宋体"/>
                <w:kern w:val="0"/>
                <w:sz w:val="24"/>
              </w:rPr>
            </w:pPr>
            <w:r>
              <w:rPr>
                <w:rFonts w:hint="eastAsia" w:ascii="仿宋" w:hAnsi="仿宋" w:eastAsia="仿宋" w:cs="宋体"/>
                <w:kern w:val="0"/>
                <w:sz w:val="24"/>
              </w:rPr>
              <w:t>项目名称</w:t>
            </w:r>
          </w:p>
        </w:tc>
        <w:tc>
          <w:tcPr>
            <w:tcW w:w="1771" w:type="pct"/>
            <w:noWrap/>
            <w:vAlign w:val="center"/>
          </w:tcPr>
          <w:p w14:paraId="17B992FA">
            <w:pPr>
              <w:spacing w:line="400" w:lineRule="exact"/>
              <w:jc w:val="center"/>
              <w:rPr>
                <w:rFonts w:ascii="仿宋" w:hAnsi="仿宋" w:eastAsia="仿宋" w:cs="宋体"/>
                <w:kern w:val="0"/>
                <w:sz w:val="24"/>
              </w:rPr>
            </w:pPr>
            <w:r>
              <w:rPr>
                <w:rFonts w:hint="eastAsia" w:ascii="仿宋" w:hAnsi="仿宋" w:eastAsia="仿宋" w:cs="宋体"/>
                <w:kern w:val="0"/>
                <w:sz w:val="24"/>
              </w:rPr>
              <w:t>功能/模块</w:t>
            </w:r>
          </w:p>
        </w:tc>
        <w:tc>
          <w:tcPr>
            <w:tcW w:w="456" w:type="pct"/>
            <w:noWrap/>
            <w:vAlign w:val="center"/>
          </w:tcPr>
          <w:p w14:paraId="4379DD0C">
            <w:pPr>
              <w:spacing w:line="400" w:lineRule="exact"/>
              <w:jc w:val="center"/>
              <w:rPr>
                <w:rFonts w:ascii="仿宋" w:hAnsi="仿宋" w:eastAsia="仿宋" w:cs="宋体"/>
                <w:kern w:val="0"/>
                <w:sz w:val="24"/>
              </w:rPr>
            </w:pPr>
            <w:r>
              <w:rPr>
                <w:rFonts w:hint="eastAsia" w:ascii="仿宋" w:hAnsi="仿宋" w:eastAsia="仿宋" w:cs="宋体"/>
                <w:kern w:val="0"/>
                <w:sz w:val="24"/>
              </w:rPr>
              <w:t>单价</w:t>
            </w:r>
          </w:p>
          <w:p w14:paraId="08FD8414">
            <w:pPr>
              <w:spacing w:line="400" w:lineRule="exact"/>
              <w:jc w:val="center"/>
              <w:rPr>
                <w:rFonts w:ascii="仿宋" w:hAnsi="仿宋" w:eastAsia="仿宋" w:cs="宋体"/>
                <w:kern w:val="0"/>
                <w:sz w:val="24"/>
              </w:rPr>
            </w:pPr>
            <w:r>
              <w:rPr>
                <w:rFonts w:hint="eastAsia" w:ascii="仿宋" w:hAnsi="仿宋" w:eastAsia="仿宋" w:cs="宋体"/>
                <w:kern w:val="0"/>
                <w:sz w:val="24"/>
              </w:rPr>
              <w:t>（万元）</w:t>
            </w:r>
          </w:p>
        </w:tc>
        <w:tc>
          <w:tcPr>
            <w:tcW w:w="454" w:type="pct"/>
            <w:noWrap/>
            <w:vAlign w:val="center"/>
          </w:tcPr>
          <w:p w14:paraId="727BE7A7">
            <w:pPr>
              <w:spacing w:line="400" w:lineRule="exact"/>
              <w:jc w:val="center"/>
              <w:rPr>
                <w:rFonts w:ascii="仿宋" w:hAnsi="仿宋" w:eastAsia="仿宋" w:cs="宋体"/>
                <w:kern w:val="0"/>
                <w:sz w:val="24"/>
              </w:rPr>
            </w:pPr>
            <w:r>
              <w:rPr>
                <w:rFonts w:hint="eastAsia" w:ascii="仿宋" w:hAnsi="仿宋" w:eastAsia="仿宋" w:cs="宋体"/>
                <w:kern w:val="0"/>
                <w:sz w:val="24"/>
              </w:rPr>
              <w:t>数量</w:t>
            </w:r>
          </w:p>
        </w:tc>
        <w:tc>
          <w:tcPr>
            <w:tcW w:w="979" w:type="pct"/>
            <w:noWrap/>
            <w:vAlign w:val="center"/>
          </w:tcPr>
          <w:p w14:paraId="3969A7BB">
            <w:pPr>
              <w:spacing w:line="400" w:lineRule="exact"/>
              <w:jc w:val="center"/>
              <w:rPr>
                <w:rFonts w:ascii="仿宋" w:hAnsi="仿宋" w:eastAsia="仿宋" w:cs="宋体"/>
                <w:kern w:val="0"/>
                <w:sz w:val="24"/>
              </w:rPr>
            </w:pPr>
            <w:r>
              <w:rPr>
                <w:rFonts w:hint="eastAsia" w:ascii="仿宋" w:hAnsi="仿宋" w:eastAsia="仿宋" w:cs="宋体"/>
                <w:kern w:val="0"/>
                <w:sz w:val="24"/>
              </w:rPr>
              <w:t>小计</w:t>
            </w:r>
          </w:p>
          <w:p w14:paraId="46DF6A45">
            <w:pPr>
              <w:spacing w:line="400" w:lineRule="exact"/>
              <w:jc w:val="center"/>
              <w:rPr>
                <w:rFonts w:ascii="仿宋" w:hAnsi="仿宋" w:eastAsia="仿宋" w:cs="宋体"/>
                <w:kern w:val="0"/>
                <w:sz w:val="24"/>
              </w:rPr>
            </w:pPr>
            <w:r>
              <w:rPr>
                <w:rFonts w:hint="eastAsia" w:ascii="仿宋" w:hAnsi="仿宋" w:eastAsia="仿宋" w:cs="宋体"/>
                <w:kern w:val="0"/>
                <w:sz w:val="24"/>
              </w:rPr>
              <w:t>（万元）</w:t>
            </w:r>
          </w:p>
        </w:tc>
      </w:tr>
      <w:tr w14:paraId="761C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8" w:type="pct"/>
            <w:vAlign w:val="center"/>
          </w:tcPr>
          <w:p w14:paraId="57F65DA8">
            <w:pPr>
              <w:spacing w:line="400" w:lineRule="exact"/>
              <w:jc w:val="center"/>
              <w:rPr>
                <w:rFonts w:ascii="仿宋" w:hAnsi="仿宋" w:eastAsia="仿宋" w:cs="宋体"/>
                <w:kern w:val="0"/>
                <w:sz w:val="24"/>
              </w:rPr>
            </w:pPr>
            <w:r>
              <w:rPr>
                <w:rFonts w:hint="eastAsia" w:ascii="仿宋" w:hAnsi="仿宋" w:eastAsia="仿宋" w:cs="宋体"/>
                <w:kern w:val="0"/>
                <w:sz w:val="24"/>
              </w:rPr>
              <w:t>1</w:t>
            </w:r>
          </w:p>
        </w:tc>
        <w:tc>
          <w:tcPr>
            <w:tcW w:w="532" w:type="pct"/>
            <w:vMerge w:val="restart"/>
            <w:noWrap/>
          </w:tcPr>
          <w:p w14:paraId="62FC04AB">
            <w:pPr>
              <w:spacing w:line="400" w:lineRule="exact"/>
              <w:rPr>
                <w:rFonts w:ascii="仿宋" w:hAnsi="仿宋" w:eastAsia="仿宋" w:cs="宋体"/>
                <w:kern w:val="0"/>
                <w:sz w:val="24"/>
              </w:rPr>
            </w:pPr>
          </w:p>
          <w:p w14:paraId="4FB41B71">
            <w:pPr>
              <w:spacing w:line="400" w:lineRule="exact"/>
              <w:rPr>
                <w:rFonts w:ascii="仿宋" w:hAnsi="仿宋" w:eastAsia="仿宋" w:cs="宋体"/>
                <w:kern w:val="0"/>
                <w:sz w:val="24"/>
              </w:rPr>
            </w:pPr>
          </w:p>
          <w:p w14:paraId="43A03526">
            <w:pPr>
              <w:spacing w:line="400" w:lineRule="exact"/>
              <w:rPr>
                <w:rFonts w:ascii="仿宋" w:hAnsi="仿宋" w:eastAsia="仿宋" w:cs="宋体"/>
                <w:kern w:val="0"/>
                <w:sz w:val="24"/>
              </w:rPr>
            </w:pPr>
          </w:p>
          <w:p w14:paraId="5532FC80">
            <w:pPr>
              <w:spacing w:line="400" w:lineRule="exact"/>
              <w:rPr>
                <w:rFonts w:ascii="仿宋" w:hAnsi="仿宋" w:eastAsia="仿宋" w:cs="宋体"/>
                <w:kern w:val="0"/>
                <w:sz w:val="24"/>
              </w:rPr>
            </w:pPr>
            <w:r>
              <w:rPr>
                <w:rFonts w:hint="eastAsia" w:ascii="仿宋" w:hAnsi="仿宋" w:eastAsia="仿宋" w:cs="宋体"/>
                <w:kern w:val="0"/>
                <w:sz w:val="24"/>
              </w:rPr>
              <w:t>10090服务质量监督热线建设</w:t>
            </w:r>
          </w:p>
        </w:tc>
        <w:tc>
          <w:tcPr>
            <w:tcW w:w="1771" w:type="pct"/>
            <w:noWrap/>
            <w:vAlign w:val="center"/>
          </w:tcPr>
          <w:p w14:paraId="155AB1D8">
            <w:pPr>
              <w:widowControl/>
              <w:spacing w:line="400" w:lineRule="exact"/>
              <w:jc w:val="center"/>
              <w:rPr>
                <w:rFonts w:ascii="仿宋" w:hAnsi="仿宋" w:eastAsia="仿宋" w:cs="宋体"/>
                <w:kern w:val="0"/>
                <w:sz w:val="24"/>
              </w:rPr>
            </w:pPr>
            <w:r>
              <w:rPr>
                <w:rFonts w:ascii="仿宋" w:hAnsi="仿宋" w:eastAsia="仿宋" w:cs="宋体"/>
                <w:kern w:val="0"/>
                <w:sz w:val="24"/>
              </w:rPr>
              <w:t>10090</w:t>
            </w:r>
            <w:r>
              <w:rPr>
                <w:rFonts w:hint="eastAsia" w:ascii="仿宋" w:hAnsi="仿宋" w:eastAsia="仿宋" w:cs="宋体"/>
                <w:kern w:val="0"/>
                <w:sz w:val="24"/>
              </w:rPr>
              <w:t>号码对接省内话务平台，</w:t>
            </w:r>
            <w:r>
              <w:rPr>
                <w:rFonts w:ascii="仿宋" w:hAnsi="仿宋" w:eastAsia="仿宋" w:cs="宋体"/>
                <w:kern w:val="0"/>
                <w:sz w:val="24"/>
              </w:rPr>
              <w:t>IVR</w:t>
            </w:r>
            <w:r>
              <w:rPr>
                <w:rFonts w:hint="eastAsia" w:ascii="仿宋" w:hAnsi="仿宋" w:eastAsia="仿宋" w:cs="宋体"/>
                <w:kern w:val="0"/>
                <w:sz w:val="24"/>
              </w:rPr>
              <w:t>流程配置，话务队列新增，对应话务模块改造、策略改造</w:t>
            </w:r>
          </w:p>
        </w:tc>
        <w:tc>
          <w:tcPr>
            <w:tcW w:w="456" w:type="pct"/>
            <w:vMerge w:val="restart"/>
            <w:noWrap/>
            <w:vAlign w:val="center"/>
          </w:tcPr>
          <w:p w14:paraId="2B7807A4">
            <w:pPr>
              <w:spacing w:line="400" w:lineRule="exact"/>
              <w:jc w:val="center"/>
              <w:rPr>
                <w:rFonts w:ascii="仿宋" w:hAnsi="仿宋" w:eastAsia="仿宋" w:cs="宋体"/>
                <w:kern w:val="0"/>
                <w:sz w:val="24"/>
              </w:rPr>
            </w:pPr>
          </w:p>
        </w:tc>
        <w:tc>
          <w:tcPr>
            <w:tcW w:w="454" w:type="pct"/>
            <w:vMerge w:val="restart"/>
            <w:noWrap/>
            <w:vAlign w:val="center"/>
          </w:tcPr>
          <w:p w14:paraId="15BB8FCA">
            <w:pPr>
              <w:spacing w:line="400" w:lineRule="exact"/>
              <w:jc w:val="center"/>
              <w:rPr>
                <w:rFonts w:ascii="仿宋" w:hAnsi="仿宋" w:eastAsia="仿宋" w:cs="宋体"/>
                <w:kern w:val="0"/>
                <w:sz w:val="24"/>
              </w:rPr>
            </w:pPr>
            <w:r>
              <w:rPr>
                <w:rFonts w:ascii="仿宋" w:hAnsi="仿宋" w:eastAsia="仿宋" w:cs="宋体"/>
                <w:kern w:val="0"/>
                <w:sz w:val="24"/>
              </w:rPr>
              <w:t>1</w:t>
            </w:r>
            <w:r>
              <w:rPr>
                <w:rFonts w:hint="eastAsia" w:ascii="仿宋" w:hAnsi="仿宋" w:eastAsia="仿宋" w:cs="宋体"/>
                <w:kern w:val="0"/>
                <w:sz w:val="24"/>
              </w:rPr>
              <w:t>套</w:t>
            </w:r>
          </w:p>
        </w:tc>
        <w:tc>
          <w:tcPr>
            <w:tcW w:w="979" w:type="pct"/>
            <w:vMerge w:val="restart"/>
            <w:noWrap/>
            <w:vAlign w:val="center"/>
          </w:tcPr>
          <w:p w14:paraId="5EAC8D06">
            <w:pPr>
              <w:spacing w:line="400" w:lineRule="exact"/>
              <w:jc w:val="center"/>
              <w:rPr>
                <w:rFonts w:ascii="仿宋" w:hAnsi="仿宋" w:eastAsia="仿宋" w:cs="宋体"/>
                <w:kern w:val="0"/>
                <w:sz w:val="24"/>
              </w:rPr>
            </w:pPr>
          </w:p>
        </w:tc>
      </w:tr>
      <w:tr w14:paraId="06F9C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8" w:type="pct"/>
            <w:vAlign w:val="center"/>
          </w:tcPr>
          <w:p w14:paraId="203CFB75">
            <w:pPr>
              <w:spacing w:line="400" w:lineRule="exact"/>
              <w:jc w:val="center"/>
              <w:rPr>
                <w:rFonts w:ascii="仿宋" w:hAnsi="仿宋" w:eastAsia="仿宋" w:cs="宋体"/>
                <w:kern w:val="0"/>
                <w:sz w:val="24"/>
              </w:rPr>
            </w:pPr>
            <w:r>
              <w:rPr>
                <w:rFonts w:hint="eastAsia" w:ascii="仿宋" w:hAnsi="仿宋" w:eastAsia="仿宋" w:cs="宋体"/>
                <w:kern w:val="0"/>
                <w:sz w:val="24"/>
              </w:rPr>
              <w:t>2</w:t>
            </w:r>
          </w:p>
        </w:tc>
        <w:tc>
          <w:tcPr>
            <w:tcW w:w="532" w:type="pct"/>
            <w:vMerge w:val="continue"/>
            <w:noWrap/>
            <w:vAlign w:val="center"/>
          </w:tcPr>
          <w:p w14:paraId="4532567A">
            <w:pPr>
              <w:widowControl/>
              <w:spacing w:line="400" w:lineRule="exact"/>
              <w:jc w:val="left"/>
              <w:rPr>
                <w:rFonts w:ascii="仿宋" w:hAnsi="仿宋" w:eastAsia="仿宋" w:cs="宋体"/>
                <w:kern w:val="0"/>
                <w:sz w:val="24"/>
              </w:rPr>
            </w:pPr>
          </w:p>
        </w:tc>
        <w:tc>
          <w:tcPr>
            <w:tcW w:w="1771" w:type="pct"/>
            <w:noWrap/>
            <w:vAlign w:val="center"/>
          </w:tcPr>
          <w:p w14:paraId="7FF3181B">
            <w:pPr>
              <w:widowControl/>
              <w:spacing w:line="400" w:lineRule="exact"/>
              <w:jc w:val="center"/>
              <w:rPr>
                <w:rFonts w:ascii="仿宋" w:hAnsi="仿宋" w:eastAsia="仿宋" w:cs="宋体"/>
                <w:kern w:val="0"/>
                <w:sz w:val="24"/>
              </w:rPr>
            </w:pPr>
            <w:r>
              <w:rPr>
                <w:rFonts w:hint="eastAsia" w:ascii="仿宋" w:hAnsi="仿宋" w:eastAsia="仿宋" w:cs="宋体"/>
                <w:kern w:val="0"/>
                <w:sz w:val="24"/>
              </w:rPr>
              <w:t>客服、工单系统数据结构改造、工作流开发、适配模块改造</w:t>
            </w:r>
          </w:p>
        </w:tc>
        <w:tc>
          <w:tcPr>
            <w:tcW w:w="456" w:type="pct"/>
            <w:vMerge w:val="continue"/>
            <w:noWrap/>
            <w:vAlign w:val="center"/>
          </w:tcPr>
          <w:p w14:paraId="5E203BF6">
            <w:pPr>
              <w:spacing w:line="400" w:lineRule="exact"/>
              <w:jc w:val="center"/>
              <w:rPr>
                <w:rFonts w:ascii="仿宋" w:hAnsi="仿宋" w:eastAsia="仿宋" w:cs="宋体"/>
                <w:kern w:val="0"/>
                <w:sz w:val="24"/>
              </w:rPr>
            </w:pPr>
          </w:p>
        </w:tc>
        <w:tc>
          <w:tcPr>
            <w:tcW w:w="454" w:type="pct"/>
            <w:vMerge w:val="continue"/>
            <w:noWrap/>
            <w:vAlign w:val="center"/>
          </w:tcPr>
          <w:p w14:paraId="4CBFE386">
            <w:pPr>
              <w:spacing w:line="400" w:lineRule="exact"/>
              <w:jc w:val="center"/>
              <w:rPr>
                <w:rFonts w:ascii="仿宋" w:hAnsi="仿宋" w:eastAsia="仿宋" w:cs="宋体"/>
                <w:kern w:val="0"/>
                <w:sz w:val="24"/>
              </w:rPr>
            </w:pPr>
          </w:p>
        </w:tc>
        <w:tc>
          <w:tcPr>
            <w:tcW w:w="979" w:type="pct"/>
            <w:vMerge w:val="continue"/>
            <w:noWrap/>
            <w:vAlign w:val="center"/>
          </w:tcPr>
          <w:p w14:paraId="26AD4BAB">
            <w:pPr>
              <w:spacing w:line="400" w:lineRule="exact"/>
              <w:jc w:val="center"/>
              <w:rPr>
                <w:rFonts w:ascii="仿宋" w:hAnsi="仿宋" w:eastAsia="仿宋" w:cs="宋体"/>
                <w:kern w:val="0"/>
                <w:sz w:val="24"/>
              </w:rPr>
            </w:pPr>
          </w:p>
        </w:tc>
      </w:tr>
      <w:tr w14:paraId="3D3C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8" w:type="pct"/>
            <w:vAlign w:val="center"/>
          </w:tcPr>
          <w:p w14:paraId="76EF635B">
            <w:pPr>
              <w:spacing w:line="400" w:lineRule="exact"/>
              <w:jc w:val="center"/>
              <w:rPr>
                <w:rFonts w:ascii="仿宋" w:hAnsi="仿宋" w:eastAsia="仿宋" w:cs="宋体"/>
                <w:kern w:val="0"/>
                <w:sz w:val="24"/>
              </w:rPr>
            </w:pPr>
            <w:r>
              <w:rPr>
                <w:rFonts w:hint="eastAsia" w:ascii="仿宋" w:hAnsi="仿宋" w:eastAsia="仿宋" w:cs="宋体"/>
                <w:kern w:val="0"/>
                <w:sz w:val="24"/>
              </w:rPr>
              <w:t>3</w:t>
            </w:r>
          </w:p>
        </w:tc>
        <w:tc>
          <w:tcPr>
            <w:tcW w:w="532" w:type="pct"/>
            <w:vMerge w:val="continue"/>
            <w:noWrap/>
            <w:vAlign w:val="center"/>
          </w:tcPr>
          <w:p w14:paraId="77F542F9">
            <w:pPr>
              <w:widowControl/>
              <w:spacing w:line="400" w:lineRule="exact"/>
              <w:jc w:val="left"/>
              <w:rPr>
                <w:rFonts w:ascii="仿宋" w:hAnsi="仿宋" w:eastAsia="仿宋" w:cs="宋体"/>
                <w:kern w:val="0"/>
                <w:sz w:val="24"/>
              </w:rPr>
            </w:pPr>
          </w:p>
        </w:tc>
        <w:tc>
          <w:tcPr>
            <w:tcW w:w="1771" w:type="pct"/>
            <w:noWrap/>
            <w:vAlign w:val="center"/>
          </w:tcPr>
          <w:p w14:paraId="03B23C15">
            <w:pPr>
              <w:widowControl/>
              <w:spacing w:line="400" w:lineRule="exact"/>
              <w:jc w:val="left"/>
              <w:rPr>
                <w:rFonts w:ascii="仿宋" w:hAnsi="仿宋" w:eastAsia="仿宋" w:cs="宋体"/>
                <w:kern w:val="0"/>
                <w:sz w:val="24"/>
              </w:rPr>
            </w:pPr>
            <w:r>
              <w:rPr>
                <w:rFonts w:hint="eastAsia" w:ascii="仿宋" w:hAnsi="仿宋" w:eastAsia="仿宋" w:cs="宋体"/>
                <w:kern w:val="0"/>
                <w:sz w:val="24"/>
              </w:rPr>
              <w:t>外围系统对接（一级客服、</w:t>
            </w:r>
            <w:r>
              <w:rPr>
                <w:rFonts w:ascii="仿宋" w:hAnsi="仿宋" w:eastAsia="仿宋" w:cs="宋体"/>
                <w:kern w:val="0"/>
                <w:sz w:val="24"/>
              </w:rPr>
              <w:t>BOSS</w:t>
            </w:r>
            <w:r>
              <w:rPr>
                <w:rFonts w:hint="eastAsia" w:ascii="仿宋" w:hAnsi="仿宋" w:eastAsia="仿宋" w:cs="宋体"/>
                <w:kern w:val="0"/>
                <w:sz w:val="24"/>
              </w:rPr>
              <w:t>、短信平台等）</w:t>
            </w:r>
          </w:p>
        </w:tc>
        <w:tc>
          <w:tcPr>
            <w:tcW w:w="456" w:type="pct"/>
            <w:vMerge w:val="continue"/>
            <w:noWrap/>
            <w:vAlign w:val="center"/>
          </w:tcPr>
          <w:p w14:paraId="2B3AD40E">
            <w:pPr>
              <w:spacing w:line="400" w:lineRule="exact"/>
              <w:jc w:val="center"/>
              <w:rPr>
                <w:rFonts w:ascii="仿宋" w:hAnsi="仿宋" w:eastAsia="仿宋" w:cs="宋体"/>
                <w:kern w:val="0"/>
                <w:sz w:val="24"/>
              </w:rPr>
            </w:pPr>
          </w:p>
        </w:tc>
        <w:tc>
          <w:tcPr>
            <w:tcW w:w="454" w:type="pct"/>
            <w:vMerge w:val="continue"/>
            <w:noWrap/>
            <w:vAlign w:val="center"/>
          </w:tcPr>
          <w:p w14:paraId="644B9452">
            <w:pPr>
              <w:spacing w:line="400" w:lineRule="exact"/>
              <w:jc w:val="center"/>
              <w:rPr>
                <w:rFonts w:ascii="仿宋" w:hAnsi="仿宋" w:eastAsia="仿宋" w:cs="宋体"/>
                <w:kern w:val="0"/>
                <w:sz w:val="24"/>
              </w:rPr>
            </w:pPr>
          </w:p>
        </w:tc>
        <w:tc>
          <w:tcPr>
            <w:tcW w:w="979" w:type="pct"/>
            <w:vMerge w:val="continue"/>
            <w:noWrap/>
            <w:vAlign w:val="center"/>
          </w:tcPr>
          <w:p w14:paraId="4D87AE5E">
            <w:pPr>
              <w:spacing w:line="400" w:lineRule="exact"/>
              <w:jc w:val="center"/>
              <w:rPr>
                <w:rFonts w:ascii="仿宋" w:hAnsi="仿宋" w:eastAsia="仿宋" w:cs="宋体"/>
                <w:kern w:val="0"/>
                <w:sz w:val="24"/>
              </w:rPr>
            </w:pPr>
          </w:p>
        </w:tc>
      </w:tr>
      <w:tr w14:paraId="4E6A2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8" w:type="pct"/>
            <w:vAlign w:val="center"/>
          </w:tcPr>
          <w:p w14:paraId="79E007D5">
            <w:pPr>
              <w:spacing w:line="400" w:lineRule="exact"/>
              <w:jc w:val="center"/>
              <w:rPr>
                <w:rFonts w:ascii="仿宋" w:hAnsi="仿宋" w:eastAsia="仿宋" w:cs="宋体"/>
                <w:kern w:val="0"/>
                <w:sz w:val="24"/>
              </w:rPr>
            </w:pPr>
            <w:r>
              <w:rPr>
                <w:rFonts w:hint="eastAsia" w:ascii="仿宋" w:hAnsi="仿宋" w:eastAsia="仿宋" w:cs="宋体"/>
                <w:kern w:val="0"/>
                <w:sz w:val="24"/>
              </w:rPr>
              <w:t>总计（万元）</w:t>
            </w:r>
          </w:p>
        </w:tc>
        <w:tc>
          <w:tcPr>
            <w:tcW w:w="4192" w:type="pct"/>
            <w:gridSpan w:val="5"/>
            <w:noWrap/>
            <w:vAlign w:val="center"/>
          </w:tcPr>
          <w:p w14:paraId="3514390D">
            <w:pPr>
              <w:spacing w:line="400" w:lineRule="exact"/>
              <w:jc w:val="right"/>
              <w:rPr>
                <w:rFonts w:ascii="仿宋" w:hAnsi="仿宋" w:eastAsia="仿宋" w:cs="宋体"/>
                <w:kern w:val="0"/>
                <w:sz w:val="24"/>
              </w:rPr>
            </w:pPr>
          </w:p>
        </w:tc>
      </w:tr>
    </w:tbl>
    <w:p w14:paraId="44379286">
      <w:pPr>
        <w:widowControl/>
        <w:jc w:val="left"/>
        <w:rPr>
          <w:szCs w:val="21"/>
        </w:rPr>
      </w:pPr>
      <w:r>
        <w:rPr>
          <w:szCs w:val="21"/>
        </w:rPr>
        <w:br w:type="page"/>
      </w:r>
    </w:p>
    <w:p w14:paraId="65018081">
      <w:pPr>
        <w:jc w:val="center"/>
        <w:rPr>
          <w:b/>
          <w:bCs/>
          <w:szCs w:val="21"/>
        </w:rPr>
      </w:pPr>
      <w:r>
        <w:rPr>
          <w:rFonts w:hint="eastAsia"/>
          <w:b/>
          <w:bCs/>
          <w:szCs w:val="21"/>
        </w:rPr>
        <w:t>附件五：考核及处罚办法</w:t>
      </w:r>
    </w:p>
    <w:tbl>
      <w:tblPr>
        <w:tblStyle w:val="53"/>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011"/>
        <w:gridCol w:w="6672"/>
        <w:gridCol w:w="992"/>
      </w:tblGrid>
      <w:tr w14:paraId="6B082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shd w:val="clear" w:color="auto" w:fill="A6A6A6"/>
            <w:vAlign w:val="center"/>
          </w:tcPr>
          <w:p w14:paraId="16D002B0">
            <w:pPr>
              <w:rPr>
                <w:b/>
                <w:sz w:val="18"/>
                <w:szCs w:val="18"/>
              </w:rPr>
            </w:pPr>
            <w:r>
              <w:rPr>
                <w:b/>
                <w:sz w:val="18"/>
                <w:szCs w:val="18"/>
              </w:rPr>
              <w:t>序号</w:t>
            </w:r>
          </w:p>
        </w:tc>
        <w:tc>
          <w:tcPr>
            <w:tcW w:w="1011" w:type="dxa"/>
            <w:shd w:val="clear" w:color="auto" w:fill="A6A6A6"/>
          </w:tcPr>
          <w:p w14:paraId="4E0BEDD6">
            <w:pPr>
              <w:rPr>
                <w:b/>
                <w:sz w:val="18"/>
                <w:szCs w:val="18"/>
              </w:rPr>
            </w:pPr>
            <w:r>
              <w:rPr>
                <w:b/>
                <w:sz w:val="18"/>
                <w:szCs w:val="18"/>
              </w:rPr>
              <w:t>考核项</w:t>
            </w:r>
          </w:p>
        </w:tc>
        <w:tc>
          <w:tcPr>
            <w:tcW w:w="6672" w:type="dxa"/>
            <w:shd w:val="clear" w:color="auto" w:fill="A6A6A6"/>
          </w:tcPr>
          <w:p w14:paraId="3B14860D">
            <w:pPr>
              <w:rPr>
                <w:b/>
                <w:sz w:val="18"/>
                <w:szCs w:val="18"/>
              </w:rPr>
            </w:pPr>
            <w:r>
              <w:rPr>
                <w:b/>
                <w:sz w:val="18"/>
                <w:szCs w:val="18"/>
              </w:rPr>
              <w:t>考核细项</w:t>
            </w:r>
          </w:p>
        </w:tc>
        <w:tc>
          <w:tcPr>
            <w:tcW w:w="992" w:type="dxa"/>
            <w:shd w:val="clear" w:color="auto" w:fill="A6A6A6"/>
            <w:vAlign w:val="center"/>
          </w:tcPr>
          <w:p w14:paraId="57BCC37B">
            <w:pPr>
              <w:rPr>
                <w:b/>
                <w:sz w:val="18"/>
                <w:szCs w:val="18"/>
              </w:rPr>
            </w:pPr>
            <w:r>
              <w:rPr>
                <w:b/>
                <w:sz w:val="18"/>
                <w:szCs w:val="18"/>
              </w:rPr>
              <w:t>单项分值</w:t>
            </w:r>
          </w:p>
        </w:tc>
      </w:tr>
      <w:tr w14:paraId="3EF3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1AE23A02">
            <w:pPr>
              <w:rPr>
                <w:b/>
                <w:sz w:val="18"/>
                <w:szCs w:val="18"/>
              </w:rPr>
            </w:pPr>
            <w:r>
              <w:rPr>
                <w:b/>
                <w:sz w:val="18"/>
                <w:szCs w:val="18"/>
              </w:rPr>
              <w:t>1</w:t>
            </w:r>
          </w:p>
        </w:tc>
        <w:tc>
          <w:tcPr>
            <w:tcW w:w="1011" w:type="dxa"/>
            <w:vMerge w:val="restart"/>
            <w:vAlign w:val="center"/>
          </w:tcPr>
          <w:p w14:paraId="0DB4D203">
            <w:pPr>
              <w:rPr>
                <w:sz w:val="18"/>
                <w:szCs w:val="18"/>
              </w:rPr>
            </w:pPr>
            <w:r>
              <w:rPr>
                <w:rFonts w:hint="eastAsia"/>
                <w:sz w:val="18"/>
                <w:szCs w:val="18"/>
              </w:rPr>
              <w:t>资源/接口</w:t>
            </w:r>
            <w:r>
              <w:rPr>
                <w:sz w:val="18"/>
                <w:szCs w:val="18"/>
              </w:rPr>
              <w:t>稳定性</w:t>
            </w:r>
          </w:p>
        </w:tc>
        <w:tc>
          <w:tcPr>
            <w:tcW w:w="6672" w:type="dxa"/>
          </w:tcPr>
          <w:p w14:paraId="59075D45">
            <w:pPr>
              <w:ind w:firstLine="360"/>
              <w:jc w:val="left"/>
              <w:rPr>
                <w:sz w:val="18"/>
                <w:szCs w:val="18"/>
              </w:rPr>
            </w:pPr>
            <w:r>
              <w:rPr>
                <w:sz w:val="18"/>
                <w:szCs w:val="18"/>
              </w:rPr>
              <w:t>因维护不及时或不当或不准或人为错误或开发质量导致重大事件或监控中断、监控数据丢失等大故障</w:t>
            </w:r>
          </w:p>
        </w:tc>
        <w:tc>
          <w:tcPr>
            <w:tcW w:w="992" w:type="dxa"/>
            <w:vAlign w:val="center"/>
          </w:tcPr>
          <w:p w14:paraId="3BED6DA3">
            <w:pPr>
              <w:ind w:firstLine="360"/>
              <w:jc w:val="center"/>
              <w:rPr>
                <w:sz w:val="18"/>
                <w:szCs w:val="18"/>
              </w:rPr>
            </w:pPr>
            <w:r>
              <w:rPr>
                <w:sz w:val="18"/>
                <w:szCs w:val="18"/>
              </w:rPr>
              <w:t>6</w:t>
            </w:r>
          </w:p>
        </w:tc>
      </w:tr>
      <w:tr w14:paraId="4773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E62FD1F">
            <w:pPr>
              <w:ind w:firstLine="360"/>
              <w:jc w:val="center"/>
              <w:rPr>
                <w:sz w:val="18"/>
                <w:szCs w:val="18"/>
              </w:rPr>
            </w:pPr>
          </w:p>
        </w:tc>
        <w:tc>
          <w:tcPr>
            <w:tcW w:w="1011" w:type="dxa"/>
            <w:vMerge w:val="continue"/>
          </w:tcPr>
          <w:p w14:paraId="7BC8B5D3">
            <w:pPr>
              <w:ind w:firstLine="360"/>
              <w:jc w:val="center"/>
              <w:rPr>
                <w:sz w:val="18"/>
                <w:szCs w:val="18"/>
              </w:rPr>
            </w:pPr>
          </w:p>
        </w:tc>
        <w:tc>
          <w:tcPr>
            <w:tcW w:w="6672" w:type="dxa"/>
          </w:tcPr>
          <w:p w14:paraId="58336B9C">
            <w:pPr>
              <w:ind w:firstLine="360"/>
              <w:jc w:val="left"/>
              <w:rPr>
                <w:sz w:val="18"/>
                <w:szCs w:val="18"/>
              </w:rPr>
            </w:pPr>
            <w:r>
              <w:rPr>
                <w:sz w:val="18"/>
                <w:szCs w:val="18"/>
              </w:rPr>
              <w:t>非外部原因导致关键业务无法办理、前台无法登陆、对外接口无法正常对外提供服务，超过30min未恢复</w:t>
            </w:r>
          </w:p>
        </w:tc>
        <w:tc>
          <w:tcPr>
            <w:tcW w:w="992" w:type="dxa"/>
            <w:vAlign w:val="center"/>
          </w:tcPr>
          <w:p w14:paraId="56786B91">
            <w:pPr>
              <w:ind w:firstLine="360"/>
              <w:jc w:val="center"/>
              <w:rPr>
                <w:sz w:val="18"/>
                <w:szCs w:val="18"/>
              </w:rPr>
            </w:pPr>
            <w:r>
              <w:rPr>
                <w:sz w:val="18"/>
                <w:szCs w:val="18"/>
              </w:rPr>
              <w:t>6</w:t>
            </w:r>
          </w:p>
        </w:tc>
      </w:tr>
      <w:tr w14:paraId="7C24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134227D">
            <w:pPr>
              <w:ind w:firstLine="360"/>
              <w:jc w:val="center"/>
              <w:rPr>
                <w:sz w:val="18"/>
                <w:szCs w:val="18"/>
              </w:rPr>
            </w:pPr>
          </w:p>
        </w:tc>
        <w:tc>
          <w:tcPr>
            <w:tcW w:w="1011" w:type="dxa"/>
            <w:vMerge w:val="continue"/>
          </w:tcPr>
          <w:p w14:paraId="36E4843E">
            <w:pPr>
              <w:ind w:firstLine="360"/>
              <w:jc w:val="center"/>
              <w:rPr>
                <w:sz w:val="18"/>
                <w:szCs w:val="18"/>
              </w:rPr>
            </w:pPr>
          </w:p>
        </w:tc>
        <w:tc>
          <w:tcPr>
            <w:tcW w:w="6672" w:type="dxa"/>
          </w:tcPr>
          <w:p w14:paraId="7448D63E">
            <w:pPr>
              <w:ind w:firstLine="360"/>
              <w:jc w:val="left"/>
              <w:rPr>
                <w:sz w:val="18"/>
                <w:szCs w:val="18"/>
              </w:rPr>
            </w:pPr>
            <w:r>
              <w:rPr>
                <w:sz w:val="18"/>
                <w:szCs w:val="18"/>
              </w:rPr>
              <w:t>因维护不及时或不当，导致严重故障</w:t>
            </w:r>
          </w:p>
        </w:tc>
        <w:tc>
          <w:tcPr>
            <w:tcW w:w="992" w:type="dxa"/>
            <w:vAlign w:val="center"/>
          </w:tcPr>
          <w:p w14:paraId="7C4F3ECD">
            <w:pPr>
              <w:ind w:firstLine="360"/>
              <w:jc w:val="center"/>
              <w:rPr>
                <w:sz w:val="18"/>
                <w:szCs w:val="18"/>
              </w:rPr>
            </w:pPr>
            <w:r>
              <w:rPr>
                <w:sz w:val="18"/>
                <w:szCs w:val="18"/>
              </w:rPr>
              <w:t>3</w:t>
            </w:r>
          </w:p>
        </w:tc>
      </w:tr>
      <w:tr w14:paraId="3794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6CC0A2D4">
            <w:pPr>
              <w:ind w:firstLine="360"/>
              <w:jc w:val="center"/>
              <w:rPr>
                <w:sz w:val="18"/>
                <w:szCs w:val="18"/>
              </w:rPr>
            </w:pPr>
          </w:p>
        </w:tc>
        <w:tc>
          <w:tcPr>
            <w:tcW w:w="1011" w:type="dxa"/>
            <w:vMerge w:val="continue"/>
          </w:tcPr>
          <w:p w14:paraId="7EB34B79">
            <w:pPr>
              <w:ind w:firstLine="360"/>
              <w:jc w:val="center"/>
              <w:rPr>
                <w:sz w:val="18"/>
                <w:szCs w:val="18"/>
              </w:rPr>
            </w:pPr>
          </w:p>
        </w:tc>
        <w:tc>
          <w:tcPr>
            <w:tcW w:w="6672" w:type="dxa"/>
          </w:tcPr>
          <w:p w14:paraId="5EEF3D34">
            <w:pPr>
              <w:ind w:firstLine="360"/>
              <w:jc w:val="left"/>
              <w:rPr>
                <w:sz w:val="18"/>
                <w:szCs w:val="18"/>
              </w:rPr>
            </w:pPr>
            <w:r>
              <w:rPr>
                <w:sz w:val="18"/>
                <w:szCs w:val="18"/>
              </w:rPr>
              <w:t>因维护不及时或不当，导致一般故障</w:t>
            </w:r>
          </w:p>
        </w:tc>
        <w:tc>
          <w:tcPr>
            <w:tcW w:w="992" w:type="dxa"/>
            <w:vAlign w:val="center"/>
          </w:tcPr>
          <w:p w14:paraId="12C2F254">
            <w:pPr>
              <w:ind w:firstLine="360"/>
              <w:jc w:val="center"/>
              <w:rPr>
                <w:sz w:val="18"/>
                <w:szCs w:val="18"/>
              </w:rPr>
            </w:pPr>
            <w:r>
              <w:rPr>
                <w:sz w:val="18"/>
                <w:szCs w:val="18"/>
              </w:rPr>
              <w:t>2</w:t>
            </w:r>
          </w:p>
        </w:tc>
      </w:tr>
      <w:tr w14:paraId="24315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4C3845C2">
            <w:pPr>
              <w:ind w:firstLine="360"/>
              <w:jc w:val="center"/>
              <w:rPr>
                <w:sz w:val="18"/>
                <w:szCs w:val="18"/>
              </w:rPr>
            </w:pPr>
          </w:p>
        </w:tc>
        <w:tc>
          <w:tcPr>
            <w:tcW w:w="1011" w:type="dxa"/>
            <w:vMerge w:val="continue"/>
          </w:tcPr>
          <w:p w14:paraId="2CEBA31C">
            <w:pPr>
              <w:ind w:firstLine="360"/>
              <w:jc w:val="center"/>
              <w:rPr>
                <w:sz w:val="18"/>
                <w:szCs w:val="18"/>
              </w:rPr>
            </w:pPr>
          </w:p>
        </w:tc>
        <w:tc>
          <w:tcPr>
            <w:tcW w:w="6672" w:type="dxa"/>
          </w:tcPr>
          <w:p w14:paraId="1B78D816">
            <w:pPr>
              <w:ind w:firstLine="360"/>
              <w:jc w:val="left"/>
              <w:rPr>
                <w:sz w:val="18"/>
                <w:szCs w:val="18"/>
              </w:rPr>
            </w:pPr>
            <w:r>
              <w:rPr>
                <w:sz w:val="18"/>
                <w:szCs w:val="18"/>
              </w:rPr>
              <w:t>因功能/BUG问题导致的大面积错误或异常数据，正常</w:t>
            </w:r>
            <w:r>
              <w:rPr>
                <w:rFonts w:hint="eastAsia"/>
                <w:sz w:val="18"/>
                <w:szCs w:val="18"/>
              </w:rPr>
              <w:t>系统</w:t>
            </w:r>
            <w:r>
              <w:rPr>
                <w:sz w:val="18"/>
                <w:szCs w:val="18"/>
              </w:rPr>
              <w:t>应用造成严重影响或无法</w:t>
            </w:r>
            <w:r>
              <w:rPr>
                <w:rFonts w:hint="eastAsia"/>
                <w:sz w:val="18"/>
                <w:szCs w:val="18"/>
              </w:rPr>
              <w:t>运行</w:t>
            </w:r>
          </w:p>
        </w:tc>
        <w:tc>
          <w:tcPr>
            <w:tcW w:w="992" w:type="dxa"/>
            <w:vAlign w:val="center"/>
          </w:tcPr>
          <w:p w14:paraId="1B3CE12B">
            <w:pPr>
              <w:ind w:firstLine="360"/>
              <w:jc w:val="center"/>
              <w:rPr>
                <w:sz w:val="18"/>
                <w:szCs w:val="18"/>
              </w:rPr>
            </w:pPr>
            <w:r>
              <w:rPr>
                <w:sz w:val="18"/>
                <w:szCs w:val="18"/>
              </w:rPr>
              <w:t>5</w:t>
            </w:r>
          </w:p>
        </w:tc>
      </w:tr>
      <w:tr w14:paraId="6EF6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426A03AA">
            <w:pPr>
              <w:rPr>
                <w:b/>
                <w:sz w:val="18"/>
                <w:szCs w:val="18"/>
              </w:rPr>
            </w:pPr>
            <w:r>
              <w:rPr>
                <w:b/>
                <w:sz w:val="18"/>
                <w:szCs w:val="18"/>
              </w:rPr>
              <w:t>2</w:t>
            </w:r>
          </w:p>
        </w:tc>
        <w:tc>
          <w:tcPr>
            <w:tcW w:w="1011" w:type="dxa"/>
            <w:vMerge w:val="restart"/>
            <w:vAlign w:val="center"/>
          </w:tcPr>
          <w:p w14:paraId="35DCE561">
            <w:pPr>
              <w:rPr>
                <w:sz w:val="18"/>
                <w:szCs w:val="18"/>
              </w:rPr>
            </w:pPr>
            <w:r>
              <w:rPr>
                <w:sz w:val="18"/>
                <w:szCs w:val="18"/>
              </w:rPr>
              <w:t>集团考核/</w:t>
            </w:r>
          </w:p>
          <w:p w14:paraId="2F094616">
            <w:pPr>
              <w:rPr>
                <w:sz w:val="18"/>
                <w:szCs w:val="18"/>
              </w:rPr>
            </w:pPr>
            <w:r>
              <w:rPr>
                <w:sz w:val="18"/>
                <w:szCs w:val="18"/>
              </w:rPr>
              <w:t>服务质量</w:t>
            </w:r>
          </w:p>
        </w:tc>
        <w:tc>
          <w:tcPr>
            <w:tcW w:w="6672" w:type="dxa"/>
          </w:tcPr>
          <w:p w14:paraId="1B4565A8">
            <w:pPr>
              <w:ind w:firstLine="360"/>
              <w:jc w:val="left"/>
              <w:rPr>
                <w:sz w:val="18"/>
                <w:szCs w:val="18"/>
              </w:rPr>
            </w:pPr>
            <w:r>
              <w:rPr>
                <w:sz w:val="18"/>
                <w:szCs w:val="18"/>
              </w:rPr>
              <w:t>因维护不及时或不当或不准或人为错误或开发质量或开发任务未及时完成导致公司/部门扣分或集团通报</w:t>
            </w:r>
          </w:p>
        </w:tc>
        <w:tc>
          <w:tcPr>
            <w:tcW w:w="992" w:type="dxa"/>
            <w:vAlign w:val="center"/>
          </w:tcPr>
          <w:p w14:paraId="247B4BFA">
            <w:pPr>
              <w:ind w:firstLine="360"/>
              <w:jc w:val="center"/>
              <w:rPr>
                <w:sz w:val="18"/>
                <w:szCs w:val="18"/>
              </w:rPr>
            </w:pPr>
            <w:r>
              <w:rPr>
                <w:sz w:val="18"/>
                <w:szCs w:val="18"/>
              </w:rPr>
              <w:t>6</w:t>
            </w:r>
          </w:p>
        </w:tc>
      </w:tr>
      <w:tr w14:paraId="373D9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5DCD4EFA">
            <w:pPr>
              <w:ind w:firstLine="360"/>
              <w:jc w:val="center"/>
              <w:rPr>
                <w:sz w:val="18"/>
                <w:szCs w:val="18"/>
              </w:rPr>
            </w:pPr>
          </w:p>
        </w:tc>
        <w:tc>
          <w:tcPr>
            <w:tcW w:w="1011" w:type="dxa"/>
            <w:vMerge w:val="continue"/>
          </w:tcPr>
          <w:p w14:paraId="19409A7B">
            <w:pPr>
              <w:ind w:firstLine="360"/>
              <w:jc w:val="center"/>
              <w:rPr>
                <w:sz w:val="18"/>
                <w:szCs w:val="18"/>
              </w:rPr>
            </w:pPr>
          </w:p>
        </w:tc>
        <w:tc>
          <w:tcPr>
            <w:tcW w:w="6672" w:type="dxa"/>
          </w:tcPr>
          <w:p w14:paraId="4D331EB8">
            <w:pPr>
              <w:ind w:firstLine="360"/>
              <w:jc w:val="left"/>
              <w:rPr>
                <w:sz w:val="18"/>
                <w:szCs w:val="18"/>
              </w:rPr>
            </w:pPr>
            <w:r>
              <w:rPr>
                <w:sz w:val="18"/>
                <w:szCs w:val="18"/>
              </w:rPr>
              <w:t>对问题处理不及时或处理不当导致重大业务故障未能及时发现</w:t>
            </w:r>
          </w:p>
        </w:tc>
        <w:tc>
          <w:tcPr>
            <w:tcW w:w="992" w:type="dxa"/>
            <w:vAlign w:val="center"/>
          </w:tcPr>
          <w:p w14:paraId="71CCD83D">
            <w:pPr>
              <w:ind w:firstLine="360"/>
              <w:jc w:val="center"/>
              <w:rPr>
                <w:sz w:val="18"/>
                <w:szCs w:val="18"/>
              </w:rPr>
            </w:pPr>
            <w:r>
              <w:rPr>
                <w:sz w:val="18"/>
                <w:szCs w:val="18"/>
              </w:rPr>
              <w:t>6</w:t>
            </w:r>
          </w:p>
        </w:tc>
      </w:tr>
      <w:tr w14:paraId="6E8D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E3ED02A">
            <w:pPr>
              <w:ind w:firstLine="360"/>
              <w:jc w:val="center"/>
              <w:rPr>
                <w:sz w:val="18"/>
                <w:szCs w:val="18"/>
              </w:rPr>
            </w:pPr>
          </w:p>
        </w:tc>
        <w:tc>
          <w:tcPr>
            <w:tcW w:w="1011" w:type="dxa"/>
            <w:vMerge w:val="continue"/>
          </w:tcPr>
          <w:p w14:paraId="16A11A1E">
            <w:pPr>
              <w:ind w:firstLine="360"/>
              <w:jc w:val="center"/>
              <w:rPr>
                <w:sz w:val="18"/>
                <w:szCs w:val="18"/>
              </w:rPr>
            </w:pPr>
          </w:p>
        </w:tc>
        <w:tc>
          <w:tcPr>
            <w:tcW w:w="6672" w:type="dxa"/>
          </w:tcPr>
          <w:p w14:paraId="256E34B7">
            <w:pPr>
              <w:ind w:firstLine="360"/>
              <w:jc w:val="left"/>
              <w:rPr>
                <w:sz w:val="18"/>
                <w:szCs w:val="18"/>
              </w:rPr>
            </w:pPr>
            <w:r>
              <w:rPr>
                <w:sz w:val="18"/>
                <w:szCs w:val="18"/>
              </w:rPr>
              <w:t>参与每周需求、维护例会，对存在问题、需求明细、解决方式、开发计划进行讨论</w:t>
            </w:r>
          </w:p>
        </w:tc>
        <w:tc>
          <w:tcPr>
            <w:tcW w:w="992" w:type="dxa"/>
            <w:vAlign w:val="center"/>
          </w:tcPr>
          <w:p w14:paraId="23B83EA1">
            <w:pPr>
              <w:ind w:firstLine="360"/>
              <w:jc w:val="center"/>
              <w:rPr>
                <w:sz w:val="18"/>
                <w:szCs w:val="18"/>
              </w:rPr>
            </w:pPr>
            <w:r>
              <w:rPr>
                <w:sz w:val="18"/>
                <w:szCs w:val="18"/>
              </w:rPr>
              <w:t>2</w:t>
            </w:r>
          </w:p>
        </w:tc>
      </w:tr>
      <w:tr w14:paraId="39D38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4EBA5F14">
            <w:pPr>
              <w:ind w:firstLine="360"/>
              <w:jc w:val="center"/>
              <w:rPr>
                <w:sz w:val="18"/>
                <w:szCs w:val="18"/>
              </w:rPr>
            </w:pPr>
          </w:p>
        </w:tc>
        <w:tc>
          <w:tcPr>
            <w:tcW w:w="1011" w:type="dxa"/>
            <w:vMerge w:val="continue"/>
          </w:tcPr>
          <w:p w14:paraId="40B7756A">
            <w:pPr>
              <w:ind w:firstLine="360"/>
              <w:jc w:val="center"/>
              <w:rPr>
                <w:sz w:val="18"/>
                <w:szCs w:val="18"/>
              </w:rPr>
            </w:pPr>
          </w:p>
        </w:tc>
        <w:tc>
          <w:tcPr>
            <w:tcW w:w="6672" w:type="dxa"/>
          </w:tcPr>
          <w:p w14:paraId="08CB0084">
            <w:pPr>
              <w:ind w:firstLine="360"/>
              <w:jc w:val="left"/>
              <w:rPr>
                <w:sz w:val="18"/>
                <w:szCs w:val="18"/>
              </w:rPr>
            </w:pPr>
            <w:r>
              <w:rPr>
                <w:sz w:val="18"/>
                <w:szCs w:val="18"/>
              </w:rPr>
              <w:t>应保持通讯工具保持畅通，不得主观故意关闭通讯工具或拉黑名江苏有线现场工作人员导致无法联系</w:t>
            </w:r>
          </w:p>
        </w:tc>
        <w:tc>
          <w:tcPr>
            <w:tcW w:w="992" w:type="dxa"/>
            <w:vAlign w:val="center"/>
          </w:tcPr>
          <w:p w14:paraId="43A18F62">
            <w:pPr>
              <w:ind w:firstLine="360"/>
              <w:jc w:val="center"/>
              <w:rPr>
                <w:sz w:val="18"/>
                <w:szCs w:val="18"/>
              </w:rPr>
            </w:pPr>
            <w:r>
              <w:rPr>
                <w:sz w:val="18"/>
                <w:szCs w:val="18"/>
              </w:rPr>
              <w:t>2</w:t>
            </w:r>
          </w:p>
        </w:tc>
      </w:tr>
      <w:tr w14:paraId="17AC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D20A508">
            <w:pPr>
              <w:ind w:firstLine="360"/>
              <w:jc w:val="center"/>
              <w:rPr>
                <w:sz w:val="18"/>
                <w:szCs w:val="18"/>
              </w:rPr>
            </w:pPr>
          </w:p>
        </w:tc>
        <w:tc>
          <w:tcPr>
            <w:tcW w:w="1011" w:type="dxa"/>
            <w:vMerge w:val="continue"/>
          </w:tcPr>
          <w:p w14:paraId="64107DDA">
            <w:pPr>
              <w:ind w:firstLine="360"/>
              <w:jc w:val="center"/>
              <w:rPr>
                <w:sz w:val="18"/>
                <w:szCs w:val="18"/>
              </w:rPr>
            </w:pPr>
          </w:p>
        </w:tc>
        <w:tc>
          <w:tcPr>
            <w:tcW w:w="6672" w:type="dxa"/>
          </w:tcPr>
          <w:p w14:paraId="47CDCBB5">
            <w:pPr>
              <w:ind w:firstLine="360"/>
              <w:jc w:val="left"/>
              <w:rPr>
                <w:sz w:val="18"/>
                <w:szCs w:val="18"/>
              </w:rPr>
            </w:pPr>
            <w:r>
              <w:rPr>
                <w:sz w:val="18"/>
                <w:szCs w:val="18"/>
              </w:rPr>
              <w:t>对于日常值班检查、稽核、告警邮件发现的问题及时进行处理</w:t>
            </w:r>
          </w:p>
        </w:tc>
        <w:tc>
          <w:tcPr>
            <w:tcW w:w="992" w:type="dxa"/>
            <w:vAlign w:val="center"/>
          </w:tcPr>
          <w:p w14:paraId="6A95C74B">
            <w:pPr>
              <w:ind w:firstLine="360"/>
              <w:jc w:val="center"/>
              <w:rPr>
                <w:sz w:val="18"/>
                <w:szCs w:val="18"/>
              </w:rPr>
            </w:pPr>
            <w:r>
              <w:rPr>
                <w:sz w:val="18"/>
                <w:szCs w:val="18"/>
              </w:rPr>
              <w:t>3</w:t>
            </w:r>
          </w:p>
        </w:tc>
      </w:tr>
      <w:tr w14:paraId="1C94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4A4493F0">
            <w:pPr>
              <w:ind w:firstLine="360"/>
              <w:jc w:val="center"/>
              <w:rPr>
                <w:sz w:val="18"/>
                <w:szCs w:val="18"/>
              </w:rPr>
            </w:pPr>
          </w:p>
        </w:tc>
        <w:tc>
          <w:tcPr>
            <w:tcW w:w="1011" w:type="dxa"/>
            <w:vMerge w:val="continue"/>
          </w:tcPr>
          <w:p w14:paraId="058EA0A0">
            <w:pPr>
              <w:ind w:firstLine="360"/>
              <w:jc w:val="center"/>
              <w:rPr>
                <w:sz w:val="18"/>
                <w:szCs w:val="18"/>
              </w:rPr>
            </w:pPr>
          </w:p>
        </w:tc>
        <w:tc>
          <w:tcPr>
            <w:tcW w:w="6672" w:type="dxa"/>
          </w:tcPr>
          <w:p w14:paraId="6F45AD21">
            <w:pPr>
              <w:ind w:firstLine="360"/>
              <w:jc w:val="left"/>
              <w:rPr>
                <w:sz w:val="18"/>
                <w:szCs w:val="18"/>
              </w:rPr>
            </w:pPr>
            <w:r>
              <w:rPr>
                <w:sz w:val="18"/>
                <w:szCs w:val="18"/>
              </w:rPr>
              <w:t>组织资深专家（包括技术和业务方面）进行现场交流，对业务运营、信息化建设等方面协助梳理、提出建议方案，分享各地运营商的运营经验。</w:t>
            </w:r>
          </w:p>
        </w:tc>
        <w:tc>
          <w:tcPr>
            <w:tcW w:w="992" w:type="dxa"/>
            <w:vAlign w:val="center"/>
          </w:tcPr>
          <w:p w14:paraId="4AE35BD1">
            <w:pPr>
              <w:ind w:firstLine="360"/>
              <w:jc w:val="center"/>
              <w:rPr>
                <w:sz w:val="18"/>
                <w:szCs w:val="18"/>
              </w:rPr>
            </w:pPr>
            <w:r>
              <w:rPr>
                <w:sz w:val="18"/>
                <w:szCs w:val="18"/>
              </w:rPr>
              <w:t>1</w:t>
            </w:r>
          </w:p>
        </w:tc>
      </w:tr>
      <w:tr w14:paraId="1409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628CB77D">
            <w:pPr>
              <w:ind w:firstLine="360"/>
              <w:jc w:val="center"/>
              <w:rPr>
                <w:sz w:val="18"/>
                <w:szCs w:val="18"/>
              </w:rPr>
            </w:pPr>
          </w:p>
        </w:tc>
        <w:tc>
          <w:tcPr>
            <w:tcW w:w="1011" w:type="dxa"/>
            <w:vMerge w:val="continue"/>
          </w:tcPr>
          <w:p w14:paraId="2F962700">
            <w:pPr>
              <w:ind w:firstLine="360"/>
              <w:jc w:val="center"/>
              <w:rPr>
                <w:sz w:val="18"/>
                <w:szCs w:val="18"/>
              </w:rPr>
            </w:pPr>
          </w:p>
        </w:tc>
        <w:tc>
          <w:tcPr>
            <w:tcW w:w="6672" w:type="dxa"/>
          </w:tcPr>
          <w:p w14:paraId="1E0EEA51">
            <w:pPr>
              <w:ind w:firstLine="360"/>
              <w:jc w:val="left"/>
              <w:rPr>
                <w:sz w:val="18"/>
                <w:szCs w:val="18"/>
              </w:rPr>
            </w:pPr>
            <w:r>
              <w:rPr>
                <w:sz w:val="18"/>
                <w:szCs w:val="18"/>
              </w:rPr>
              <w:t>定期制定业务及技术培训计划，并按照培训计划对甲方人员提供业务及技术培训及必要支持</w:t>
            </w:r>
          </w:p>
        </w:tc>
        <w:tc>
          <w:tcPr>
            <w:tcW w:w="992" w:type="dxa"/>
            <w:vAlign w:val="center"/>
          </w:tcPr>
          <w:p w14:paraId="317C0559">
            <w:pPr>
              <w:ind w:firstLine="360"/>
              <w:jc w:val="center"/>
              <w:rPr>
                <w:sz w:val="18"/>
                <w:szCs w:val="18"/>
              </w:rPr>
            </w:pPr>
            <w:r>
              <w:rPr>
                <w:sz w:val="18"/>
                <w:szCs w:val="18"/>
              </w:rPr>
              <w:t>2</w:t>
            </w:r>
          </w:p>
        </w:tc>
      </w:tr>
      <w:tr w14:paraId="30AA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2C571385">
            <w:pPr>
              <w:rPr>
                <w:b/>
                <w:sz w:val="18"/>
                <w:szCs w:val="18"/>
              </w:rPr>
            </w:pPr>
            <w:r>
              <w:rPr>
                <w:b/>
                <w:sz w:val="18"/>
                <w:szCs w:val="18"/>
              </w:rPr>
              <w:t>3</w:t>
            </w:r>
          </w:p>
        </w:tc>
        <w:tc>
          <w:tcPr>
            <w:tcW w:w="1011" w:type="dxa"/>
            <w:vMerge w:val="restart"/>
            <w:vAlign w:val="center"/>
          </w:tcPr>
          <w:p w14:paraId="24E0960A">
            <w:pPr>
              <w:rPr>
                <w:sz w:val="18"/>
                <w:szCs w:val="18"/>
              </w:rPr>
            </w:pPr>
            <w:r>
              <w:rPr>
                <w:sz w:val="18"/>
                <w:szCs w:val="18"/>
              </w:rPr>
              <w:t>需求实现度</w:t>
            </w:r>
          </w:p>
        </w:tc>
        <w:tc>
          <w:tcPr>
            <w:tcW w:w="6672" w:type="dxa"/>
          </w:tcPr>
          <w:p w14:paraId="20D4F830">
            <w:pPr>
              <w:ind w:firstLine="360"/>
              <w:jc w:val="left"/>
              <w:rPr>
                <w:sz w:val="18"/>
                <w:szCs w:val="18"/>
              </w:rPr>
            </w:pPr>
            <w:r>
              <w:rPr>
                <w:sz w:val="18"/>
                <w:szCs w:val="18"/>
              </w:rPr>
              <w:t>对江苏有线发布的需求主动进行分析研究，确保与江苏有线需求理解保持一致</w:t>
            </w:r>
          </w:p>
        </w:tc>
        <w:tc>
          <w:tcPr>
            <w:tcW w:w="992" w:type="dxa"/>
            <w:vAlign w:val="center"/>
          </w:tcPr>
          <w:p w14:paraId="31B8C861">
            <w:pPr>
              <w:ind w:firstLine="360"/>
              <w:jc w:val="center"/>
              <w:rPr>
                <w:sz w:val="18"/>
                <w:szCs w:val="18"/>
              </w:rPr>
            </w:pPr>
            <w:r>
              <w:rPr>
                <w:sz w:val="18"/>
                <w:szCs w:val="18"/>
              </w:rPr>
              <w:t>2</w:t>
            </w:r>
          </w:p>
        </w:tc>
      </w:tr>
      <w:tr w14:paraId="67891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5E85377">
            <w:pPr>
              <w:ind w:firstLine="360"/>
              <w:jc w:val="center"/>
              <w:rPr>
                <w:sz w:val="18"/>
                <w:szCs w:val="18"/>
              </w:rPr>
            </w:pPr>
          </w:p>
        </w:tc>
        <w:tc>
          <w:tcPr>
            <w:tcW w:w="1011" w:type="dxa"/>
            <w:vMerge w:val="continue"/>
          </w:tcPr>
          <w:p w14:paraId="29BCD7A6">
            <w:pPr>
              <w:ind w:firstLine="360"/>
              <w:jc w:val="center"/>
              <w:rPr>
                <w:sz w:val="18"/>
                <w:szCs w:val="18"/>
              </w:rPr>
            </w:pPr>
          </w:p>
        </w:tc>
        <w:tc>
          <w:tcPr>
            <w:tcW w:w="6672" w:type="dxa"/>
          </w:tcPr>
          <w:p w14:paraId="74E3CFD9">
            <w:pPr>
              <w:ind w:firstLine="360"/>
              <w:jc w:val="left"/>
              <w:rPr>
                <w:sz w:val="18"/>
                <w:szCs w:val="18"/>
              </w:rPr>
            </w:pPr>
            <w:r>
              <w:rPr>
                <w:sz w:val="18"/>
                <w:szCs w:val="18"/>
              </w:rPr>
              <w:t>对江苏有线发布的需求及时进行响应、评估，并根据给定的优先紧急程度给出开发实现排期，对无法实现的需求或出现延期的必须给出正当、合理解释</w:t>
            </w:r>
          </w:p>
        </w:tc>
        <w:tc>
          <w:tcPr>
            <w:tcW w:w="992" w:type="dxa"/>
            <w:vAlign w:val="center"/>
          </w:tcPr>
          <w:p w14:paraId="2B72FDA9">
            <w:pPr>
              <w:ind w:firstLine="360"/>
              <w:jc w:val="center"/>
              <w:rPr>
                <w:sz w:val="18"/>
                <w:szCs w:val="18"/>
              </w:rPr>
            </w:pPr>
            <w:r>
              <w:rPr>
                <w:sz w:val="18"/>
                <w:szCs w:val="18"/>
              </w:rPr>
              <w:t>2</w:t>
            </w:r>
          </w:p>
        </w:tc>
      </w:tr>
      <w:tr w14:paraId="71D0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E661298">
            <w:pPr>
              <w:ind w:firstLine="360"/>
              <w:jc w:val="center"/>
              <w:rPr>
                <w:sz w:val="18"/>
                <w:szCs w:val="18"/>
              </w:rPr>
            </w:pPr>
          </w:p>
        </w:tc>
        <w:tc>
          <w:tcPr>
            <w:tcW w:w="1011" w:type="dxa"/>
            <w:vMerge w:val="continue"/>
          </w:tcPr>
          <w:p w14:paraId="1DEAAFA8">
            <w:pPr>
              <w:ind w:firstLine="360"/>
              <w:jc w:val="center"/>
              <w:rPr>
                <w:sz w:val="18"/>
                <w:szCs w:val="18"/>
              </w:rPr>
            </w:pPr>
          </w:p>
        </w:tc>
        <w:tc>
          <w:tcPr>
            <w:tcW w:w="6672" w:type="dxa"/>
          </w:tcPr>
          <w:p w14:paraId="2454CA11">
            <w:pPr>
              <w:ind w:firstLine="360"/>
              <w:jc w:val="left"/>
              <w:rPr>
                <w:sz w:val="18"/>
                <w:szCs w:val="18"/>
              </w:rPr>
            </w:pPr>
            <w:r>
              <w:rPr>
                <w:sz w:val="18"/>
                <w:szCs w:val="18"/>
              </w:rPr>
              <w:t>按周将开发工作进展情况进行纳入周报提交江苏有线，确保开发进度在控制预期内，最终按计划完成开发。对于影响开发进度的情况及问题需及时向甲方人员做出汇报、解释</w:t>
            </w:r>
          </w:p>
        </w:tc>
        <w:tc>
          <w:tcPr>
            <w:tcW w:w="992" w:type="dxa"/>
            <w:vAlign w:val="center"/>
          </w:tcPr>
          <w:p w14:paraId="70E3F7E2">
            <w:pPr>
              <w:ind w:firstLine="360"/>
              <w:jc w:val="center"/>
              <w:rPr>
                <w:sz w:val="18"/>
                <w:szCs w:val="18"/>
              </w:rPr>
            </w:pPr>
            <w:r>
              <w:rPr>
                <w:sz w:val="18"/>
                <w:szCs w:val="18"/>
              </w:rPr>
              <w:t>4</w:t>
            </w:r>
          </w:p>
        </w:tc>
      </w:tr>
      <w:tr w14:paraId="22951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8BC0DB0">
            <w:pPr>
              <w:ind w:firstLine="360"/>
              <w:jc w:val="center"/>
              <w:rPr>
                <w:sz w:val="18"/>
                <w:szCs w:val="18"/>
              </w:rPr>
            </w:pPr>
          </w:p>
        </w:tc>
        <w:tc>
          <w:tcPr>
            <w:tcW w:w="1011" w:type="dxa"/>
            <w:vMerge w:val="continue"/>
          </w:tcPr>
          <w:p w14:paraId="239F03B0">
            <w:pPr>
              <w:ind w:firstLine="360"/>
              <w:jc w:val="center"/>
              <w:rPr>
                <w:sz w:val="18"/>
                <w:szCs w:val="18"/>
              </w:rPr>
            </w:pPr>
          </w:p>
        </w:tc>
        <w:tc>
          <w:tcPr>
            <w:tcW w:w="6672" w:type="dxa"/>
          </w:tcPr>
          <w:p w14:paraId="132FC600">
            <w:pPr>
              <w:ind w:firstLine="360"/>
              <w:jc w:val="left"/>
              <w:rPr>
                <w:sz w:val="18"/>
                <w:szCs w:val="18"/>
              </w:rPr>
            </w:pPr>
            <w:r>
              <w:rPr>
                <w:sz w:val="18"/>
                <w:szCs w:val="18"/>
              </w:rPr>
              <w:t>保证开发质量，对于版本功能上线后出现影响功能正常使用的BUG，需及时修复，确保功能完整、可用</w:t>
            </w:r>
          </w:p>
        </w:tc>
        <w:tc>
          <w:tcPr>
            <w:tcW w:w="992" w:type="dxa"/>
            <w:vAlign w:val="center"/>
          </w:tcPr>
          <w:p w14:paraId="70383F22">
            <w:pPr>
              <w:ind w:firstLine="360"/>
              <w:jc w:val="center"/>
              <w:rPr>
                <w:sz w:val="18"/>
                <w:szCs w:val="18"/>
              </w:rPr>
            </w:pPr>
            <w:r>
              <w:rPr>
                <w:sz w:val="18"/>
                <w:szCs w:val="18"/>
              </w:rPr>
              <w:t>3</w:t>
            </w:r>
          </w:p>
        </w:tc>
      </w:tr>
      <w:tr w14:paraId="7544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067BDAE5">
            <w:pPr>
              <w:rPr>
                <w:sz w:val="18"/>
                <w:szCs w:val="18"/>
              </w:rPr>
            </w:pPr>
            <w:r>
              <w:rPr>
                <w:sz w:val="18"/>
                <w:szCs w:val="18"/>
              </w:rPr>
              <w:t>4</w:t>
            </w:r>
          </w:p>
        </w:tc>
        <w:tc>
          <w:tcPr>
            <w:tcW w:w="1011" w:type="dxa"/>
            <w:vMerge w:val="restart"/>
            <w:vAlign w:val="center"/>
          </w:tcPr>
          <w:p w14:paraId="372448DD">
            <w:pPr>
              <w:rPr>
                <w:sz w:val="18"/>
                <w:szCs w:val="18"/>
              </w:rPr>
            </w:pPr>
            <w:r>
              <w:rPr>
                <w:sz w:val="18"/>
                <w:szCs w:val="18"/>
              </w:rPr>
              <w:t>运维支撑</w:t>
            </w:r>
          </w:p>
        </w:tc>
        <w:tc>
          <w:tcPr>
            <w:tcW w:w="6672" w:type="dxa"/>
          </w:tcPr>
          <w:p w14:paraId="02383705">
            <w:pPr>
              <w:ind w:firstLine="360"/>
              <w:jc w:val="left"/>
              <w:rPr>
                <w:sz w:val="18"/>
                <w:szCs w:val="18"/>
              </w:rPr>
            </w:pPr>
            <w:r>
              <w:rPr>
                <w:sz w:val="18"/>
                <w:szCs w:val="18"/>
              </w:rPr>
              <w:t>做好系统日常版本升级、补丁修复、版本测试、系统对接、监控大屏定制工作</w:t>
            </w:r>
          </w:p>
        </w:tc>
        <w:tc>
          <w:tcPr>
            <w:tcW w:w="992" w:type="dxa"/>
            <w:vAlign w:val="center"/>
          </w:tcPr>
          <w:p w14:paraId="3FB6F83D">
            <w:pPr>
              <w:ind w:firstLine="360"/>
              <w:jc w:val="center"/>
              <w:rPr>
                <w:sz w:val="18"/>
                <w:szCs w:val="18"/>
              </w:rPr>
            </w:pPr>
            <w:r>
              <w:rPr>
                <w:sz w:val="18"/>
                <w:szCs w:val="18"/>
              </w:rPr>
              <w:t>4</w:t>
            </w:r>
          </w:p>
        </w:tc>
      </w:tr>
      <w:tr w14:paraId="4985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A6C1D76">
            <w:pPr>
              <w:ind w:firstLine="360"/>
              <w:jc w:val="center"/>
              <w:rPr>
                <w:sz w:val="18"/>
                <w:szCs w:val="18"/>
              </w:rPr>
            </w:pPr>
          </w:p>
        </w:tc>
        <w:tc>
          <w:tcPr>
            <w:tcW w:w="1011" w:type="dxa"/>
            <w:vMerge w:val="continue"/>
          </w:tcPr>
          <w:p w14:paraId="4586EE80">
            <w:pPr>
              <w:ind w:firstLine="360"/>
              <w:jc w:val="center"/>
              <w:rPr>
                <w:sz w:val="18"/>
                <w:szCs w:val="18"/>
              </w:rPr>
            </w:pPr>
          </w:p>
        </w:tc>
        <w:tc>
          <w:tcPr>
            <w:tcW w:w="6672" w:type="dxa"/>
          </w:tcPr>
          <w:p w14:paraId="265FAA08">
            <w:pPr>
              <w:ind w:firstLine="360"/>
              <w:jc w:val="left"/>
              <w:rPr>
                <w:sz w:val="18"/>
                <w:szCs w:val="18"/>
              </w:rPr>
            </w:pPr>
            <w:r>
              <w:rPr>
                <w:sz w:val="18"/>
                <w:szCs w:val="18"/>
              </w:rPr>
              <w:t>重大节假日及重要时点提前做好系统巡检工作，安排支撑保障专班团队</w:t>
            </w:r>
          </w:p>
        </w:tc>
        <w:tc>
          <w:tcPr>
            <w:tcW w:w="992" w:type="dxa"/>
            <w:vAlign w:val="center"/>
          </w:tcPr>
          <w:p w14:paraId="757BF8CD">
            <w:pPr>
              <w:ind w:firstLine="360"/>
              <w:jc w:val="center"/>
              <w:rPr>
                <w:sz w:val="18"/>
                <w:szCs w:val="18"/>
              </w:rPr>
            </w:pPr>
            <w:r>
              <w:rPr>
                <w:sz w:val="18"/>
                <w:szCs w:val="18"/>
              </w:rPr>
              <w:t>2</w:t>
            </w:r>
          </w:p>
        </w:tc>
      </w:tr>
      <w:tr w14:paraId="60524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9959301">
            <w:pPr>
              <w:ind w:firstLine="360"/>
              <w:jc w:val="center"/>
              <w:rPr>
                <w:sz w:val="18"/>
                <w:szCs w:val="18"/>
              </w:rPr>
            </w:pPr>
          </w:p>
        </w:tc>
        <w:tc>
          <w:tcPr>
            <w:tcW w:w="1011" w:type="dxa"/>
            <w:vMerge w:val="continue"/>
          </w:tcPr>
          <w:p w14:paraId="62B3CB3A">
            <w:pPr>
              <w:ind w:firstLine="360"/>
              <w:jc w:val="center"/>
              <w:rPr>
                <w:sz w:val="18"/>
                <w:szCs w:val="18"/>
              </w:rPr>
            </w:pPr>
          </w:p>
        </w:tc>
        <w:tc>
          <w:tcPr>
            <w:tcW w:w="6672" w:type="dxa"/>
          </w:tcPr>
          <w:p w14:paraId="1E76AD21">
            <w:pPr>
              <w:ind w:firstLine="360"/>
              <w:jc w:val="left"/>
              <w:rPr>
                <w:sz w:val="18"/>
                <w:szCs w:val="18"/>
              </w:rPr>
            </w:pPr>
            <w:r>
              <w:rPr>
                <w:sz w:val="18"/>
                <w:szCs w:val="18"/>
              </w:rPr>
              <w:t>安排值班人员对每日问题进行解决处理，做到日清日结</w:t>
            </w:r>
          </w:p>
        </w:tc>
        <w:tc>
          <w:tcPr>
            <w:tcW w:w="992" w:type="dxa"/>
            <w:vAlign w:val="center"/>
          </w:tcPr>
          <w:p w14:paraId="6C661FA1">
            <w:pPr>
              <w:ind w:firstLine="360"/>
              <w:jc w:val="center"/>
              <w:rPr>
                <w:sz w:val="18"/>
                <w:szCs w:val="18"/>
              </w:rPr>
            </w:pPr>
            <w:r>
              <w:rPr>
                <w:sz w:val="18"/>
                <w:szCs w:val="18"/>
              </w:rPr>
              <w:t>1</w:t>
            </w:r>
          </w:p>
        </w:tc>
      </w:tr>
      <w:tr w14:paraId="5BFC7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46DFFDF9">
            <w:pPr>
              <w:ind w:firstLine="360"/>
              <w:jc w:val="center"/>
              <w:rPr>
                <w:sz w:val="18"/>
                <w:szCs w:val="18"/>
              </w:rPr>
            </w:pPr>
          </w:p>
        </w:tc>
        <w:tc>
          <w:tcPr>
            <w:tcW w:w="1011" w:type="dxa"/>
            <w:vMerge w:val="continue"/>
          </w:tcPr>
          <w:p w14:paraId="050CD324">
            <w:pPr>
              <w:ind w:firstLine="360"/>
              <w:jc w:val="center"/>
              <w:rPr>
                <w:sz w:val="18"/>
                <w:szCs w:val="18"/>
              </w:rPr>
            </w:pPr>
          </w:p>
        </w:tc>
        <w:tc>
          <w:tcPr>
            <w:tcW w:w="6672" w:type="dxa"/>
          </w:tcPr>
          <w:p w14:paraId="04F1DD8E">
            <w:pPr>
              <w:ind w:firstLine="360"/>
              <w:jc w:val="left"/>
              <w:rPr>
                <w:sz w:val="18"/>
                <w:szCs w:val="18"/>
              </w:rPr>
            </w:pPr>
            <w:r>
              <w:rPr>
                <w:sz w:val="18"/>
                <w:szCs w:val="18"/>
              </w:rPr>
              <w:t>对系统层面问题进行故障定位、BUG复现，给出解决方案并及时解决</w:t>
            </w:r>
          </w:p>
        </w:tc>
        <w:tc>
          <w:tcPr>
            <w:tcW w:w="992" w:type="dxa"/>
            <w:vAlign w:val="center"/>
          </w:tcPr>
          <w:p w14:paraId="1D9570DE">
            <w:pPr>
              <w:ind w:firstLine="360"/>
              <w:jc w:val="center"/>
              <w:rPr>
                <w:sz w:val="18"/>
                <w:szCs w:val="18"/>
              </w:rPr>
            </w:pPr>
            <w:r>
              <w:rPr>
                <w:sz w:val="18"/>
                <w:szCs w:val="18"/>
              </w:rPr>
              <w:t>2</w:t>
            </w:r>
          </w:p>
        </w:tc>
      </w:tr>
      <w:tr w14:paraId="4D505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567CA48C">
            <w:pPr>
              <w:ind w:firstLine="360"/>
              <w:jc w:val="center"/>
              <w:rPr>
                <w:sz w:val="18"/>
                <w:szCs w:val="18"/>
              </w:rPr>
            </w:pPr>
          </w:p>
        </w:tc>
        <w:tc>
          <w:tcPr>
            <w:tcW w:w="1011" w:type="dxa"/>
            <w:vMerge w:val="continue"/>
          </w:tcPr>
          <w:p w14:paraId="7B1AA3FD">
            <w:pPr>
              <w:ind w:firstLine="360"/>
              <w:jc w:val="center"/>
              <w:rPr>
                <w:sz w:val="18"/>
                <w:szCs w:val="18"/>
              </w:rPr>
            </w:pPr>
          </w:p>
        </w:tc>
        <w:tc>
          <w:tcPr>
            <w:tcW w:w="6672" w:type="dxa"/>
          </w:tcPr>
          <w:p w14:paraId="75C161CE">
            <w:pPr>
              <w:ind w:firstLine="360"/>
              <w:jc w:val="left"/>
              <w:rPr>
                <w:sz w:val="18"/>
                <w:szCs w:val="18"/>
              </w:rPr>
            </w:pPr>
            <w:r>
              <w:rPr>
                <w:sz w:val="18"/>
                <w:szCs w:val="18"/>
              </w:rPr>
              <w:t>出现1个一般问题处理超过24小时（工作时间）未答复或者故障工单超时</w:t>
            </w:r>
          </w:p>
        </w:tc>
        <w:tc>
          <w:tcPr>
            <w:tcW w:w="992" w:type="dxa"/>
            <w:vAlign w:val="center"/>
          </w:tcPr>
          <w:p w14:paraId="150CBD43">
            <w:pPr>
              <w:ind w:firstLine="360"/>
              <w:jc w:val="center"/>
              <w:rPr>
                <w:sz w:val="18"/>
                <w:szCs w:val="18"/>
              </w:rPr>
            </w:pPr>
            <w:r>
              <w:rPr>
                <w:sz w:val="18"/>
                <w:szCs w:val="18"/>
              </w:rPr>
              <w:t>2</w:t>
            </w:r>
          </w:p>
        </w:tc>
      </w:tr>
      <w:tr w14:paraId="3B369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50B66774">
            <w:pPr>
              <w:ind w:firstLine="360"/>
              <w:jc w:val="center"/>
              <w:rPr>
                <w:sz w:val="18"/>
                <w:szCs w:val="18"/>
              </w:rPr>
            </w:pPr>
          </w:p>
        </w:tc>
        <w:tc>
          <w:tcPr>
            <w:tcW w:w="1011" w:type="dxa"/>
            <w:vMerge w:val="continue"/>
          </w:tcPr>
          <w:p w14:paraId="704F9E35">
            <w:pPr>
              <w:ind w:firstLine="360"/>
              <w:jc w:val="center"/>
              <w:rPr>
                <w:sz w:val="18"/>
                <w:szCs w:val="18"/>
              </w:rPr>
            </w:pPr>
          </w:p>
        </w:tc>
        <w:tc>
          <w:tcPr>
            <w:tcW w:w="6672" w:type="dxa"/>
          </w:tcPr>
          <w:p w14:paraId="07B6C4D2">
            <w:pPr>
              <w:ind w:firstLine="360"/>
              <w:jc w:val="left"/>
              <w:rPr>
                <w:sz w:val="18"/>
                <w:szCs w:val="18"/>
              </w:rPr>
            </w:pPr>
            <w:r>
              <w:rPr>
                <w:sz w:val="18"/>
                <w:szCs w:val="18"/>
              </w:rPr>
              <w:t>相同类型问题在商定期限内未及时解决导致反复出现</w:t>
            </w:r>
          </w:p>
        </w:tc>
        <w:tc>
          <w:tcPr>
            <w:tcW w:w="992" w:type="dxa"/>
            <w:vAlign w:val="center"/>
          </w:tcPr>
          <w:p w14:paraId="37D7156E">
            <w:pPr>
              <w:ind w:firstLine="360"/>
              <w:jc w:val="center"/>
              <w:rPr>
                <w:sz w:val="18"/>
                <w:szCs w:val="18"/>
              </w:rPr>
            </w:pPr>
            <w:r>
              <w:rPr>
                <w:sz w:val="18"/>
                <w:szCs w:val="18"/>
              </w:rPr>
              <w:t>4</w:t>
            </w:r>
          </w:p>
        </w:tc>
      </w:tr>
      <w:tr w14:paraId="273BD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0F2D57F">
            <w:pPr>
              <w:ind w:firstLine="360"/>
              <w:jc w:val="center"/>
              <w:rPr>
                <w:sz w:val="18"/>
                <w:szCs w:val="18"/>
              </w:rPr>
            </w:pPr>
          </w:p>
        </w:tc>
        <w:tc>
          <w:tcPr>
            <w:tcW w:w="1011" w:type="dxa"/>
            <w:vMerge w:val="continue"/>
          </w:tcPr>
          <w:p w14:paraId="0684566A">
            <w:pPr>
              <w:ind w:firstLine="360"/>
              <w:jc w:val="center"/>
              <w:rPr>
                <w:sz w:val="18"/>
                <w:szCs w:val="18"/>
              </w:rPr>
            </w:pPr>
          </w:p>
        </w:tc>
        <w:tc>
          <w:tcPr>
            <w:tcW w:w="6672" w:type="dxa"/>
          </w:tcPr>
          <w:p w14:paraId="11E031F0">
            <w:pPr>
              <w:ind w:firstLine="360"/>
              <w:jc w:val="left"/>
              <w:rPr>
                <w:sz w:val="18"/>
                <w:szCs w:val="18"/>
              </w:rPr>
            </w:pPr>
            <w:r>
              <w:rPr>
                <w:sz w:val="18"/>
                <w:szCs w:val="18"/>
              </w:rPr>
              <w:t>因人员操作失误导致严重故障，造成严重影响</w:t>
            </w:r>
          </w:p>
        </w:tc>
        <w:tc>
          <w:tcPr>
            <w:tcW w:w="992" w:type="dxa"/>
            <w:vAlign w:val="center"/>
          </w:tcPr>
          <w:p w14:paraId="7BF9115F">
            <w:pPr>
              <w:ind w:firstLine="360"/>
              <w:jc w:val="center"/>
              <w:rPr>
                <w:sz w:val="18"/>
                <w:szCs w:val="18"/>
              </w:rPr>
            </w:pPr>
            <w:r>
              <w:rPr>
                <w:sz w:val="18"/>
                <w:szCs w:val="18"/>
              </w:rPr>
              <w:t>2</w:t>
            </w:r>
          </w:p>
        </w:tc>
      </w:tr>
      <w:tr w14:paraId="00C5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2FC621B">
            <w:pPr>
              <w:ind w:firstLine="360"/>
              <w:jc w:val="center"/>
              <w:rPr>
                <w:sz w:val="18"/>
                <w:szCs w:val="18"/>
              </w:rPr>
            </w:pPr>
          </w:p>
        </w:tc>
        <w:tc>
          <w:tcPr>
            <w:tcW w:w="1011" w:type="dxa"/>
            <w:vMerge w:val="continue"/>
          </w:tcPr>
          <w:p w14:paraId="4CAD6707">
            <w:pPr>
              <w:ind w:firstLine="360"/>
              <w:jc w:val="center"/>
              <w:rPr>
                <w:sz w:val="18"/>
                <w:szCs w:val="18"/>
              </w:rPr>
            </w:pPr>
          </w:p>
        </w:tc>
        <w:tc>
          <w:tcPr>
            <w:tcW w:w="6672" w:type="dxa"/>
          </w:tcPr>
          <w:p w14:paraId="474901BE">
            <w:pPr>
              <w:ind w:firstLine="360"/>
              <w:jc w:val="left"/>
              <w:rPr>
                <w:sz w:val="18"/>
                <w:szCs w:val="18"/>
              </w:rPr>
            </w:pPr>
            <w:r>
              <w:rPr>
                <w:sz w:val="18"/>
                <w:szCs w:val="18"/>
              </w:rPr>
              <w:t>对异常错误数据主动进行事前稽核预警以及事后批量修复</w:t>
            </w:r>
          </w:p>
        </w:tc>
        <w:tc>
          <w:tcPr>
            <w:tcW w:w="992" w:type="dxa"/>
            <w:vAlign w:val="center"/>
          </w:tcPr>
          <w:p w14:paraId="105182BA">
            <w:pPr>
              <w:ind w:firstLine="360"/>
              <w:jc w:val="center"/>
              <w:rPr>
                <w:sz w:val="18"/>
                <w:szCs w:val="18"/>
              </w:rPr>
            </w:pPr>
            <w:r>
              <w:rPr>
                <w:sz w:val="18"/>
                <w:szCs w:val="18"/>
              </w:rPr>
              <w:t>3</w:t>
            </w:r>
          </w:p>
        </w:tc>
      </w:tr>
      <w:tr w14:paraId="3597F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040A370">
            <w:pPr>
              <w:ind w:firstLine="360"/>
              <w:jc w:val="center"/>
              <w:rPr>
                <w:sz w:val="18"/>
                <w:szCs w:val="18"/>
              </w:rPr>
            </w:pPr>
          </w:p>
        </w:tc>
        <w:tc>
          <w:tcPr>
            <w:tcW w:w="1011" w:type="dxa"/>
            <w:vMerge w:val="continue"/>
          </w:tcPr>
          <w:p w14:paraId="0E6413FA">
            <w:pPr>
              <w:ind w:firstLine="360"/>
              <w:jc w:val="center"/>
              <w:rPr>
                <w:sz w:val="18"/>
                <w:szCs w:val="18"/>
              </w:rPr>
            </w:pPr>
          </w:p>
        </w:tc>
        <w:tc>
          <w:tcPr>
            <w:tcW w:w="6672" w:type="dxa"/>
          </w:tcPr>
          <w:p w14:paraId="0E3B0BA3">
            <w:pPr>
              <w:ind w:firstLine="360"/>
              <w:jc w:val="left"/>
              <w:rPr>
                <w:sz w:val="18"/>
                <w:szCs w:val="18"/>
              </w:rPr>
            </w:pPr>
            <w:r>
              <w:rPr>
                <w:sz w:val="18"/>
                <w:szCs w:val="18"/>
              </w:rPr>
              <w:t>当数据库、外部系统、硬件服务器、中间件进行维修、升级时，需同步做好配合保障工作</w:t>
            </w:r>
          </w:p>
        </w:tc>
        <w:tc>
          <w:tcPr>
            <w:tcW w:w="992" w:type="dxa"/>
            <w:vAlign w:val="center"/>
          </w:tcPr>
          <w:p w14:paraId="07BF0CCA">
            <w:pPr>
              <w:ind w:firstLine="360"/>
              <w:jc w:val="center"/>
              <w:rPr>
                <w:sz w:val="18"/>
                <w:szCs w:val="18"/>
              </w:rPr>
            </w:pPr>
            <w:r>
              <w:rPr>
                <w:sz w:val="18"/>
                <w:szCs w:val="18"/>
              </w:rPr>
              <w:t>2</w:t>
            </w:r>
          </w:p>
        </w:tc>
      </w:tr>
      <w:tr w14:paraId="73F0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A1B12C1">
            <w:pPr>
              <w:ind w:firstLine="360"/>
              <w:jc w:val="center"/>
              <w:rPr>
                <w:sz w:val="18"/>
                <w:szCs w:val="18"/>
              </w:rPr>
            </w:pPr>
          </w:p>
        </w:tc>
        <w:tc>
          <w:tcPr>
            <w:tcW w:w="1011" w:type="dxa"/>
            <w:vMerge w:val="continue"/>
          </w:tcPr>
          <w:p w14:paraId="591BF675">
            <w:pPr>
              <w:ind w:firstLine="360"/>
              <w:jc w:val="center"/>
              <w:rPr>
                <w:sz w:val="18"/>
                <w:szCs w:val="18"/>
              </w:rPr>
            </w:pPr>
          </w:p>
        </w:tc>
        <w:tc>
          <w:tcPr>
            <w:tcW w:w="6672" w:type="dxa"/>
          </w:tcPr>
          <w:p w14:paraId="62C4AD26">
            <w:pPr>
              <w:ind w:firstLine="360"/>
              <w:jc w:val="left"/>
              <w:rPr>
                <w:sz w:val="18"/>
                <w:szCs w:val="18"/>
              </w:rPr>
            </w:pPr>
            <w:r>
              <w:rPr>
                <w:sz w:val="18"/>
                <w:szCs w:val="18"/>
              </w:rPr>
              <w:t>对于日常支撑问题现场团队确定首问负责人，负责问题的人员协调、问题处理、进度跟踪。</w:t>
            </w:r>
          </w:p>
        </w:tc>
        <w:tc>
          <w:tcPr>
            <w:tcW w:w="992" w:type="dxa"/>
            <w:vAlign w:val="center"/>
          </w:tcPr>
          <w:p w14:paraId="3E7E6EEC">
            <w:pPr>
              <w:ind w:firstLine="360"/>
              <w:jc w:val="center"/>
              <w:rPr>
                <w:sz w:val="18"/>
                <w:szCs w:val="18"/>
              </w:rPr>
            </w:pPr>
            <w:r>
              <w:rPr>
                <w:sz w:val="18"/>
                <w:szCs w:val="18"/>
              </w:rPr>
              <w:t>2</w:t>
            </w:r>
          </w:p>
        </w:tc>
      </w:tr>
      <w:tr w14:paraId="5E32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0F10B3FF">
            <w:pPr>
              <w:rPr>
                <w:sz w:val="18"/>
                <w:szCs w:val="18"/>
              </w:rPr>
            </w:pPr>
            <w:r>
              <w:rPr>
                <w:sz w:val="18"/>
                <w:szCs w:val="18"/>
              </w:rPr>
              <w:t>5</w:t>
            </w:r>
          </w:p>
        </w:tc>
        <w:tc>
          <w:tcPr>
            <w:tcW w:w="1011" w:type="dxa"/>
            <w:vMerge w:val="restart"/>
            <w:vAlign w:val="center"/>
          </w:tcPr>
          <w:p w14:paraId="53359713">
            <w:pPr>
              <w:rPr>
                <w:sz w:val="18"/>
                <w:szCs w:val="18"/>
              </w:rPr>
            </w:pPr>
            <w:r>
              <w:rPr>
                <w:sz w:val="18"/>
                <w:szCs w:val="18"/>
              </w:rPr>
              <w:t>文档更新</w:t>
            </w:r>
          </w:p>
          <w:p w14:paraId="60DB0A80">
            <w:pPr>
              <w:rPr>
                <w:sz w:val="18"/>
                <w:szCs w:val="18"/>
              </w:rPr>
            </w:pPr>
            <w:r>
              <w:rPr>
                <w:sz w:val="18"/>
                <w:szCs w:val="18"/>
              </w:rPr>
              <w:t>完善</w:t>
            </w:r>
          </w:p>
        </w:tc>
        <w:tc>
          <w:tcPr>
            <w:tcW w:w="6672" w:type="dxa"/>
          </w:tcPr>
          <w:p w14:paraId="42A0605D">
            <w:pPr>
              <w:ind w:firstLine="360"/>
              <w:jc w:val="left"/>
              <w:rPr>
                <w:sz w:val="18"/>
                <w:szCs w:val="18"/>
              </w:rPr>
            </w:pPr>
            <w:r>
              <w:rPr>
                <w:sz w:val="18"/>
                <w:szCs w:val="18"/>
              </w:rPr>
              <w:t>对新功能建设、流程改造、版本升级做好文档的编写及完善，包括但不限于需求文档、概要/详细设计文档、部署文档、操作手册、测试文档、接口规范、解决方案、项目验收材料、项目周报、必要的统计SQL等</w:t>
            </w:r>
          </w:p>
        </w:tc>
        <w:tc>
          <w:tcPr>
            <w:tcW w:w="992" w:type="dxa"/>
            <w:vAlign w:val="center"/>
          </w:tcPr>
          <w:p w14:paraId="7F2AAB3C">
            <w:pPr>
              <w:ind w:firstLine="360"/>
              <w:jc w:val="center"/>
              <w:rPr>
                <w:sz w:val="18"/>
                <w:szCs w:val="18"/>
              </w:rPr>
            </w:pPr>
            <w:r>
              <w:rPr>
                <w:sz w:val="18"/>
                <w:szCs w:val="18"/>
              </w:rPr>
              <w:t>2</w:t>
            </w:r>
          </w:p>
        </w:tc>
      </w:tr>
      <w:tr w14:paraId="7EA81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1BC7906">
            <w:pPr>
              <w:ind w:firstLine="360"/>
              <w:jc w:val="center"/>
              <w:rPr>
                <w:sz w:val="18"/>
                <w:szCs w:val="18"/>
              </w:rPr>
            </w:pPr>
          </w:p>
        </w:tc>
        <w:tc>
          <w:tcPr>
            <w:tcW w:w="1011" w:type="dxa"/>
            <w:vMerge w:val="continue"/>
          </w:tcPr>
          <w:p w14:paraId="7C2E36DD">
            <w:pPr>
              <w:ind w:firstLine="360"/>
              <w:jc w:val="center"/>
              <w:rPr>
                <w:sz w:val="18"/>
                <w:szCs w:val="18"/>
              </w:rPr>
            </w:pPr>
          </w:p>
        </w:tc>
        <w:tc>
          <w:tcPr>
            <w:tcW w:w="6672" w:type="dxa"/>
          </w:tcPr>
          <w:p w14:paraId="007BC1DF">
            <w:pPr>
              <w:ind w:firstLine="360"/>
              <w:jc w:val="left"/>
              <w:rPr>
                <w:sz w:val="18"/>
                <w:szCs w:val="18"/>
              </w:rPr>
            </w:pPr>
            <w:r>
              <w:rPr>
                <w:sz w:val="18"/>
                <w:szCs w:val="18"/>
              </w:rPr>
              <w:t>对于当前工作、下期计划按周向甲方提交项目周报</w:t>
            </w:r>
          </w:p>
        </w:tc>
        <w:tc>
          <w:tcPr>
            <w:tcW w:w="992" w:type="dxa"/>
            <w:vAlign w:val="center"/>
          </w:tcPr>
          <w:p w14:paraId="249C0E16">
            <w:pPr>
              <w:ind w:firstLine="360"/>
              <w:jc w:val="center"/>
              <w:rPr>
                <w:sz w:val="18"/>
                <w:szCs w:val="18"/>
              </w:rPr>
            </w:pPr>
            <w:r>
              <w:rPr>
                <w:sz w:val="18"/>
                <w:szCs w:val="18"/>
              </w:rPr>
              <w:t>1</w:t>
            </w:r>
          </w:p>
        </w:tc>
      </w:tr>
      <w:tr w14:paraId="3989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41969857">
            <w:pPr>
              <w:ind w:firstLine="360"/>
              <w:jc w:val="center"/>
              <w:rPr>
                <w:sz w:val="18"/>
                <w:szCs w:val="18"/>
              </w:rPr>
            </w:pPr>
          </w:p>
        </w:tc>
        <w:tc>
          <w:tcPr>
            <w:tcW w:w="1011" w:type="dxa"/>
            <w:vMerge w:val="continue"/>
          </w:tcPr>
          <w:p w14:paraId="24B55A48">
            <w:pPr>
              <w:ind w:firstLine="360"/>
              <w:jc w:val="center"/>
              <w:rPr>
                <w:sz w:val="18"/>
                <w:szCs w:val="18"/>
              </w:rPr>
            </w:pPr>
          </w:p>
        </w:tc>
        <w:tc>
          <w:tcPr>
            <w:tcW w:w="6672" w:type="dxa"/>
          </w:tcPr>
          <w:p w14:paraId="4AA4BB4E">
            <w:pPr>
              <w:ind w:firstLine="360"/>
              <w:jc w:val="left"/>
              <w:rPr>
                <w:sz w:val="18"/>
                <w:szCs w:val="18"/>
              </w:rPr>
            </w:pPr>
            <w:r>
              <w:rPr>
                <w:sz w:val="18"/>
                <w:szCs w:val="18"/>
              </w:rPr>
              <w:t>维护系统操作、故障处理知识库，对于短期无法解决或克服的重复故障事件处理办法录入维护知识库或及时整理提供告警规则</w:t>
            </w:r>
          </w:p>
        </w:tc>
        <w:tc>
          <w:tcPr>
            <w:tcW w:w="992" w:type="dxa"/>
            <w:vAlign w:val="center"/>
          </w:tcPr>
          <w:p w14:paraId="0496C515">
            <w:pPr>
              <w:ind w:firstLine="360"/>
              <w:jc w:val="center"/>
              <w:rPr>
                <w:sz w:val="18"/>
                <w:szCs w:val="18"/>
              </w:rPr>
            </w:pPr>
            <w:r>
              <w:rPr>
                <w:sz w:val="18"/>
                <w:szCs w:val="18"/>
              </w:rPr>
              <w:t>2</w:t>
            </w:r>
          </w:p>
        </w:tc>
      </w:tr>
      <w:tr w14:paraId="70A9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3711E3F1">
            <w:pPr>
              <w:rPr>
                <w:sz w:val="18"/>
                <w:szCs w:val="18"/>
              </w:rPr>
            </w:pPr>
            <w:r>
              <w:rPr>
                <w:sz w:val="18"/>
                <w:szCs w:val="18"/>
              </w:rPr>
              <w:t>6</w:t>
            </w:r>
          </w:p>
        </w:tc>
        <w:tc>
          <w:tcPr>
            <w:tcW w:w="1011" w:type="dxa"/>
            <w:vMerge w:val="restart"/>
            <w:vAlign w:val="center"/>
          </w:tcPr>
          <w:p w14:paraId="13EC4BE0">
            <w:pPr>
              <w:rPr>
                <w:sz w:val="18"/>
                <w:szCs w:val="18"/>
              </w:rPr>
            </w:pPr>
            <w:r>
              <w:rPr>
                <w:sz w:val="18"/>
                <w:szCs w:val="18"/>
              </w:rPr>
              <w:t>驻场人员</w:t>
            </w:r>
          </w:p>
          <w:p w14:paraId="6D19B939">
            <w:pPr>
              <w:rPr>
                <w:sz w:val="18"/>
                <w:szCs w:val="18"/>
              </w:rPr>
            </w:pPr>
            <w:r>
              <w:rPr>
                <w:sz w:val="18"/>
                <w:szCs w:val="18"/>
              </w:rPr>
              <w:t>管理</w:t>
            </w:r>
          </w:p>
        </w:tc>
        <w:tc>
          <w:tcPr>
            <w:tcW w:w="6672" w:type="dxa"/>
          </w:tcPr>
          <w:p w14:paraId="52200F74">
            <w:pPr>
              <w:ind w:firstLine="360"/>
              <w:jc w:val="left"/>
              <w:rPr>
                <w:sz w:val="18"/>
                <w:szCs w:val="18"/>
              </w:rPr>
            </w:pPr>
            <w:r>
              <w:rPr>
                <w:sz w:val="18"/>
                <w:szCs w:val="18"/>
              </w:rPr>
              <w:t>驻场人员数量、资质、社保满足项目合同要求，有明确分工含项目经理、需求组、开发组、运维组、测试组，禁止与其他项目进行人员复用</w:t>
            </w:r>
          </w:p>
        </w:tc>
        <w:tc>
          <w:tcPr>
            <w:tcW w:w="992" w:type="dxa"/>
            <w:vAlign w:val="center"/>
          </w:tcPr>
          <w:p w14:paraId="73140F77">
            <w:pPr>
              <w:ind w:firstLine="360"/>
              <w:jc w:val="center"/>
              <w:rPr>
                <w:sz w:val="18"/>
                <w:szCs w:val="18"/>
              </w:rPr>
            </w:pPr>
            <w:r>
              <w:rPr>
                <w:sz w:val="18"/>
                <w:szCs w:val="18"/>
              </w:rPr>
              <w:t>3</w:t>
            </w:r>
          </w:p>
        </w:tc>
      </w:tr>
      <w:tr w14:paraId="21CC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63E32F11">
            <w:pPr>
              <w:ind w:firstLine="360"/>
              <w:jc w:val="center"/>
              <w:rPr>
                <w:sz w:val="18"/>
                <w:szCs w:val="18"/>
              </w:rPr>
            </w:pPr>
          </w:p>
        </w:tc>
        <w:tc>
          <w:tcPr>
            <w:tcW w:w="1011" w:type="dxa"/>
            <w:vMerge w:val="continue"/>
          </w:tcPr>
          <w:p w14:paraId="21CDF04B">
            <w:pPr>
              <w:ind w:firstLine="360"/>
              <w:jc w:val="left"/>
              <w:rPr>
                <w:sz w:val="18"/>
                <w:szCs w:val="18"/>
              </w:rPr>
            </w:pPr>
          </w:p>
        </w:tc>
        <w:tc>
          <w:tcPr>
            <w:tcW w:w="6672" w:type="dxa"/>
          </w:tcPr>
          <w:p w14:paraId="1486F58D">
            <w:pPr>
              <w:ind w:firstLine="360"/>
              <w:jc w:val="left"/>
              <w:rPr>
                <w:sz w:val="18"/>
                <w:szCs w:val="18"/>
              </w:rPr>
            </w:pPr>
            <w:r>
              <w:rPr>
                <w:sz w:val="18"/>
                <w:szCs w:val="18"/>
              </w:rPr>
              <w:t>驻场人员必须具有连续性，如果中间需要变更服务人员，需要提前1个月通知江苏有线</w:t>
            </w:r>
            <w:r>
              <w:rPr>
                <w:rFonts w:hint="eastAsia"/>
                <w:sz w:val="18"/>
                <w:szCs w:val="18"/>
              </w:rPr>
              <w:t>（替换人员的资质、经验、学历等与本技术规范书保持一致）</w:t>
            </w:r>
            <w:r>
              <w:rPr>
                <w:sz w:val="18"/>
                <w:szCs w:val="18"/>
              </w:rPr>
              <w:t>，核心人员必须提供1月的过渡时间</w:t>
            </w:r>
          </w:p>
        </w:tc>
        <w:tc>
          <w:tcPr>
            <w:tcW w:w="992" w:type="dxa"/>
            <w:vAlign w:val="center"/>
          </w:tcPr>
          <w:p w14:paraId="55A59698">
            <w:pPr>
              <w:ind w:firstLine="360"/>
              <w:jc w:val="center"/>
              <w:rPr>
                <w:sz w:val="18"/>
                <w:szCs w:val="18"/>
              </w:rPr>
            </w:pPr>
            <w:r>
              <w:rPr>
                <w:sz w:val="18"/>
                <w:szCs w:val="18"/>
              </w:rPr>
              <w:t>3</w:t>
            </w:r>
          </w:p>
        </w:tc>
      </w:tr>
      <w:tr w14:paraId="7238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03577F4">
            <w:pPr>
              <w:ind w:firstLine="360"/>
              <w:jc w:val="center"/>
              <w:rPr>
                <w:sz w:val="18"/>
                <w:szCs w:val="18"/>
              </w:rPr>
            </w:pPr>
          </w:p>
        </w:tc>
        <w:tc>
          <w:tcPr>
            <w:tcW w:w="1011" w:type="dxa"/>
            <w:vMerge w:val="continue"/>
          </w:tcPr>
          <w:p w14:paraId="4AEF75E2">
            <w:pPr>
              <w:ind w:firstLine="360"/>
              <w:jc w:val="center"/>
              <w:rPr>
                <w:sz w:val="18"/>
                <w:szCs w:val="18"/>
              </w:rPr>
            </w:pPr>
          </w:p>
        </w:tc>
        <w:tc>
          <w:tcPr>
            <w:tcW w:w="6672" w:type="dxa"/>
          </w:tcPr>
          <w:p w14:paraId="6A4661A9">
            <w:pPr>
              <w:ind w:firstLine="360"/>
              <w:jc w:val="left"/>
              <w:rPr>
                <w:sz w:val="18"/>
                <w:szCs w:val="18"/>
              </w:rPr>
            </w:pPr>
            <w:r>
              <w:rPr>
                <w:sz w:val="18"/>
                <w:szCs w:val="18"/>
              </w:rPr>
              <w:t>在服务期内，驻场人员变更不能超过20%</w:t>
            </w:r>
          </w:p>
        </w:tc>
        <w:tc>
          <w:tcPr>
            <w:tcW w:w="992" w:type="dxa"/>
            <w:vAlign w:val="center"/>
          </w:tcPr>
          <w:p w14:paraId="77104523">
            <w:pPr>
              <w:ind w:firstLine="360"/>
              <w:jc w:val="center"/>
              <w:rPr>
                <w:sz w:val="18"/>
                <w:szCs w:val="18"/>
              </w:rPr>
            </w:pPr>
            <w:r>
              <w:rPr>
                <w:sz w:val="18"/>
                <w:szCs w:val="18"/>
              </w:rPr>
              <w:t>3</w:t>
            </w:r>
          </w:p>
        </w:tc>
      </w:tr>
      <w:tr w14:paraId="69450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E4A7210">
            <w:pPr>
              <w:ind w:firstLine="360"/>
              <w:jc w:val="center"/>
              <w:rPr>
                <w:sz w:val="18"/>
                <w:szCs w:val="18"/>
              </w:rPr>
            </w:pPr>
          </w:p>
        </w:tc>
        <w:tc>
          <w:tcPr>
            <w:tcW w:w="1011" w:type="dxa"/>
            <w:vMerge w:val="continue"/>
          </w:tcPr>
          <w:p w14:paraId="3951A06E">
            <w:pPr>
              <w:ind w:firstLine="360"/>
              <w:jc w:val="center"/>
              <w:rPr>
                <w:sz w:val="18"/>
                <w:szCs w:val="18"/>
              </w:rPr>
            </w:pPr>
          </w:p>
        </w:tc>
        <w:tc>
          <w:tcPr>
            <w:tcW w:w="6672" w:type="dxa"/>
          </w:tcPr>
          <w:p w14:paraId="61743EEE">
            <w:pPr>
              <w:ind w:firstLine="360"/>
              <w:jc w:val="left"/>
              <w:rPr>
                <w:sz w:val="18"/>
                <w:szCs w:val="18"/>
              </w:rPr>
            </w:pPr>
            <w:r>
              <w:rPr>
                <w:sz w:val="18"/>
                <w:szCs w:val="18"/>
              </w:rPr>
              <w:t>驻场人员需严格遵守江苏有线现场管理规定及相关安全规范，禁止违反信息保密、安全协议</w:t>
            </w:r>
          </w:p>
        </w:tc>
        <w:tc>
          <w:tcPr>
            <w:tcW w:w="992" w:type="dxa"/>
            <w:vAlign w:val="center"/>
          </w:tcPr>
          <w:p w14:paraId="40B0954C">
            <w:pPr>
              <w:ind w:firstLine="360"/>
              <w:jc w:val="center"/>
              <w:rPr>
                <w:sz w:val="18"/>
                <w:szCs w:val="18"/>
              </w:rPr>
            </w:pPr>
            <w:r>
              <w:rPr>
                <w:sz w:val="18"/>
                <w:szCs w:val="18"/>
              </w:rPr>
              <w:t>6</w:t>
            </w:r>
          </w:p>
        </w:tc>
      </w:tr>
      <w:tr w14:paraId="3FD61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1618AC02">
            <w:pPr>
              <w:ind w:firstLine="360"/>
              <w:jc w:val="center"/>
              <w:rPr>
                <w:sz w:val="18"/>
                <w:szCs w:val="18"/>
              </w:rPr>
            </w:pPr>
          </w:p>
        </w:tc>
        <w:tc>
          <w:tcPr>
            <w:tcW w:w="1011" w:type="dxa"/>
            <w:vMerge w:val="continue"/>
          </w:tcPr>
          <w:p w14:paraId="31FCED3F">
            <w:pPr>
              <w:ind w:firstLine="360"/>
              <w:jc w:val="center"/>
              <w:rPr>
                <w:sz w:val="18"/>
                <w:szCs w:val="18"/>
              </w:rPr>
            </w:pPr>
          </w:p>
        </w:tc>
        <w:tc>
          <w:tcPr>
            <w:tcW w:w="6672" w:type="dxa"/>
          </w:tcPr>
          <w:p w14:paraId="798DD3A7">
            <w:pPr>
              <w:ind w:firstLine="360"/>
              <w:jc w:val="left"/>
              <w:rPr>
                <w:sz w:val="18"/>
                <w:szCs w:val="18"/>
              </w:rPr>
            </w:pPr>
            <w:r>
              <w:rPr>
                <w:sz w:val="18"/>
                <w:szCs w:val="18"/>
              </w:rPr>
              <w:t>按照规定要求进行值班、每日签到，无正常理由不得迟到早退、事假需提前通知甲方，在现场不从事和工作无关事宜</w:t>
            </w:r>
          </w:p>
        </w:tc>
        <w:tc>
          <w:tcPr>
            <w:tcW w:w="992" w:type="dxa"/>
            <w:vAlign w:val="center"/>
          </w:tcPr>
          <w:p w14:paraId="33432D5E">
            <w:pPr>
              <w:ind w:firstLine="360"/>
              <w:jc w:val="center"/>
              <w:rPr>
                <w:sz w:val="18"/>
                <w:szCs w:val="18"/>
              </w:rPr>
            </w:pPr>
            <w:r>
              <w:rPr>
                <w:sz w:val="18"/>
                <w:szCs w:val="18"/>
              </w:rPr>
              <w:t>1</w:t>
            </w:r>
          </w:p>
        </w:tc>
      </w:tr>
    </w:tbl>
    <w:p w14:paraId="53148135">
      <w:pPr>
        <w:pStyle w:val="2"/>
        <w:ind w:firstLine="840"/>
      </w:pPr>
      <w:r>
        <w:br w:type="page"/>
      </w:r>
    </w:p>
    <w:p w14:paraId="1E71B536">
      <w:pPr>
        <w:spacing w:line="300" w:lineRule="auto"/>
        <w:ind w:firstLine="5280" w:firstLineChars="2400"/>
        <w:rPr>
          <w:sz w:val="22"/>
          <w:szCs w:val="22"/>
        </w:rPr>
      </w:pPr>
    </w:p>
    <w:p w14:paraId="73A03514">
      <w:pPr>
        <w:pStyle w:val="3"/>
        <w:numPr>
          <w:ilvl w:val="0"/>
          <w:numId w:val="0"/>
        </w:numPr>
        <w:spacing w:before="0" w:after="0" w:line="360" w:lineRule="auto"/>
        <w:rPr>
          <w:b/>
          <w:sz w:val="36"/>
          <w:szCs w:val="36"/>
        </w:rPr>
      </w:pPr>
      <w:bookmarkStart w:id="43" w:name="_Toc69378637"/>
      <w:r>
        <w:rPr>
          <w:rFonts w:hint="eastAsia"/>
          <w:b/>
          <w:sz w:val="36"/>
          <w:szCs w:val="36"/>
        </w:rPr>
        <w:t>第五章技术需求书</w:t>
      </w:r>
      <w:bookmarkEnd w:id="43"/>
    </w:p>
    <w:p w14:paraId="6D349FFD">
      <w:pPr>
        <w:spacing w:line="360" w:lineRule="auto"/>
        <w:rPr>
          <w:rFonts w:ascii="宋体" w:hAnsi="宋体"/>
          <w:b/>
          <w:bCs/>
          <w:sz w:val="22"/>
          <w:szCs w:val="22"/>
        </w:rPr>
      </w:pPr>
      <w:r>
        <w:rPr>
          <w:rFonts w:hint="eastAsia" w:ascii="宋体" w:hAnsi="宋体"/>
          <w:b/>
          <w:bCs/>
          <w:sz w:val="22"/>
          <w:szCs w:val="22"/>
        </w:rPr>
        <w:t>说明：</w:t>
      </w:r>
    </w:p>
    <w:p w14:paraId="2673CF6B">
      <w:pPr>
        <w:spacing w:line="360" w:lineRule="auto"/>
        <w:ind w:firstLine="420" w:firstLineChars="200"/>
        <w:rPr>
          <w:rFonts w:ascii="宋体" w:hAnsi="宋体"/>
          <w:szCs w:val="21"/>
        </w:rPr>
      </w:pPr>
      <w:r>
        <w:rPr>
          <w:rFonts w:hint="eastAsia" w:ascii="宋体" w:hAnsi="宋体"/>
          <w:szCs w:val="21"/>
        </w:rPr>
        <w:t>1、</w:t>
      </w:r>
      <w:r>
        <w:rPr>
          <w:rFonts w:hint="eastAsia"/>
          <w:color w:val="000000"/>
          <w:szCs w:val="21"/>
        </w:rPr>
        <w:t>供应商</w:t>
      </w:r>
      <w:r>
        <w:rPr>
          <w:rFonts w:hint="eastAsia" w:ascii="宋体" w:hAnsi="宋体"/>
          <w:szCs w:val="21"/>
        </w:rPr>
        <w:t>须对照本《技术需求书》，依据</w:t>
      </w:r>
      <w:r>
        <w:rPr>
          <w:rFonts w:hint="eastAsia"/>
          <w:color w:val="000000"/>
          <w:szCs w:val="21"/>
        </w:rPr>
        <w:t>供应商</w:t>
      </w:r>
      <w:r>
        <w:rPr>
          <w:rFonts w:hint="eastAsia" w:ascii="宋体" w:hAnsi="宋体"/>
          <w:szCs w:val="21"/>
        </w:rPr>
        <w:t>本身产品说明书及样本，逐条说明所提供货物和服务已对招标文件的技术规格、参数与要求做出了实质性的响应，或申明与技术规格、参数与要求条文的偏差和例外（按第六章 附件 技术需求偏离表格式填写），对于可以用量化形式表示的条款，供应商必须明确回答，或以功能描述回答。任何通过简单拷贝采购文件技术要求或简单标注“符合”“满足”的采购文件将可能导致废标。供应商</w:t>
      </w:r>
      <w:r>
        <w:rPr>
          <w:rFonts w:ascii="宋体" w:hAnsi="宋体"/>
          <w:szCs w:val="21"/>
        </w:rPr>
        <w:t>在合同</w:t>
      </w:r>
      <w:r>
        <w:rPr>
          <w:rFonts w:hint="eastAsia" w:ascii="宋体" w:hAnsi="宋体"/>
          <w:szCs w:val="21"/>
        </w:rPr>
        <w:t>签订</w:t>
      </w:r>
      <w:r>
        <w:rPr>
          <w:rFonts w:ascii="宋体" w:hAnsi="宋体"/>
          <w:szCs w:val="21"/>
        </w:rPr>
        <w:t>中的任何偏差都不得超越</w:t>
      </w:r>
      <w:r>
        <w:rPr>
          <w:rFonts w:hint="eastAsia" w:ascii="宋体" w:hAnsi="宋体"/>
          <w:szCs w:val="21"/>
        </w:rPr>
        <w:t>技术</w:t>
      </w:r>
      <w:r>
        <w:rPr>
          <w:rFonts w:ascii="宋体" w:hAnsi="宋体"/>
          <w:szCs w:val="21"/>
        </w:rPr>
        <w:t>偏</w:t>
      </w:r>
      <w:r>
        <w:rPr>
          <w:rFonts w:hint="eastAsia" w:ascii="宋体" w:hAnsi="宋体"/>
          <w:szCs w:val="21"/>
        </w:rPr>
        <w:t>离</w:t>
      </w:r>
      <w:r>
        <w:rPr>
          <w:rFonts w:ascii="宋体" w:hAnsi="宋体"/>
          <w:szCs w:val="21"/>
        </w:rPr>
        <w:t>表中已被</w:t>
      </w:r>
      <w:r>
        <w:rPr>
          <w:rFonts w:hint="eastAsia" w:ascii="宋体" w:hAnsi="宋体"/>
          <w:szCs w:val="21"/>
        </w:rPr>
        <w:t>采购</w:t>
      </w:r>
      <w:r>
        <w:rPr>
          <w:rFonts w:ascii="宋体" w:hAnsi="宋体"/>
          <w:szCs w:val="21"/>
        </w:rPr>
        <w:t>人确认的条款。</w:t>
      </w:r>
    </w:p>
    <w:p w14:paraId="60D5FC6A">
      <w:pPr>
        <w:spacing w:line="360" w:lineRule="auto"/>
        <w:ind w:firstLine="420" w:firstLineChars="200"/>
        <w:rPr>
          <w:rFonts w:ascii="宋体" w:hAnsi="宋体"/>
          <w:szCs w:val="21"/>
        </w:rPr>
      </w:pPr>
      <w:r>
        <w:rPr>
          <w:rFonts w:hint="eastAsia" w:ascii="宋体" w:hAnsi="宋体"/>
          <w:szCs w:val="21"/>
        </w:rPr>
        <w:t>2、采购文件技术要求中所描述的内容为本项目的基本技术要求，</w:t>
      </w:r>
      <w:r>
        <w:rPr>
          <w:rFonts w:ascii="宋体" w:hAnsi="宋体"/>
          <w:szCs w:val="21"/>
        </w:rPr>
        <w:t>不应作为完整的详细要求。</w:t>
      </w:r>
      <w:r>
        <w:rPr>
          <w:rFonts w:hint="eastAsia" w:ascii="宋体" w:hAnsi="宋体"/>
          <w:szCs w:val="21"/>
        </w:rPr>
        <w:t>对于为满足正常运行所需的设备材料的供应、安装、调试、验收及质量保证的内容请供应商自行考虑。供应商</w:t>
      </w:r>
      <w:r>
        <w:rPr>
          <w:rFonts w:ascii="宋体" w:hAnsi="宋体"/>
          <w:szCs w:val="21"/>
        </w:rPr>
        <w:t>应满足本技术</w:t>
      </w:r>
      <w:r>
        <w:rPr>
          <w:rFonts w:hint="eastAsia" w:ascii="宋体" w:hAnsi="宋体"/>
          <w:szCs w:val="21"/>
        </w:rPr>
        <w:t>需求书</w:t>
      </w:r>
      <w:r>
        <w:rPr>
          <w:rFonts w:ascii="宋体" w:hAnsi="宋体"/>
          <w:szCs w:val="21"/>
        </w:rPr>
        <w:t>中未描述的，但为保证设备能正常有效运行所需要的其它要求和所需的设备与附件。</w:t>
      </w:r>
    </w:p>
    <w:p w14:paraId="12ADF618">
      <w:pPr>
        <w:spacing w:line="360" w:lineRule="auto"/>
        <w:ind w:firstLine="420" w:firstLineChars="200"/>
        <w:rPr>
          <w:rFonts w:ascii="宋体" w:hAnsi="宋体"/>
          <w:szCs w:val="21"/>
        </w:rPr>
      </w:pPr>
      <w:r>
        <w:rPr>
          <w:rFonts w:hint="eastAsia" w:ascii="宋体" w:hAnsi="宋体"/>
          <w:szCs w:val="21"/>
        </w:rPr>
        <w:t>3、技术需求书中</w:t>
      </w:r>
      <w:r>
        <w:rPr>
          <w:rFonts w:ascii="宋体" w:hAnsi="宋体"/>
          <w:szCs w:val="21"/>
        </w:rPr>
        <w:t>带</w:t>
      </w:r>
      <w:r>
        <w:rPr>
          <w:rFonts w:hint="eastAsia" w:ascii="宋体" w:hAnsi="宋体"/>
          <w:szCs w:val="21"/>
        </w:rPr>
        <w:t>“★”部分为</w:t>
      </w:r>
      <w:r>
        <w:rPr>
          <w:rFonts w:ascii="宋体" w:hAnsi="宋体"/>
          <w:szCs w:val="21"/>
        </w:rPr>
        <w:t>必须保证满足要求</w:t>
      </w:r>
      <w:r>
        <w:rPr>
          <w:rFonts w:hint="eastAsia" w:ascii="宋体" w:hAnsi="宋体"/>
          <w:szCs w:val="21"/>
        </w:rPr>
        <w:t>的条款。</w:t>
      </w:r>
    </w:p>
    <w:p w14:paraId="3883D41B">
      <w:pPr>
        <w:spacing w:line="360" w:lineRule="auto"/>
        <w:ind w:firstLine="420" w:firstLineChars="200"/>
        <w:rPr>
          <w:rFonts w:ascii="宋体" w:hAnsi="宋体"/>
          <w:szCs w:val="21"/>
        </w:rPr>
      </w:pPr>
      <w:r>
        <w:rPr>
          <w:rFonts w:hint="eastAsia" w:ascii="宋体" w:hAnsi="宋体"/>
          <w:szCs w:val="21"/>
        </w:rPr>
        <w:t>4、本技术需求书中所述品牌、型号仅为参考，供应商所提供的货物如果不是参考品牌、型号产品，须提供详细说明、比较和证明材料，以证明所投产品技术及质量均不低于参考品牌、型号，否则将被判定为不合格。不论是否为参考品牌、型号设备，如果其技术指标不能满足招标文件要求，则按打分办法要求进行评审。</w:t>
      </w:r>
    </w:p>
    <w:p w14:paraId="4F9BFFA1">
      <w:pPr>
        <w:rPr>
          <w:rFonts w:ascii="黑体" w:eastAsia="黑体"/>
          <w:b/>
          <w:sz w:val="37"/>
        </w:rPr>
      </w:pPr>
      <w:r>
        <w:rPr>
          <w:rFonts w:hint="eastAsia" w:ascii="黑体" w:eastAsia="黑体"/>
          <w:b/>
          <w:sz w:val="37"/>
        </w:rPr>
        <w:br w:type="page"/>
      </w:r>
    </w:p>
    <w:p w14:paraId="185FF958">
      <w:pPr>
        <w:spacing w:line="360" w:lineRule="auto"/>
        <w:jc w:val="center"/>
        <w:rPr>
          <w:rFonts w:ascii="宋体" w:hAnsi="宋体"/>
          <w:szCs w:val="21"/>
        </w:rPr>
      </w:pPr>
      <w:r>
        <w:rPr>
          <w:rFonts w:hint="eastAsia" w:ascii="黑体" w:eastAsia="黑体"/>
          <w:b/>
          <w:sz w:val="37"/>
        </w:rPr>
        <w:t>技术需求书</w:t>
      </w:r>
    </w:p>
    <w:p w14:paraId="03DA56A9">
      <w:pPr>
        <w:spacing w:line="360" w:lineRule="auto"/>
        <w:outlineLvl w:val="0"/>
        <w:rPr>
          <w:rFonts w:ascii="宋体" w:hAnsi="宋体" w:cs="宋体"/>
          <w:b/>
          <w:szCs w:val="21"/>
        </w:rPr>
      </w:pPr>
      <w:r>
        <w:rPr>
          <w:rFonts w:hint="eastAsia" w:ascii="宋体" w:hAnsi="宋体" w:cs="宋体"/>
          <w:b/>
          <w:szCs w:val="21"/>
        </w:rPr>
        <w:t>一、综述</w:t>
      </w:r>
    </w:p>
    <w:p w14:paraId="20C822EF">
      <w:pPr>
        <w:spacing w:line="360" w:lineRule="auto"/>
        <w:outlineLvl w:val="1"/>
        <w:rPr>
          <w:rFonts w:ascii="宋体" w:hAnsi="宋体" w:cs="宋体"/>
          <w:b/>
          <w:bCs/>
          <w:szCs w:val="21"/>
        </w:rPr>
      </w:pPr>
      <w:r>
        <w:rPr>
          <w:rFonts w:hint="eastAsia" w:ascii="宋体" w:hAnsi="宋体" w:cs="宋体"/>
          <w:b/>
          <w:bCs/>
          <w:szCs w:val="21"/>
        </w:rPr>
        <w:t>1、说明</w:t>
      </w:r>
    </w:p>
    <w:p w14:paraId="0481DBCC">
      <w:pPr>
        <w:pStyle w:val="368"/>
        <w:ind w:firstLine="0"/>
        <w:rPr>
          <w:rFonts w:cs="宋体"/>
        </w:rPr>
      </w:pPr>
      <w:r>
        <w:rPr>
          <w:rFonts w:hint="eastAsia" w:cs="宋体"/>
        </w:rPr>
        <w:t>1）</w:t>
      </w:r>
      <w:r>
        <w:rPr>
          <w:rFonts w:hint="eastAsia" w:cs="宋体"/>
        </w:rPr>
        <w:tab/>
      </w:r>
      <w:r>
        <w:rPr>
          <w:rFonts w:hint="eastAsia" w:cs="宋体"/>
        </w:rPr>
        <w:t>本技术需求书为</w:t>
      </w:r>
      <w:r>
        <w:rPr>
          <w:rFonts w:hint="eastAsia" w:cs="宋体"/>
          <w:b/>
          <w:bCs/>
          <w:u w:val="single"/>
        </w:rPr>
        <w:t>“10090服务质量监督热线建设项目”</w:t>
      </w:r>
      <w:r>
        <w:rPr>
          <w:rFonts w:hint="eastAsia" w:cs="宋体"/>
        </w:rPr>
        <w:t>项目中日志审计系统主要技术要求和供货要求，响应文件的技术部分内容响应格式应符合本采购文件的要求。</w:t>
      </w:r>
    </w:p>
    <w:p w14:paraId="1AE4B8EF">
      <w:pPr>
        <w:spacing w:line="360" w:lineRule="auto"/>
        <w:rPr>
          <w:rFonts w:ascii="宋体" w:hAnsi="宋体" w:cs="宋体"/>
          <w:szCs w:val="21"/>
        </w:rPr>
      </w:pPr>
      <w:r>
        <w:rPr>
          <w:rFonts w:hint="eastAsia" w:ascii="宋体" w:hAnsi="宋体" w:cs="宋体"/>
          <w:szCs w:val="21"/>
        </w:rPr>
        <w:t>2）</w:t>
      </w:r>
      <w:r>
        <w:rPr>
          <w:rFonts w:hint="eastAsia" w:ascii="宋体" w:hAnsi="宋体" w:cs="宋体"/>
          <w:szCs w:val="21"/>
        </w:rPr>
        <w:tab/>
      </w:r>
      <w:r>
        <w:rPr>
          <w:rFonts w:hint="eastAsia" w:ascii="宋体" w:hAnsi="宋体" w:cs="宋体"/>
          <w:szCs w:val="21"/>
        </w:rPr>
        <w:t>本技术需求书应视为系统运行的最低要求。如有遗漏，供应商应予以补充，否则一旦中标将认为供应商认同遗漏部分并免费提供。</w:t>
      </w:r>
    </w:p>
    <w:p w14:paraId="44DD7F43">
      <w:pPr>
        <w:spacing w:line="360" w:lineRule="auto"/>
        <w:rPr>
          <w:rFonts w:ascii="宋体" w:hAnsi="宋体" w:cs="宋体"/>
          <w:szCs w:val="21"/>
        </w:rPr>
      </w:pPr>
      <w:r>
        <w:rPr>
          <w:rFonts w:hint="eastAsia" w:ascii="宋体" w:hAnsi="宋体" w:cs="宋体"/>
          <w:szCs w:val="21"/>
        </w:rPr>
        <w:t>3）</w:t>
      </w:r>
      <w:r>
        <w:rPr>
          <w:rFonts w:hint="eastAsia" w:ascii="宋体" w:hAnsi="宋体" w:cs="宋体"/>
          <w:szCs w:val="21"/>
        </w:rPr>
        <w:tab/>
      </w:r>
      <w:r>
        <w:rPr>
          <w:rFonts w:hint="eastAsia" w:ascii="宋体" w:hAnsi="宋体" w:cs="宋体"/>
          <w:szCs w:val="21"/>
        </w:rPr>
        <w:t>采购人在任何时候都保留和拥有对本技术需求书的解释权。</w:t>
      </w:r>
    </w:p>
    <w:bookmarkEnd w:id="16"/>
    <w:bookmarkEnd w:id="17"/>
    <w:bookmarkEnd w:id="18"/>
    <w:p w14:paraId="4F609E83">
      <w:pPr>
        <w:spacing w:line="360" w:lineRule="auto"/>
        <w:outlineLvl w:val="0"/>
        <w:rPr>
          <w:rFonts w:ascii="宋体" w:hAnsi="宋体" w:cs="宋体"/>
          <w:b/>
          <w:szCs w:val="21"/>
        </w:rPr>
      </w:pPr>
      <w:bookmarkStart w:id="44" w:name="_Toc454971823"/>
      <w:bookmarkStart w:id="45" w:name="_Toc512356033"/>
      <w:bookmarkStart w:id="46" w:name="_Toc69378657"/>
      <w:bookmarkStart w:id="47" w:name="_Toc502914229"/>
      <w:r>
        <w:rPr>
          <w:rFonts w:hint="eastAsia" w:ascii="宋体" w:hAnsi="宋体" w:cs="宋体"/>
          <w:b/>
          <w:szCs w:val="21"/>
        </w:rPr>
        <w:t>二、技术要求</w:t>
      </w:r>
      <w:bookmarkEnd w:id="44"/>
      <w:bookmarkEnd w:id="45"/>
    </w:p>
    <w:p w14:paraId="3F6698F5">
      <w:pPr>
        <w:pStyle w:val="2"/>
        <w:tabs>
          <w:tab w:val="left" w:pos="1080"/>
          <w:tab w:val="left" w:pos="1560"/>
        </w:tabs>
        <w:ind w:firstLine="630"/>
        <w:rPr>
          <w:rFonts w:ascii="宋体" w:hAnsi="宋体" w:cs="宋体"/>
          <w:sz w:val="21"/>
          <w:szCs w:val="21"/>
        </w:rPr>
      </w:pPr>
      <w:r>
        <w:rPr>
          <w:rFonts w:hint="eastAsia" w:ascii="宋体" w:hAnsi="宋体" w:cs="宋体"/>
          <w:sz w:val="21"/>
          <w:szCs w:val="21"/>
        </w:rPr>
        <w:t>★本项目主要采购内容如下：</w:t>
      </w:r>
    </w:p>
    <w:tbl>
      <w:tblPr>
        <w:tblStyle w:val="53"/>
        <w:tblW w:w="6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2564"/>
        <w:gridCol w:w="2522"/>
        <w:gridCol w:w="993"/>
      </w:tblGrid>
      <w:tr w14:paraId="5259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68" w:type="dxa"/>
          </w:tcPr>
          <w:p w14:paraId="54A4046F">
            <w:r>
              <w:rPr>
                <w:rFonts w:hint="eastAsia"/>
              </w:rPr>
              <w:t>序号</w:t>
            </w:r>
          </w:p>
        </w:tc>
        <w:tc>
          <w:tcPr>
            <w:tcW w:w="2564" w:type="dxa"/>
          </w:tcPr>
          <w:p w14:paraId="37136D64">
            <w:r>
              <w:rPr>
                <w:rFonts w:hint="eastAsia"/>
              </w:rPr>
              <w:t>产品名称</w:t>
            </w:r>
          </w:p>
        </w:tc>
        <w:tc>
          <w:tcPr>
            <w:tcW w:w="2522" w:type="dxa"/>
          </w:tcPr>
          <w:p w14:paraId="086521E1">
            <w:r>
              <w:rPr>
                <w:rFonts w:hint="eastAsia"/>
              </w:rPr>
              <w:t>数量</w:t>
            </w:r>
          </w:p>
        </w:tc>
        <w:tc>
          <w:tcPr>
            <w:tcW w:w="993" w:type="dxa"/>
          </w:tcPr>
          <w:p w14:paraId="1A1CEE09">
            <w:r>
              <w:rPr>
                <w:rFonts w:hint="eastAsia"/>
              </w:rPr>
              <w:t>单位</w:t>
            </w:r>
          </w:p>
        </w:tc>
      </w:tr>
      <w:tr w14:paraId="273CC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68" w:type="dxa"/>
          </w:tcPr>
          <w:p w14:paraId="03C51DB5">
            <w:r>
              <w:rPr>
                <w:rFonts w:hint="eastAsia"/>
              </w:rPr>
              <w:t>1</w:t>
            </w:r>
          </w:p>
        </w:tc>
        <w:tc>
          <w:tcPr>
            <w:tcW w:w="2564" w:type="dxa"/>
          </w:tcPr>
          <w:p w14:paraId="530186FB">
            <w:r>
              <w:rPr>
                <w:rFonts w:hint="eastAsia"/>
              </w:rPr>
              <w:t>10090服务质量监督热线建设</w:t>
            </w:r>
          </w:p>
        </w:tc>
        <w:tc>
          <w:tcPr>
            <w:tcW w:w="2522" w:type="dxa"/>
          </w:tcPr>
          <w:p w14:paraId="69EEC28D">
            <w:r>
              <w:rPr>
                <w:rFonts w:hint="eastAsia"/>
              </w:rPr>
              <w:t>1</w:t>
            </w:r>
          </w:p>
        </w:tc>
        <w:tc>
          <w:tcPr>
            <w:tcW w:w="993" w:type="dxa"/>
          </w:tcPr>
          <w:p w14:paraId="30A23575">
            <w:r>
              <w:rPr>
                <w:rFonts w:hint="eastAsia"/>
              </w:rPr>
              <w:t>套</w:t>
            </w:r>
          </w:p>
        </w:tc>
      </w:tr>
    </w:tbl>
    <w:p w14:paraId="761C9617">
      <w:pPr>
        <w:spacing w:line="360" w:lineRule="auto"/>
        <w:rPr>
          <w:rFonts w:ascii="宋体" w:hAnsi="宋体" w:cs="宋体"/>
          <w:b/>
          <w:bCs/>
          <w:szCs w:val="21"/>
        </w:rPr>
      </w:pPr>
      <w:r>
        <w:rPr>
          <w:rFonts w:ascii="宋体" w:hAnsi="宋体" w:cs="宋体"/>
          <w:szCs w:val="21"/>
        </w:rPr>
        <w:t>★</w:t>
      </w:r>
      <w:r>
        <w:rPr>
          <w:rFonts w:hint="eastAsia" w:ascii="宋体" w:hAnsi="宋体" w:cs="宋体"/>
          <w:b/>
          <w:bCs/>
          <w:szCs w:val="21"/>
        </w:rPr>
        <w:t>1、总体需求</w:t>
      </w:r>
    </w:p>
    <w:p w14:paraId="2D6CCCA7">
      <w:pPr>
        <w:pStyle w:val="368"/>
        <w:ind w:firstLine="0"/>
        <w:rPr>
          <w:rFonts w:cs="宋体"/>
        </w:rPr>
      </w:pPr>
      <w:r>
        <w:rPr>
          <w:rFonts w:hint="eastAsia" w:cs="宋体"/>
        </w:rPr>
        <w:t>1）</w:t>
      </w:r>
      <w:r>
        <w:rPr>
          <w:rFonts w:cs="宋体"/>
        </w:rPr>
        <w:tab/>
      </w:r>
      <w:r>
        <w:rPr>
          <w:rFonts w:hint="eastAsia" w:cs="宋体"/>
        </w:rPr>
        <w:t>需求调研与分析</w:t>
      </w:r>
    </w:p>
    <w:p w14:paraId="63FB1226">
      <w:pPr>
        <w:adjustRightInd w:val="0"/>
        <w:spacing w:line="360" w:lineRule="auto"/>
        <w:rPr>
          <w:kern w:val="0"/>
          <w:szCs w:val="21"/>
        </w:rPr>
      </w:pPr>
      <w:r>
        <w:rPr>
          <w:rFonts w:hint="eastAsia"/>
          <w:kern w:val="0"/>
          <w:szCs w:val="21"/>
        </w:rPr>
        <w:t>投标人需了解江苏有线已有系统业务功能逻辑和接口相关要求，确保10090号码对话务平台的顺利接入，并具备在现有客服系统、工单系统中进行手里页面及流程开发配置的能力。</w:t>
      </w:r>
    </w:p>
    <w:p w14:paraId="4323FFE7">
      <w:pPr>
        <w:adjustRightInd w:val="0"/>
        <w:spacing w:line="360" w:lineRule="auto"/>
        <w:rPr>
          <w:kern w:val="0"/>
          <w:szCs w:val="21"/>
        </w:rPr>
      </w:pPr>
      <w:r>
        <w:rPr>
          <w:rFonts w:hint="eastAsia"/>
          <w:kern w:val="0"/>
          <w:szCs w:val="21"/>
        </w:rPr>
        <w:t>2)</w:t>
      </w:r>
      <w:r>
        <w:rPr>
          <w:kern w:val="0"/>
          <w:szCs w:val="21"/>
        </w:rPr>
        <w:tab/>
      </w:r>
      <w:r>
        <w:rPr>
          <w:rFonts w:hint="eastAsia"/>
          <w:kern w:val="0"/>
          <w:szCs w:val="21"/>
        </w:rPr>
        <w:t>资源可扩展性</w:t>
      </w:r>
    </w:p>
    <w:p w14:paraId="1A4BBC91">
      <w:pPr>
        <w:adjustRightInd w:val="0"/>
        <w:spacing w:line="360" w:lineRule="auto"/>
        <w:rPr>
          <w:kern w:val="0"/>
          <w:szCs w:val="21"/>
        </w:rPr>
      </w:pPr>
      <w:r>
        <w:rPr>
          <w:kern w:val="0"/>
          <w:szCs w:val="21"/>
        </w:rPr>
        <w:t>支持多个层面的可扩展性，通过负载平衡、快速开发/重组、业务参数配置等多个方面使得系统可以支持江苏有线未来不断变化的业务特征。</w:t>
      </w:r>
    </w:p>
    <w:p w14:paraId="5AB809DF">
      <w:pPr>
        <w:adjustRightInd w:val="0"/>
        <w:spacing w:line="360" w:lineRule="auto"/>
        <w:rPr>
          <w:kern w:val="0"/>
          <w:szCs w:val="21"/>
        </w:rPr>
      </w:pPr>
      <w:r>
        <w:rPr>
          <w:rFonts w:hint="eastAsia"/>
          <w:kern w:val="0"/>
          <w:szCs w:val="21"/>
        </w:rPr>
        <w:t>3）</w:t>
      </w:r>
      <w:r>
        <w:rPr>
          <w:kern w:val="0"/>
          <w:szCs w:val="21"/>
        </w:rPr>
        <w:tab/>
      </w:r>
      <w:r>
        <w:rPr>
          <w:rFonts w:hint="eastAsia"/>
          <w:kern w:val="0"/>
          <w:szCs w:val="21"/>
        </w:rPr>
        <w:t>安全性和可靠性</w:t>
      </w:r>
    </w:p>
    <w:p w14:paraId="484334B2">
      <w:pPr>
        <w:adjustRightInd w:val="0"/>
        <w:spacing w:line="360" w:lineRule="auto"/>
        <w:rPr>
          <w:kern w:val="0"/>
          <w:szCs w:val="21"/>
        </w:rPr>
      </w:pPr>
      <w:r>
        <w:rPr>
          <w:rFonts w:hint="eastAsia"/>
          <w:kern w:val="0"/>
          <w:szCs w:val="21"/>
        </w:rPr>
        <w:t>系统改造及接口，皆须可配合系统</w:t>
      </w:r>
      <w:r>
        <w:rPr>
          <w:kern w:val="0"/>
          <w:szCs w:val="21"/>
        </w:rPr>
        <w:t>安全策略和可靠性策略。</w:t>
      </w:r>
    </w:p>
    <w:p w14:paraId="538A7884">
      <w:pPr>
        <w:adjustRightInd w:val="0"/>
        <w:spacing w:line="360" w:lineRule="auto"/>
        <w:rPr>
          <w:kern w:val="0"/>
          <w:szCs w:val="21"/>
        </w:rPr>
      </w:pPr>
      <w:r>
        <w:rPr>
          <w:rFonts w:hint="eastAsia"/>
          <w:kern w:val="0"/>
          <w:szCs w:val="21"/>
        </w:rPr>
        <w:t>4）</w:t>
      </w:r>
      <w:r>
        <w:rPr>
          <w:kern w:val="0"/>
          <w:szCs w:val="21"/>
        </w:rPr>
        <w:tab/>
      </w:r>
      <w:r>
        <w:rPr>
          <w:kern w:val="0"/>
          <w:szCs w:val="21"/>
        </w:rPr>
        <w:t>系统</w:t>
      </w:r>
      <w:r>
        <w:rPr>
          <w:rFonts w:hint="eastAsia"/>
          <w:kern w:val="0"/>
          <w:szCs w:val="21"/>
        </w:rPr>
        <w:t>可测试性要求</w:t>
      </w:r>
    </w:p>
    <w:p w14:paraId="414FD6B2">
      <w:pPr>
        <w:adjustRightInd w:val="0"/>
        <w:spacing w:line="360" w:lineRule="auto"/>
        <w:rPr>
          <w:kern w:val="0"/>
          <w:szCs w:val="21"/>
        </w:rPr>
      </w:pPr>
      <w:r>
        <w:rPr>
          <w:kern w:val="0"/>
          <w:szCs w:val="21"/>
        </w:rPr>
        <w:t>随</w:t>
      </w:r>
      <w:r>
        <w:rPr>
          <w:rFonts w:hint="eastAsia"/>
          <w:kern w:val="0"/>
          <w:szCs w:val="21"/>
        </w:rPr>
        <w:t>改造内容及接口</w:t>
      </w:r>
      <w:r>
        <w:rPr>
          <w:kern w:val="0"/>
          <w:szCs w:val="21"/>
        </w:rPr>
        <w:t>提交的技术文件必须明确标识出所实现的可度量的功能和性能指标。</w:t>
      </w:r>
    </w:p>
    <w:p w14:paraId="5A6440DC">
      <w:pPr>
        <w:adjustRightInd w:val="0"/>
        <w:spacing w:line="360" w:lineRule="auto"/>
        <w:rPr>
          <w:kern w:val="0"/>
          <w:szCs w:val="21"/>
        </w:rPr>
      </w:pPr>
      <w:r>
        <w:rPr>
          <w:kern w:val="0"/>
          <w:szCs w:val="21"/>
        </w:rPr>
        <w:t>投标人应有固定的测试工程师进行专门的测试工作，每次新功能测试完成后，应提供详细的测试文档，包括测试的用例、方法及其结果等，交付</w:t>
      </w:r>
      <w:r>
        <w:rPr>
          <w:rFonts w:hint="eastAsia"/>
          <w:kern w:val="0"/>
          <w:szCs w:val="21"/>
        </w:rPr>
        <w:t>甲</w:t>
      </w:r>
      <w:r>
        <w:rPr>
          <w:kern w:val="0"/>
          <w:szCs w:val="21"/>
        </w:rPr>
        <w:t>方人员作验收测试。测试结果应符合实际，测试未通过的项目应及时反馈并进行修改</w:t>
      </w:r>
      <w:r>
        <w:rPr>
          <w:rFonts w:hint="eastAsia"/>
          <w:kern w:val="0"/>
          <w:szCs w:val="21"/>
        </w:rPr>
        <w:t>。</w:t>
      </w:r>
    </w:p>
    <w:p w14:paraId="619CF1EC">
      <w:pPr>
        <w:adjustRightInd w:val="0"/>
        <w:spacing w:line="360" w:lineRule="auto"/>
        <w:rPr>
          <w:kern w:val="0"/>
          <w:szCs w:val="21"/>
        </w:rPr>
      </w:pPr>
      <w:r>
        <w:rPr>
          <w:rFonts w:hint="eastAsia"/>
          <w:kern w:val="0"/>
          <w:szCs w:val="21"/>
        </w:rPr>
        <w:t>5）</w:t>
      </w:r>
      <w:r>
        <w:rPr>
          <w:kern w:val="0"/>
          <w:szCs w:val="21"/>
        </w:rPr>
        <w:tab/>
      </w:r>
      <w:r>
        <w:rPr>
          <w:kern w:val="0"/>
          <w:szCs w:val="21"/>
        </w:rPr>
        <w:t>系统可靠性要求</w:t>
      </w:r>
    </w:p>
    <w:p w14:paraId="11648344">
      <w:pPr>
        <w:adjustRightInd w:val="0"/>
        <w:spacing w:line="360" w:lineRule="auto"/>
        <w:rPr>
          <w:kern w:val="0"/>
          <w:szCs w:val="21"/>
        </w:rPr>
      </w:pPr>
      <w:r>
        <w:rPr>
          <w:rFonts w:hint="eastAsia"/>
          <w:kern w:val="0"/>
          <w:szCs w:val="21"/>
        </w:rPr>
        <w:t>系统支持</w:t>
      </w:r>
      <w:r>
        <w:rPr>
          <w:kern w:val="0"/>
          <w:szCs w:val="21"/>
        </w:rPr>
        <w:t>7×24小时不间断工作。</w:t>
      </w:r>
    </w:p>
    <w:p w14:paraId="197E33D2">
      <w:pPr>
        <w:adjustRightInd w:val="0"/>
        <w:spacing w:line="360" w:lineRule="auto"/>
        <w:rPr>
          <w:kern w:val="0"/>
          <w:szCs w:val="21"/>
        </w:rPr>
      </w:pPr>
      <w:r>
        <w:rPr>
          <w:rFonts w:hint="eastAsia"/>
          <w:kern w:val="0"/>
          <w:szCs w:val="21"/>
        </w:rPr>
        <w:t>系统</w:t>
      </w:r>
      <w:r>
        <w:rPr>
          <w:kern w:val="0"/>
          <w:szCs w:val="21"/>
        </w:rPr>
        <w:t>每月不超过2小时的计划内停机。</w:t>
      </w:r>
    </w:p>
    <w:p w14:paraId="044C5FBC">
      <w:pPr>
        <w:adjustRightInd w:val="0"/>
        <w:spacing w:line="360" w:lineRule="auto"/>
        <w:rPr>
          <w:kern w:val="0"/>
          <w:szCs w:val="21"/>
        </w:rPr>
      </w:pPr>
      <w:r>
        <w:rPr>
          <w:kern w:val="0"/>
          <w:szCs w:val="21"/>
        </w:rPr>
        <w:t>故障间隔时间应大于1000小时。</w:t>
      </w:r>
    </w:p>
    <w:p w14:paraId="5D4D7A8D">
      <w:pPr>
        <w:adjustRightInd w:val="0"/>
        <w:spacing w:line="360" w:lineRule="auto"/>
        <w:rPr>
          <w:kern w:val="0"/>
          <w:szCs w:val="21"/>
        </w:rPr>
      </w:pPr>
      <w:r>
        <w:rPr>
          <w:kern w:val="0"/>
          <w:szCs w:val="21"/>
        </w:rPr>
        <w:t>以集群或者主备的方式保证系统可靠稳定运行，避免单点故障。</w:t>
      </w:r>
    </w:p>
    <w:p w14:paraId="25A60273">
      <w:pPr>
        <w:adjustRightInd w:val="0"/>
        <w:spacing w:line="360" w:lineRule="auto"/>
      </w:pPr>
      <w:r>
        <w:rPr>
          <w:rFonts w:hint="eastAsia"/>
          <w:kern w:val="0"/>
          <w:szCs w:val="21"/>
        </w:rPr>
        <w:t>系统</w:t>
      </w:r>
      <w:r>
        <w:rPr>
          <w:kern w:val="0"/>
          <w:szCs w:val="21"/>
        </w:rPr>
        <w:t>可用率大于99.9%</w:t>
      </w:r>
      <w:r>
        <w:rPr>
          <w:rFonts w:hint="eastAsia"/>
          <w:kern w:val="0"/>
          <w:szCs w:val="21"/>
        </w:rPr>
        <w:t>（全天</w:t>
      </w:r>
      <w:r>
        <w:rPr>
          <w:kern w:val="0"/>
          <w:szCs w:val="21"/>
        </w:rPr>
        <w:t>24</w:t>
      </w:r>
      <w:r>
        <w:rPr>
          <w:rFonts w:hint="eastAsia"/>
          <w:kern w:val="0"/>
          <w:szCs w:val="21"/>
        </w:rPr>
        <w:t>小时）</w:t>
      </w:r>
      <w:r>
        <w:rPr>
          <w:kern w:val="0"/>
          <w:szCs w:val="21"/>
        </w:rPr>
        <w:t>。</w:t>
      </w:r>
    </w:p>
    <w:p w14:paraId="3D826577">
      <w:pPr>
        <w:spacing w:line="360" w:lineRule="auto"/>
        <w:outlineLvl w:val="0"/>
        <w:rPr>
          <w:rFonts w:ascii="宋体" w:hAnsi="宋体" w:cs="宋体"/>
          <w:b/>
          <w:szCs w:val="21"/>
        </w:rPr>
      </w:pPr>
      <w:r>
        <w:rPr>
          <w:rFonts w:hint="eastAsia" w:ascii="宋体" w:hAnsi="宋体" w:cs="宋体"/>
          <w:b/>
          <w:szCs w:val="21"/>
        </w:rPr>
        <w:t>三、功能要求</w:t>
      </w:r>
    </w:p>
    <w:p w14:paraId="56F60C00">
      <w:pPr>
        <w:pStyle w:val="356"/>
        <w:numPr>
          <w:ilvl w:val="1"/>
          <w:numId w:val="0"/>
        </w:numPr>
        <w:spacing w:line="360" w:lineRule="auto"/>
      </w:pPr>
      <w:r>
        <w:rPr>
          <w:rFonts w:hint="eastAsia"/>
          <w:b/>
          <w:bCs/>
        </w:rPr>
        <w:t>★</w:t>
      </w:r>
      <w:r>
        <w:rPr>
          <w:rFonts w:hint="eastAsia"/>
        </w:rPr>
        <w:t>1)</w:t>
      </w:r>
      <w:r>
        <w:tab/>
      </w:r>
      <w:r>
        <w:rPr>
          <w:rFonts w:hint="eastAsia"/>
        </w:rPr>
        <w:t>功能要求：</w:t>
      </w:r>
    </w:p>
    <w:p w14:paraId="6F4E01B1">
      <w:pPr>
        <w:adjustRightInd w:val="0"/>
        <w:spacing w:line="360" w:lineRule="auto"/>
        <w:rPr>
          <w:kern w:val="0"/>
          <w:szCs w:val="21"/>
        </w:rPr>
      </w:pPr>
      <w:r>
        <w:rPr>
          <w:rFonts w:hint="eastAsia"/>
          <w:kern w:val="0"/>
          <w:szCs w:val="21"/>
        </w:rPr>
        <w:t>①话务平台-热线接入</w:t>
      </w:r>
    </w:p>
    <w:p w14:paraId="3A0F7F53">
      <w:pPr>
        <w:adjustRightInd w:val="0"/>
        <w:spacing w:line="360" w:lineRule="auto"/>
        <w:rPr>
          <w:kern w:val="0"/>
          <w:szCs w:val="21"/>
        </w:rPr>
      </w:pPr>
      <w:r>
        <w:rPr>
          <w:rFonts w:hint="eastAsia"/>
          <w:kern w:val="0"/>
          <w:szCs w:val="21"/>
        </w:rPr>
        <w:t>完成10090投诉专线及号码对现有省话务平台的接入工作，联调确保互联互通的准确性。</w:t>
      </w:r>
    </w:p>
    <w:p w14:paraId="1746E8BB">
      <w:pPr>
        <w:adjustRightInd w:val="0"/>
        <w:spacing w:line="360" w:lineRule="auto"/>
        <w:rPr>
          <w:kern w:val="0"/>
          <w:szCs w:val="21"/>
        </w:rPr>
      </w:pPr>
      <w:r>
        <w:rPr>
          <w:rFonts w:hint="eastAsia"/>
          <w:kern w:val="0"/>
          <w:szCs w:val="21"/>
        </w:rPr>
        <w:t>②话务平台-接话赋能</w:t>
      </w:r>
    </w:p>
    <w:p w14:paraId="64266385">
      <w:pPr>
        <w:tabs>
          <w:tab w:val="left" w:pos="18"/>
        </w:tabs>
        <w:adjustRightInd w:val="0"/>
        <w:spacing w:line="360" w:lineRule="auto"/>
      </w:pPr>
      <w:r>
        <w:tab/>
      </w:r>
      <w:r>
        <w:rPr>
          <w:rFonts w:hint="eastAsia"/>
        </w:rPr>
        <w:t>创建话务队列及策略、开发现有平台不具备的定制化功能如全网查询投诉单、特殊来话自动跳转、10090、10099IVR支持流程间跳转；新增路由策略；改造话务平台数据结构实现10090录音独立存储，以支持后续质检工作；并同步话务数据、开发10090相应可视化报表。</w:t>
      </w:r>
    </w:p>
    <w:p w14:paraId="0A2D5F7E">
      <w:pPr>
        <w:adjustRightInd w:val="0"/>
        <w:spacing w:line="360" w:lineRule="auto"/>
        <w:rPr>
          <w:kern w:val="0"/>
          <w:szCs w:val="21"/>
        </w:rPr>
      </w:pPr>
      <w:r>
        <w:rPr>
          <w:rFonts w:hint="eastAsia"/>
          <w:kern w:val="0"/>
          <w:szCs w:val="21"/>
        </w:rPr>
        <w:t>③客服系统-受理页面开发</w:t>
      </w:r>
    </w:p>
    <w:p w14:paraId="3A3BBCCE">
      <w:pPr>
        <w:adjustRightInd w:val="0"/>
        <w:spacing w:line="360" w:lineRule="auto"/>
        <w:rPr>
          <w:kern w:val="0"/>
          <w:szCs w:val="21"/>
        </w:rPr>
      </w:pPr>
      <w:r>
        <w:rPr>
          <w:rFonts w:hint="eastAsia"/>
          <w:kern w:val="0"/>
          <w:szCs w:val="21"/>
        </w:rPr>
        <w:t>在客服系统中工单受理功能新增10090投诉单受理模块，支持全网投诉记录查询及页面展示，生成工单增加“10090投诉单”标签，支持坐席在进行10090受理时，按照国网字段规范及业务部门定制化字段录入对应信息。</w:t>
      </w:r>
    </w:p>
    <w:p w14:paraId="148AA259">
      <w:pPr>
        <w:adjustRightInd w:val="0"/>
        <w:spacing w:line="360" w:lineRule="auto"/>
        <w:rPr>
          <w:kern w:val="0"/>
          <w:szCs w:val="21"/>
        </w:rPr>
      </w:pPr>
      <w:r>
        <w:rPr>
          <w:rFonts w:hint="eastAsia"/>
          <w:kern w:val="0"/>
          <w:szCs w:val="21"/>
        </w:rPr>
        <w:t>④客服系统-客服系统工单处理</w:t>
      </w:r>
    </w:p>
    <w:p w14:paraId="00D55FA0">
      <w:pPr>
        <w:adjustRightInd w:val="0"/>
        <w:spacing w:line="360" w:lineRule="auto"/>
        <w:rPr>
          <w:kern w:val="0"/>
          <w:szCs w:val="21"/>
        </w:rPr>
      </w:pPr>
      <w:r>
        <w:rPr>
          <w:rFonts w:hint="eastAsia"/>
          <w:kern w:val="0"/>
          <w:szCs w:val="21"/>
        </w:rPr>
        <w:t>完成对工单处理功能的改造，支持相关人员在进行工单处理时可按10090投诉工单条件查询工单，支持对国网、他省、本省普通投诉单的转派，开发外呼回访任务，支持坐席工单处理完成后的回访工作。</w:t>
      </w:r>
    </w:p>
    <w:p w14:paraId="59C92B49">
      <w:pPr>
        <w:adjustRightInd w:val="0"/>
        <w:spacing w:line="360" w:lineRule="auto"/>
        <w:rPr>
          <w:kern w:val="0"/>
          <w:szCs w:val="21"/>
        </w:rPr>
      </w:pPr>
      <w:r>
        <w:rPr>
          <w:rFonts w:hint="eastAsia"/>
          <w:kern w:val="0"/>
          <w:szCs w:val="21"/>
        </w:rPr>
        <w:t>⑤工单系统-工单时效性</w:t>
      </w:r>
    </w:p>
    <w:p w14:paraId="4C931B60">
      <w:pPr>
        <w:adjustRightInd w:val="0"/>
        <w:spacing w:line="360" w:lineRule="auto"/>
        <w:rPr>
          <w:kern w:val="0"/>
          <w:szCs w:val="21"/>
        </w:rPr>
      </w:pPr>
      <w:r>
        <w:rPr>
          <w:rFonts w:hint="eastAsia"/>
          <w:kern w:val="0"/>
          <w:szCs w:val="21"/>
        </w:rPr>
        <w:t>根据业务部门10090投诉处理时限要求，配置不同的投诉处理时效。并根据时效要求对投诉工单进行监控、提醒，增加对应报表。</w:t>
      </w:r>
    </w:p>
    <w:p w14:paraId="617AFEB2">
      <w:pPr>
        <w:adjustRightInd w:val="0"/>
        <w:spacing w:line="360" w:lineRule="auto"/>
        <w:rPr>
          <w:kern w:val="0"/>
          <w:szCs w:val="21"/>
        </w:rPr>
      </w:pPr>
      <w:r>
        <w:rPr>
          <w:rFonts w:hint="eastAsia"/>
          <w:kern w:val="0"/>
          <w:szCs w:val="21"/>
        </w:rPr>
        <w:t>⑥客服系统-外呼管理</w:t>
      </w:r>
    </w:p>
    <w:p w14:paraId="2B429489">
      <w:pPr>
        <w:adjustRightInd w:val="0"/>
        <w:spacing w:line="360" w:lineRule="auto"/>
        <w:rPr>
          <w:kern w:val="0"/>
          <w:szCs w:val="21"/>
        </w:rPr>
      </w:pPr>
      <w:r>
        <w:rPr>
          <w:rFonts w:hint="eastAsia"/>
          <w:kern w:val="0"/>
          <w:szCs w:val="21"/>
        </w:rPr>
        <w:t>在现有外呼功能的基础上，针对10090投诉用户工单定制开发外呼回访任务，定制精简回访话术。工单处理完成后，由工单受理坐席进行工单回访。</w:t>
      </w:r>
    </w:p>
    <w:p w14:paraId="6DE1F6E6">
      <w:pPr>
        <w:adjustRightInd w:val="0"/>
        <w:spacing w:line="360" w:lineRule="auto"/>
        <w:rPr>
          <w:kern w:val="0"/>
          <w:szCs w:val="21"/>
        </w:rPr>
      </w:pPr>
      <w:r>
        <w:rPr>
          <w:rFonts w:hint="eastAsia"/>
          <w:kern w:val="0"/>
          <w:szCs w:val="21"/>
        </w:rPr>
        <w:t>⑦运维工单系统-工单处理</w:t>
      </w:r>
    </w:p>
    <w:p w14:paraId="37CF7403">
      <w:pPr>
        <w:adjustRightInd w:val="0"/>
        <w:spacing w:line="360" w:lineRule="auto"/>
        <w:rPr>
          <w:kern w:val="0"/>
          <w:szCs w:val="21"/>
        </w:rPr>
      </w:pPr>
      <w:r>
        <w:rPr>
          <w:rFonts w:hint="eastAsia"/>
          <w:kern w:val="0"/>
          <w:szCs w:val="21"/>
        </w:rPr>
        <w:t>开发工单系统PC端、APP端投诉工单的工单流转流程。开发工单领取、受理、查询功能，优化工单报表，支持以10090投诉单条件领取、查询工单，支持报表查看。</w:t>
      </w:r>
    </w:p>
    <w:p w14:paraId="0E1F6FF7">
      <w:pPr>
        <w:adjustRightInd w:val="0"/>
        <w:spacing w:line="360" w:lineRule="auto"/>
        <w:rPr>
          <w:kern w:val="0"/>
          <w:szCs w:val="21"/>
        </w:rPr>
      </w:pPr>
      <w:r>
        <w:rPr>
          <w:rFonts w:hint="eastAsia"/>
          <w:kern w:val="0"/>
          <w:szCs w:val="21"/>
        </w:rPr>
        <w:t>完成对数据引擎中数据基础结构的调整，支持10090工单的数据存储和区分，便于进行更进一步的数据分析。</w:t>
      </w:r>
    </w:p>
    <w:p w14:paraId="636D05B8">
      <w:pPr>
        <w:pStyle w:val="2"/>
        <w:rPr>
          <w:kern w:val="0"/>
          <w:sz w:val="21"/>
          <w:szCs w:val="21"/>
        </w:rPr>
      </w:pPr>
      <w:r>
        <w:rPr>
          <w:rFonts w:hint="eastAsia"/>
          <w:kern w:val="0"/>
          <w:sz w:val="21"/>
          <w:szCs w:val="21"/>
        </w:rPr>
        <w:t>⑧外围系统对接</w:t>
      </w:r>
    </w:p>
    <w:p w14:paraId="1F0F0BAA">
      <w:pPr>
        <w:pStyle w:val="2"/>
        <w:rPr>
          <w:kern w:val="0"/>
          <w:sz w:val="21"/>
          <w:szCs w:val="21"/>
        </w:rPr>
      </w:pPr>
      <w:r>
        <w:rPr>
          <w:rFonts w:hint="eastAsia"/>
          <w:kern w:val="0"/>
          <w:sz w:val="21"/>
          <w:szCs w:val="21"/>
        </w:rPr>
        <w:t>根据外围系统接口要求，完成对外系统的对接工作，包含BOSS、电渠、一级客服、短信平台等。</w:t>
      </w:r>
    </w:p>
    <w:p w14:paraId="6BC76ABB">
      <w:pPr>
        <w:adjustRightInd w:val="0"/>
        <w:spacing w:line="360" w:lineRule="auto"/>
        <w:rPr>
          <w:rFonts w:ascii="宋体" w:hAnsi="宋体" w:cs="宋体"/>
          <w:b/>
          <w:szCs w:val="21"/>
        </w:rPr>
      </w:pPr>
      <w:r>
        <w:rPr>
          <w:rFonts w:hint="eastAsia" w:ascii="宋体" w:hAnsi="宋体" w:cs="宋体"/>
          <w:b/>
          <w:szCs w:val="21"/>
        </w:rPr>
        <w:t>四、数据安全要求</w:t>
      </w:r>
    </w:p>
    <w:p w14:paraId="6B0522D2">
      <w:pPr>
        <w:pStyle w:val="356"/>
        <w:numPr>
          <w:ilvl w:val="1"/>
          <w:numId w:val="0"/>
        </w:numPr>
        <w:spacing w:line="360" w:lineRule="auto"/>
      </w:pPr>
      <w:r>
        <w:rPr>
          <w:rFonts w:hint="eastAsia"/>
        </w:rPr>
        <w:t>★1）</w:t>
      </w:r>
      <w:r>
        <w:tab/>
      </w:r>
      <w:r>
        <w:t>独立子网，不与外网直接相连，所有的数据都保存在内网数据存储中，所有的数据通过内部通讯保存在内网的数据存储中。并对重要的信息进行MD5方式加密，例如用户信息、维护管理员账号密码等。</w:t>
      </w:r>
    </w:p>
    <w:p w14:paraId="2F0F7203">
      <w:pPr>
        <w:pStyle w:val="356"/>
        <w:numPr>
          <w:ilvl w:val="1"/>
          <w:numId w:val="0"/>
        </w:numPr>
        <w:spacing w:line="360" w:lineRule="auto"/>
      </w:pPr>
      <w:r>
        <w:t>数据导出时文件中增加导出人账号名称的水印。</w:t>
      </w:r>
    </w:p>
    <w:p w14:paraId="1DF341D5">
      <w:pPr>
        <w:pStyle w:val="356"/>
        <w:numPr>
          <w:ilvl w:val="1"/>
          <w:numId w:val="0"/>
        </w:numPr>
        <w:spacing w:line="360" w:lineRule="auto"/>
      </w:pPr>
      <w:r>
        <w:t>保留数据导出操作记录。</w:t>
      </w:r>
    </w:p>
    <w:p w14:paraId="245D3A73">
      <w:pPr>
        <w:pStyle w:val="356"/>
        <w:numPr>
          <w:ilvl w:val="1"/>
          <w:numId w:val="0"/>
        </w:numPr>
        <w:spacing w:line="360" w:lineRule="auto"/>
      </w:pPr>
      <w:r>
        <w:rPr>
          <w:rFonts w:hint="eastAsia"/>
        </w:rPr>
        <w:t>★2）</w:t>
      </w:r>
      <w:r>
        <w:tab/>
      </w:r>
      <w:r>
        <w:t>灾难备份</w:t>
      </w:r>
      <w:r>
        <w:rPr>
          <w:rFonts w:hint="eastAsia"/>
        </w:rPr>
        <w:t>：</w:t>
      </w:r>
      <w:r>
        <w:t>具备一定的抗灾难以及灾难恢复能力，重要服务器、重要部件、重要数据库应当采用本地双机备份的方式进行容灾保护。</w:t>
      </w:r>
    </w:p>
    <w:p w14:paraId="10471870">
      <w:pPr>
        <w:pStyle w:val="356"/>
        <w:numPr>
          <w:ilvl w:val="1"/>
          <w:numId w:val="0"/>
        </w:numPr>
        <w:spacing w:line="360" w:lineRule="auto"/>
      </w:pPr>
      <w:r>
        <w:t>应提供本地数据备份与恢复功能，完全数据备份至少每天一次，备份介质场外存放；应提供关键网络设备、通信线路和数据处理系统的硬件冗余，保证系统的可用性；应采用冗余技术设计网络拓扑结构，避免关键节点存在单点故障。</w:t>
      </w:r>
    </w:p>
    <w:p w14:paraId="378B08E9">
      <w:pPr>
        <w:pStyle w:val="356"/>
        <w:numPr>
          <w:ilvl w:val="1"/>
          <w:numId w:val="0"/>
        </w:numPr>
        <w:spacing w:line="360" w:lineRule="auto"/>
      </w:pPr>
      <w:r>
        <w:rPr>
          <w:rFonts w:hint="eastAsia"/>
        </w:rPr>
        <w:t>★3）</w:t>
      </w:r>
      <w:r>
        <w:tab/>
      </w:r>
      <w:r>
        <w:t>安全保障</w:t>
      </w:r>
    </w:p>
    <w:p w14:paraId="3B3A9B56">
      <w:pPr>
        <w:pStyle w:val="356"/>
        <w:numPr>
          <w:ilvl w:val="1"/>
          <w:numId w:val="0"/>
        </w:numPr>
        <w:spacing w:line="360" w:lineRule="auto"/>
      </w:pPr>
      <w:r>
        <w:rPr>
          <w:rFonts w:hint="eastAsia"/>
        </w:rPr>
        <w:t>投标人须保证：</w:t>
      </w:r>
    </w:p>
    <w:p w14:paraId="41994822">
      <w:pPr>
        <w:pStyle w:val="356"/>
        <w:numPr>
          <w:ilvl w:val="1"/>
          <w:numId w:val="0"/>
        </w:numPr>
        <w:spacing w:line="360" w:lineRule="auto"/>
      </w:pPr>
      <w:r>
        <w:t>不得擅自使用HUB、交换机、无线AP等网络设备对端口进行扩展。不得擅自对终端进行IP地址的设定或绑定。</w:t>
      </w:r>
    </w:p>
    <w:p w14:paraId="20A3C0BA">
      <w:pPr>
        <w:pStyle w:val="356"/>
        <w:numPr>
          <w:ilvl w:val="1"/>
          <w:numId w:val="0"/>
        </w:numPr>
        <w:spacing w:line="360" w:lineRule="auto"/>
      </w:pPr>
      <w:r>
        <w:t>为了保障甲方网络安全，应关注甲方发布的安全通告及防病毒软件版本，及时更新防病毒软件，及时更新办公设备系统安全补丁、修复系统漏洞。</w:t>
      </w:r>
    </w:p>
    <w:p w14:paraId="4E03889F">
      <w:pPr>
        <w:pStyle w:val="356"/>
        <w:numPr>
          <w:ilvl w:val="1"/>
          <w:numId w:val="0"/>
        </w:numPr>
        <w:spacing w:line="360" w:lineRule="auto"/>
      </w:pPr>
      <w:r>
        <w:t>对于非公开的信息，不谈论、不记录、不散布，由于工作需要在本地电脑中存储的数据，使用完毕后尽快删除；供开发、测试使用而打印出来的纸质数据，不放在桌面上、不加锁的抽屉里，使用完毕后及时销毁。</w:t>
      </w:r>
    </w:p>
    <w:p w14:paraId="0B6A8B99">
      <w:pPr>
        <w:pStyle w:val="356"/>
        <w:numPr>
          <w:ilvl w:val="1"/>
          <w:numId w:val="0"/>
        </w:numPr>
        <w:spacing w:line="360" w:lineRule="auto"/>
      </w:pPr>
      <w:r>
        <w:t>禁止向任何人或单位泄露涉及甲方的保密信息、数据，严禁在公开场合讨论涉及甲方业务的内容，严格遵守与甲方签订的保密协议。</w:t>
      </w:r>
    </w:p>
    <w:p w14:paraId="01E15879">
      <w:pPr>
        <w:pStyle w:val="356"/>
        <w:numPr>
          <w:ilvl w:val="1"/>
          <w:numId w:val="0"/>
        </w:numPr>
        <w:spacing w:line="360" w:lineRule="auto"/>
      </w:pPr>
      <w:r>
        <w:t>严格按照服务合同中签订的保密条款的相关规定和要求执行，以保证企业利益不受损害，企业秘密得到保护。未经书面授权，乙方不得以任何方式向任何其他组织或个人泄露、转让、许可使用、交换、赠与保密信息。违反保密条款造成的损失将负相应法律责任。</w:t>
      </w:r>
    </w:p>
    <w:p w14:paraId="293C0F98">
      <w:pPr>
        <w:spacing w:line="360" w:lineRule="auto"/>
        <w:outlineLvl w:val="0"/>
        <w:rPr>
          <w:rFonts w:ascii="宋体" w:hAnsi="宋体" w:cs="宋体"/>
          <w:b/>
          <w:szCs w:val="21"/>
        </w:rPr>
      </w:pPr>
      <w:r>
        <w:rPr>
          <w:rFonts w:hint="eastAsia" w:ascii="宋体" w:hAnsi="宋体" w:cs="宋体"/>
          <w:b/>
          <w:szCs w:val="21"/>
        </w:rPr>
        <w:t>五、实施要求</w:t>
      </w:r>
    </w:p>
    <w:p w14:paraId="5945D1F8">
      <w:pPr>
        <w:adjustRightInd w:val="0"/>
        <w:spacing w:line="360" w:lineRule="auto"/>
      </w:pPr>
      <w:r>
        <w:rPr>
          <w:rFonts w:hint="eastAsia"/>
          <w:color w:val="000000" w:themeColor="text1"/>
          <w:kern w:val="0"/>
          <w:szCs w:val="21"/>
          <w14:textFill>
            <w14:solidFill>
              <w14:schemeClr w14:val="tx1"/>
            </w14:solidFill>
          </w14:textFill>
        </w:rPr>
        <w:t>★本项目要求合同签订后30个自然日内完成系统部署、对接，对应接口</w:t>
      </w:r>
      <w:r>
        <w:t>支持并发</w:t>
      </w:r>
      <w:r>
        <w:rPr>
          <w:rFonts w:hint="eastAsia"/>
        </w:rPr>
        <w:t>≥</w:t>
      </w:r>
      <w:r>
        <w:t>1000</w:t>
      </w:r>
      <w:r>
        <w:rPr>
          <w:rFonts w:hint="eastAsia"/>
        </w:rPr>
        <w:t>，</w:t>
      </w:r>
      <w:r>
        <w:t>支持单</w:t>
      </w:r>
      <w:r>
        <w:rPr>
          <w:rFonts w:hint="eastAsia"/>
        </w:rPr>
        <w:t>、多</w:t>
      </w:r>
      <w:r>
        <w:t>条记录的上传、查询</w:t>
      </w:r>
      <w:r>
        <w:rPr>
          <w:rFonts w:hint="eastAsia"/>
        </w:rPr>
        <w:t>，</w:t>
      </w:r>
      <w:r>
        <w:t>单次简单查询响应时间要求</w:t>
      </w:r>
      <w:r>
        <w:rPr>
          <w:rFonts w:hint="eastAsia"/>
        </w:rPr>
        <w:t>≤3秒，</w:t>
      </w:r>
      <w:r>
        <w:t>单次复杂查询时间要求</w:t>
      </w:r>
      <w:r>
        <w:rPr>
          <w:rFonts w:hint="eastAsia"/>
        </w:rPr>
        <w:t>≤5秒，</w:t>
      </w:r>
      <w:r>
        <w:t>批量简单查询响应时间</w:t>
      </w:r>
      <w:r>
        <w:rPr>
          <w:rFonts w:hint="eastAsia"/>
        </w:rPr>
        <w:t>≤</w:t>
      </w:r>
      <w:r>
        <w:t>30秒</w:t>
      </w:r>
      <w:r>
        <w:rPr>
          <w:rFonts w:hint="eastAsia"/>
        </w:rPr>
        <w:t>，</w:t>
      </w:r>
      <w:r>
        <w:t>批量复杂查询时</w:t>
      </w:r>
      <w:r>
        <w:rPr>
          <w:rFonts w:hint="eastAsia"/>
        </w:rPr>
        <w:t>≤1分钟</w:t>
      </w:r>
      <w:r>
        <w:t>。</w:t>
      </w:r>
    </w:p>
    <w:p w14:paraId="6FB399CE">
      <w:pPr>
        <w:spacing w:line="360" w:lineRule="auto"/>
        <w:outlineLvl w:val="0"/>
        <w:rPr>
          <w:rFonts w:ascii="宋体" w:hAnsi="宋体" w:cs="宋体"/>
          <w:b/>
          <w:szCs w:val="21"/>
        </w:rPr>
      </w:pPr>
      <w:r>
        <w:rPr>
          <w:rFonts w:hint="eastAsia" w:ascii="宋体" w:hAnsi="宋体" w:cs="宋体"/>
          <w:b/>
          <w:szCs w:val="21"/>
        </w:rPr>
        <w:t>六、服务要求</w:t>
      </w:r>
    </w:p>
    <w:p w14:paraId="081F50F6">
      <w:pPr>
        <w:pStyle w:val="356"/>
        <w:numPr>
          <w:ilvl w:val="1"/>
          <w:numId w:val="0"/>
        </w:numPr>
        <w:spacing w:line="360" w:lineRule="auto"/>
      </w:pPr>
      <w:r>
        <w:rPr>
          <w:rFonts w:hint="eastAsia"/>
        </w:rPr>
        <w:t>★1）</w:t>
      </w:r>
      <w:r>
        <w:tab/>
      </w:r>
      <w:r>
        <w:t>技术服务</w:t>
      </w:r>
    </w:p>
    <w:p w14:paraId="25EE3E44">
      <w:pPr>
        <w:pStyle w:val="356"/>
        <w:numPr>
          <w:ilvl w:val="1"/>
          <w:numId w:val="0"/>
        </w:numPr>
        <w:spacing w:line="360" w:lineRule="auto"/>
      </w:pPr>
      <w:r>
        <w:t>1、投标人说明在国内的工程技术队伍和机构情况和服务模式，并详细说明技术指导和技术支持的程度。</w:t>
      </w:r>
    </w:p>
    <w:p w14:paraId="493F9AE9">
      <w:pPr>
        <w:pStyle w:val="356"/>
        <w:numPr>
          <w:ilvl w:val="1"/>
          <w:numId w:val="0"/>
        </w:numPr>
        <w:spacing w:line="360" w:lineRule="auto"/>
      </w:pPr>
      <w:r>
        <w:t>2、投标人应对其在中国的售后服务、技术支持方面的情况作出说明。在中国有无技术支持中心，地点设在何处。投标人应能提供7</w:t>
      </w:r>
      <w:r>
        <w:rPr/>
        <w:sym w:font="Symbol" w:char="F0B4"/>
      </w:r>
      <w:r>
        <w:t>24小时的技术服务。</w:t>
      </w:r>
    </w:p>
    <w:p w14:paraId="4CB3B3F6">
      <w:pPr>
        <w:pStyle w:val="356"/>
        <w:numPr>
          <w:ilvl w:val="1"/>
          <w:numId w:val="0"/>
        </w:numPr>
        <w:spacing w:line="360" w:lineRule="auto"/>
      </w:pPr>
      <w:r>
        <w:t>本</w:t>
      </w:r>
      <w:r>
        <w:rPr>
          <w:rFonts w:hint="eastAsia"/>
        </w:rPr>
        <w:t>项目</w:t>
      </w:r>
      <w:r>
        <w:t>技术服务要求如下：</w:t>
      </w:r>
    </w:p>
    <w:p w14:paraId="5103393C">
      <w:pPr>
        <w:pStyle w:val="356"/>
        <w:numPr>
          <w:ilvl w:val="1"/>
          <w:numId w:val="0"/>
        </w:numPr>
        <w:spacing w:line="360" w:lineRule="auto"/>
      </w:pPr>
      <w:r>
        <w:t>(1)响应时限：紧急情况10分钟内电话响应，其余情况一小时内响应。</w:t>
      </w:r>
    </w:p>
    <w:p w14:paraId="1D0D13D1">
      <w:pPr>
        <w:pStyle w:val="356"/>
        <w:numPr>
          <w:ilvl w:val="1"/>
          <w:numId w:val="0"/>
        </w:numPr>
        <w:spacing w:line="360" w:lineRule="auto"/>
      </w:pPr>
      <w:r>
        <w:t>(2)软件升级服务：提供软件升级包、补丁及相关文档，现场实施软件升级。</w:t>
      </w:r>
    </w:p>
    <w:p w14:paraId="2C9E4F11">
      <w:pPr>
        <w:pStyle w:val="356"/>
        <w:numPr>
          <w:ilvl w:val="1"/>
          <w:numId w:val="0"/>
        </w:numPr>
        <w:spacing w:line="360" w:lineRule="auto"/>
      </w:pPr>
      <w:r>
        <w:t>(3)现场服务：紧急情况立即赶往现场，市区4小时内到达，省内8小时到达；要求提供软件升级现场服务和硬件更换现场服务；对于替换硬件要求紧急情况24小时内到达，普通情况两周内到达。</w:t>
      </w:r>
    </w:p>
    <w:p w14:paraId="3FEC99A4">
      <w:pPr>
        <w:pStyle w:val="356"/>
        <w:numPr>
          <w:ilvl w:val="1"/>
          <w:numId w:val="0"/>
        </w:numPr>
        <w:spacing w:line="360" w:lineRule="auto"/>
      </w:pPr>
      <w:r>
        <w:t>(4)解决方案发出时限：紧急情况一小时发出，普通情况两天发出。</w:t>
      </w:r>
    </w:p>
    <w:p w14:paraId="2D64A8EB">
      <w:pPr>
        <w:pStyle w:val="356"/>
        <w:numPr>
          <w:ilvl w:val="1"/>
          <w:numId w:val="0"/>
        </w:numPr>
        <w:spacing w:line="360" w:lineRule="auto"/>
      </w:pPr>
      <w:r>
        <w:t>(5)紧急情况定义：系统中断或存在中断隐患，承载的某项省网业务中断或存在中断隐患。</w:t>
      </w:r>
    </w:p>
    <w:p w14:paraId="0499853F">
      <w:pPr>
        <w:pStyle w:val="356"/>
        <w:numPr>
          <w:ilvl w:val="1"/>
          <w:numId w:val="0"/>
        </w:numPr>
        <w:spacing w:line="360" w:lineRule="auto"/>
      </w:pPr>
      <w:r>
        <w:t>3、投标人应提供设备安装调试时所需的工程设计资料，投标人有责任在保证安全和质量的前提下提供技术服务，包括技术咨询、技术资料等。在试运行期间，要求投标人至少设有3个专职技术支持和1个专职测试人员。</w:t>
      </w:r>
    </w:p>
    <w:p w14:paraId="7BCA13B2">
      <w:pPr>
        <w:pStyle w:val="356"/>
        <w:numPr>
          <w:ilvl w:val="1"/>
          <w:numId w:val="0"/>
        </w:numPr>
        <w:spacing w:line="360" w:lineRule="auto"/>
      </w:pPr>
      <w:r>
        <w:t>在安装和系统调测期间，招标方有权派出技术人员参加，投标人有义务对其进行指导。</w:t>
      </w:r>
    </w:p>
    <w:p w14:paraId="687D8E36">
      <w:pPr>
        <w:pStyle w:val="356"/>
        <w:numPr>
          <w:ilvl w:val="1"/>
          <w:numId w:val="0"/>
        </w:numPr>
        <w:spacing w:line="360" w:lineRule="auto"/>
      </w:pPr>
      <w:r>
        <w:t>4、投标人应根据合同规定将要安装和调试资料提前一个月单独发往安装现场，资料应一式两份。</w:t>
      </w:r>
    </w:p>
    <w:p w14:paraId="7A0964C9">
      <w:pPr>
        <w:pStyle w:val="356"/>
        <w:numPr>
          <w:ilvl w:val="1"/>
          <w:numId w:val="0"/>
        </w:numPr>
        <w:spacing w:line="360" w:lineRule="auto"/>
      </w:pPr>
      <w:r>
        <w:t>5、投标人在设备包修期内，如对系统软件有所改进、增加新功能以及适应国际新建议所做的修改，均应及时免费提供给招标方使用，并免费提供相应的技术文件。由于软件升级而引起的相应的硬件更换，由投标人负责免费更改。</w:t>
      </w:r>
    </w:p>
    <w:p w14:paraId="0B1606CF">
      <w:pPr>
        <w:pStyle w:val="356"/>
        <w:numPr>
          <w:ilvl w:val="1"/>
          <w:numId w:val="0"/>
        </w:numPr>
        <w:spacing w:line="360" w:lineRule="auto"/>
      </w:pPr>
      <w:r>
        <w:t>6、在网络和设备扩容及软件升级时，设备厂商应派技术人员到场指导。</w:t>
      </w:r>
    </w:p>
    <w:p w14:paraId="07FC6F8C">
      <w:pPr>
        <w:pStyle w:val="356"/>
        <w:numPr>
          <w:ilvl w:val="1"/>
          <w:numId w:val="0"/>
        </w:numPr>
        <w:spacing w:line="360" w:lineRule="auto"/>
      </w:pPr>
      <w:r>
        <w:t>7、投标人应提供技术服务流程，技术服务内容和价格清单，若包修期内与包修期外不同，则应分别列出。</w:t>
      </w:r>
    </w:p>
    <w:p w14:paraId="68C59633">
      <w:pPr>
        <w:pStyle w:val="356"/>
        <w:numPr>
          <w:ilvl w:val="1"/>
          <w:numId w:val="0"/>
        </w:numPr>
        <w:spacing w:line="360" w:lineRule="auto"/>
      </w:pPr>
      <w:r>
        <w:t>8、在合同签订后的适当时候，将召开一个双方参加的工程联络会，检查在技术配合、双方执行合同方面的进展情况，并解决预料之外问题。联络会时间、地点待定，投标人可在进度排中提出建议。</w:t>
      </w:r>
    </w:p>
    <w:p w14:paraId="0657F4A7">
      <w:pPr>
        <w:pStyle w:val="356"/>
        <w:numPr>
          <w:ilvl w:val="1"/>
          <w:numId w:val="0"/>
        </w:numPr>
        <w:spacing w:line="360" w:lineRule="auto"/>
      </w:pPr>
      <w:r>
        <w:t>9、对于设备提供商应配合系统集成商完成网络的设备安装、调试、验收、开通、试运行及保修等技术服务。双方需向招标方提供工程分工界面图及说明。</w:t>
      </w:r>
    </w:p>
    <w:p w14:paraId="77ABA5E3">
      <w:pPr>
        <w:pStyle w:val="356"/>
        <w:numPr>
          <w:ilvl w:val="1"/>
          <w:numId w:val="0"/>
        </w:numPr>
        <w:spacing w:line="360" w:lineRule="auto"/>
      </w:pPr>
      <w:r>
        <w:rPr>
          <w:rFonts w:hint="eastAsia"/>
        </w:rPr>
        <w:t>2）</w:t>
      </w:r>
      <w:r>
        <w:tab/>
      </w:r>
      <w:r>
        <w:t>定期平台巡检机制</w:t>
      </w:r>
    </w:p>
    <w:p w14:paraId="6A1AD215">
      <w:pPr>
        <w:pStyle w:val="356"/>
        <w:numPr>
          <w:ilvl w:val="1"/>
          <w:numId w:val="0"/>
        </w:numPr>
        <w:spacing w:line="360" w:lineRule="auto"/>
      </w:pPr>
      <w:r>
        <w:t>投标人每个季度以及各重大安全保障期之前，都需提供相关业务平台的业务巡检报告，排查系统BUG或系统隐患，特别是系统的安全漏洞扫描，并提供自检报告。</w:t>
      </w:r>
    </w:p>
    <w:p w14:paraId="38CDC8ED">
      <w:pPr>
        <w:pStyle w:val="356"/>
        <w:numPr>
          <w:ilvl w:val="1"/>
          <w:numId w:val="0"/>
        </w:numPr>
        <w:spacing w:line="360" w:lineRule="auto"/>
      </w:pPr>
      <w:r>
        <w:rPr>
          <w:rFonts w:hint="eastAsia"/>
        </w:rPr>
        <w:t>3）</w:t>
      </w:r>
      <w:r>
        <w:tab/>
      </w:r>
      <w:r>
        <w:t>系统值班保障制度</w:t>
      </w:r>
    </w:p>
    <w:p w14:paraId="6E10B596">
      <w:pPr>
        <w:pStyle w:val="356"/>
        <w:numPr>
          <w:ilvl w:val="1"/>
          <w:numId w:val="0"/>
        </w:numPr>
        <w:spacing w:line="360" w:lineRule="auto"/>
      </w:pPr>
      <w:r>
        <w:t>（1）投标人在各重大安全保障期以及系统升级更新后的安全保障期内，需根据采购人的实际要求，提供现场或远程的值班保障。</w:t>
      </w:r>
    </w:p>
    <w:p w14:paraId="51EC3821">
      <w:pPr>
        <w:pStyle w:val="356"/>
        <w:numPr>
          <w:ilvl w:val="1"/>
          <w:numId w:val="0"/>
        </w:numPr>
        <w:spacing w:line="360" w:lineRule="auto"/>
      </w:pPr>
      <w:r>
        <w:t>（2）如采取远程值班保障，项目经理及值班人员需保证电话24小时畅通，按照值班要求，做好业务监控。</w:t>
      </w:r>
    </w:p>
    <w:p w14:paraId="4ABAE6FE">
      <w:pPr>
        <w:pStyle w:val="356"/>
        <w:numPr>
          <w:ilvl w:val="1"/>
          <w:numId w:val="0"/>
        </w:numPr>
        <w:spacing w:line="360" w:lineRule="auto"/>
      </w:pPr>
      <w:r>
        <w:rPr>
          <w:rFonts w:hint="eastAsia"/>
        </w:rPr>
        <w:t>2）</w:t>
      </w:r>
      <w:r>
        <w:tab/>
      </w:r>
      <w:r>
        <w:t>系统技术支持</w:t>
      </w:r>
    </w:p>
    <w:p w14:paraId="0F79ECD0">
      <w:pPr>
        <w:pStyle w:val="356"/>
        <w:numPr>
          <w:ilvl w:val="1"/>
          <w:numId w:val="0"/>
        </w:numPr>
        <w:spacing w:line="360" w:lineRule="auto"/>
      </w:pPr>
      <w:r>
        <w:t>投标人在工作日内，需提供第一时间的技术支持，耐心解决系统各项问题。</w:t>
      </w:r>
    </w:p>
    <w:p w14:paraId="39D3B9D3">
      <w:pPr>
        <w:pStyle w:val="356"/>
        <w:numPr>
          <w:ilvl w:val="1"/>
          <w:numId w:val="0"/>
        </w:numPr>
        <w:spacing w:line="360" w:lineRule="auto"/>
      </w:pPr>
      <w:r>
        <w:rPr>
          <w:rFonts w:hint="eastAsia"/>
        </w:rPr>
        <w:t>3）</w:t>
      </w:r>
      <w:r>
        <w:tab/>
      </w:r>
      <w:r>
        <w:t>系统故障处理机制</w:t>
      </w:r>
    </w:p>
    <w:p w14:paraId="0C0CD89B">
      <w:pPr>
        <w:pStyle w:val="356"/>
        <w:numPr>
          <w:ilvl w:val="1"/>
          <w:numId w:val="0"/>
        </w:numPr>
        <w:spacing w:line="360" w:lineRule="auto"/>
      </w:pPr>
      <w:r>
        <w:t>当系统出现故障，需要投标人第一时间配合解决。当系统故障应急处理后，投标人需要在24小时内，提供系统监控办法以及应急处理机制，避免系统故障对用户的影响，明确告知系统故障原因和解决办法，提供详细的故障报告及升级措施。</w:t>
      </w:r>
    </w:p>
    <w:p w14:paraId="113F107C">
      <w:pPr>
        <w:pStyle w:val="356"/>
        <w:numPr>
          <w:ilvl w:val="1"/>
          <w:numId w:val="0"/>
        </w:numPr>
        <w:spacing w:line="360" w:lineRule="auto"/>
      </w:pPr>
      <w:r>
        <w:rPr>
          <w:rFonts w:hint="eastAsia"/>
        </w:rPr>
        <w:t>★4）</w:t>
      </w:r>
      <w:r>
        <w:tab/>
      </w:r>
      <w:r>
        <w:t>其他要求</w:t>
      </w:r>
    </w:p>
    <w:p w14:paraId="1B3D3BAE">
      <w:pPr>
        <w:pStyle w:val="356"/>
        <w:numPr>
          <w:ilvl w:val="1"/>
          <w:numId w:val="0"/>
        </w:numPr>
        <w:spacing w:line="360" w:lineRule="auto"/>
      </w:pPr>
      <w:r>
        <w:t>（1）投标人应提供经招标人认可的详细需求分析报告、总体设计、应用程序结构等应用软件相关文档。以后投标人对文档的修改也应该有相应的文件提交招标人。</w:t>
      </w:r>
    </w:p>
    <w:p w14:paraId="0D7986AF">
      <w:pPr>
        <w:pStyle w:val="356"/>
        <w:numPr>
          <w:ilvl w:val="1"/>
          <w:numId w:val="0"/>
        </w:numPr>
        <w:spacing w:line="360" w:lineRule="auto"/>
      </w:pPr>
      <w:r>
        <w:t>（2）若出现由于投标人提供的应用软件系统不满足要求或其所提供的技术支持和服务不全面而导致系统功能无法实现或不能完全实现，由投标人负全部责任。</w:t>
      </w:r>
    </w:p>
    <w:p w14:paraId="6BFE2D5F">
      <w:pPr>
        <w:pStyle w:val="356"/>
        <w:numPr>
          <w:ilvl w:val="1"/>
          <w:numId w:val="0"/>
        </w:numPr>
        <w:spacing w:line="360" w:lineRule="auto"/>
      </w:pPr>
      <w:r>
        <w:t>（3）投标人应确保提供长期技术支持。在包修期内，如招标人要求对软件有新的改进、完善、网元升级等，投标人均应及时对应用软件系统进行修改。</w:t>
      </w:r>
    </w:p>
    <w:p w14:paraId="115E63BB">
      <w:pPr>
        <w:pStyle w:val="356"/>
        <w:numPr>
          <w:ilvl w:val="1"/>
          <w:numId w:val="0"/>
        </w:numPr>
        <w:spacing w:line="360" w:lineRule="auto"/>
      </w:pPr>
      <w:r>
        <w:t>（4）投标人应开放数据库结构，配合并支持招标人的二次开发。</w:t>
      </w:r>
    </w:p>
    <w:p w14:paraId="24F84BB2">
      <w:pPr>
        <w:pStyle w:val="356"/>
        <w:numPr>
          <w:ilvl w:val="1"/>
          <w:numId w:val="0"/>
        </w:numPr>
        <w:spacing w:line="360" w:lineRule="auto"/>
      </w:pPr>
      <w:r>
        <w:t>（5）应用软件版权归招标人所有。未经招标人许可，投标人不得以任何形式翻录、拷贝或提供全部或部分给任何人使用。</w:t>
      </w:r>
    </w:p>
    <w:p w14:paraId="5D384894">
      <w:pPr>
        <w:pStyle w:val="356"/>
        <w:numPr>
          <w:ilvl w:val="1"/>
          <w:numId w:val="0"/>
        </w:numPr>
        <w:spacing w:line="360" w:lineRule="auto"/>
      </w:pPr>
      <w:r>
        <w:t>（6）投标人使用的开发工具以及提供给招标人的系统软件，必须为正版软件，严禁使用盗版软件，并禁止以盗版软件作为开发工具提供给招标人。</w:t>
      </w:r>
    </w:p>
    <w:p w14:paraId="75DF7416">
      <w:pPr>
        <w:pStyle w:val="356"/>
        <w:numPr>
          <w:ilvl w:val="1"/>
          <w:numId w:val="0"/>
        </w:numPr>
        <w:spacing w:line="360" w:lineRule="auto"/>
      </w:pPr>
      <w:r>
        <w:t>（7）凡系统中使用的互联网上提供的控件、API、动态库等必须具有相应的安全数字签名，必须经过严格的测试并提供详细的软件说明才可应用到系统软件中，严禁私自使用未经认证的免费资源。</w:t>
      </w:r>
    </w:p>
    <w:p w14:paraId="73E5FAD4">
      <w:pPr>
        <w:pStyle w:val="356"/>
        <w:numPr>
          <w:ilvl w:val="1"/>
          <w:numId w:val="0"/>
        </w:numPr>
        <w:spacing w:line="360" w:lineRule="auto"/>
      </w:pPr>
      <w:r>
        <w:t>（8）如果涉及到需要注册的共享软件，必须经过正当途径注册之后才可应用到系统软件中，并对后续的继续使用的费用</w:t>
      </w:r>
      <w:r>
        <w:rPr>
          <w:rFonts w:hint="eastAsia"/>
        </w:rPr>
        <w:t>做出</w:t>
      </w:r>
      <w:r>
        <w:t>详细说明，严禁私自使用破解软件将破解之后的软件应用到系统软件中。</w:t>
      </w:r>
    </w:p>
    <w:p w14:paraId="545EBEFE">
      <w:pPr>
        <w:pStyle w:val="356"/>
        <w:numPr>
          <w:ilvl w:val="1"/>
          <w:numId w:val="0"/>
        </w:numPr>
        <w:spacing w:line="360" w:lineRule="auto"/>
      </w:pPr>
      <w:r>
        <w:t>（9）可扩展性：从系统结构，功能设计，管理对象，直到软硬件平台的可扩展性。随着移动网络的扩展，管理功能的增加以及管理网络的演进，要求系统必须具有灵活的扩展性。</w:t>
      </w:r>
    </w:p>
    <w:p w14:paraId="3D4D7AC2">
      <w:pPr>
        <w:pStyle w:val="356"/>
        <w:numPr>
          <w:ilvl w:val="1"/>
          <w:numId w:val="0"/>
        </w:numPr>
        <w:spacing w:line="360" w:lineRule="auto"/>
      </w:pPr>
      <w:r>
        <w:t>（10）系统平滑升级：系统应实现版本化管理，支持软件版本的延续性，新版本应具有向下兼容原有版本的能力；系统提供网络容量扩展的情况下平滑过渡升级的能力，系统版本升级应不影响原有系统的核心功能。</w:t>
      </w:r>
    </w:p>
    <w:p w14:paraId="400DB064">
      <w:pPr>
        <w:pStyle w:val="356"/>
        <w:numPr>
          <w:ilvl w:val="1"/>
          <w:numId w:val="0"/>
        </w:numPr>
        <w:spacing w:line="360" w:lineRule="auto"/>
      </w:pPr>
      <w:r>
        <w:t>（11）投标人应确保其技术建议的可行性。若出现由于投标人提供的应用软件不满足要求或其所提供的技术支持和服务不全面而导致系统功能无法实现或不能完全实现，由投标人无偿补足，并负全部责任。</w:t>
      </w:r>
    </w:p>
    <w:p w14:paraId="47515948">
      <w:pPr>
        <w:pStyle w:val="356"/>
        <w:numPr>
          <w:ilvl w:val="1"/>
          <w:numId w:val="0"/>
        </w:numPr>
        <w:spacing w:line="360" w:lineRule="auto"/>
      </w:pPr>
      <w:r>
        <w:t>（12）由投标人原因造成的工期延误等损失，均由投标人赔偿给招标人。</w:t>
      </w:r>
    </w:p>
    <w:p w14:paraId="2E901E59">
      <w:pPr>
        <w:pStyle w:val="356"/>
        <w:numPr>
          <w:ilvl w:val="1"/>
          <w:numId w:val="0"/>
        </w:numPr>
        <w:spacing w:line="360" w:lineRule="auto"/>
      </w:pPr>
      <w:r>
        <w:t>（13）投标人应保证不同时期提供的应用软件产品兼容。</w:t>
      </w:r>
    </w:p>
    <w:p w14:paraId="1FED5B3B">
      <w:pPr>
        <w:pStyle w:val="2"/>
        <w:ind w:firstLine="840"/>
      </w:pPr>
    </w:p>
    <w:p w14:paraId="569C8402">
      <w:pPr>
        <w:rPr>
          <w:rFonts w:ascii="宋体" w:hAnsi="宋体"/>
          <w:b/>
          <w:sz w:val="24"/>
        </w:rPr>
      </w:pPr>
      <w:r>
        <w:rPr>
          <w:rFonts w:hint="eastAsia" w:ascii="宋体" w:hAnsi="宋体"/>
          <w:b/>
          <w:sz w:val="24"/>
        </w:rPr>
        <w:br w:type="page"/>
      </w:r>
    </w:p>
    <w:p w14:paraId="4F0143C9">
      <w:pPr>
        <w:pStyle w:val="3"/>
        <w:numPr>
          <w:ilvl w:val="0"/>
          <w:numId w:val="0"/>
        </w:numPr>
        <w:spacing w:line="360" w:lineRule="auto"/>
        <w:rPr>
          <w:b/>
          <w:sz w:val="36"/>
          <w:szCs w:val="36"/>
        </w:rPr>
      </w:pPr>
      <w:r>
        <w:rPr>
          <w:rFonts w:hint="eastAsia"/>
          <w:b/>
          <w:sz w:val="36"/>
          <w:szCs w:val="36"/>
        </w:rPr>
        <w:t>第六章竞争性谈判响应文件格式</w:t>
      </w:r>
      <w:bookmarkEnd w:id="46"/>
    </w:p>
    <w:p w14:paraId="1D71776F"/>
    <w:p w14:paraId="0A62370A"/>
    <w:p w14:paraId="780F44C2"/>
    <w:p w14:paraId="307A393E"/>
    <w:p w14:paraId="2667261E"/>
    <w:p w14:paraId="3C0A1019"/>
    <w:p w14:paraId="5B7F2BB0"/>
    <w:p w14:paraId="60DAE5FA">
      <w:pPr>
        <w:jc w:val="center"/>
        <w:rPr>
          <w:rFonts w:ascii="宋体" w:hAnsi="宋体"/>
          <w:sz w:val="44"/>
          <w:szCs w:val="44"/>
        </w:rPr>
      </w:pPr>
      <w:bookmarkStart w:id="48" w:name="_Toc26259736"/>
      <w:r>
        <w:rPr>
          <w:rFonts w:hint="eastAsia" w:ascii="宋体" w:hAnsi="宋体"/>
          <w:sz w:val="44"/>
          <w:szCs w:val="44"/>
        </w:rPr>
        <w:t>江苏省广电有线信息网络股份有限公司</w:t>
      </w:r>
    </w:p>
    <w:bookmarkEnd w:id="48"/>
    <w:p w14:paraId="4C11540C">
      <w:pPr>
        <w:spacing w:after="120" w:line="360" w:lineRule="auto"/>
        <w:jc w:val="center"/>
        <w:rPr>
          <w:rFonts w:ascii="宋体" w:hAnsi="宋体"/>
          <w:sz w:val="44"/>
          <w:szCs w:val="44"/>
        </w:rPr>
      </w:pPr>
      <w:r>
        <w:rPr>
          <w:rFonts w:hint="eastAsia" w:ascii="宋体" w:hAnsi="宋体"/>
          <w:sz w:val="44"/>
          <w:szCs w:val="44"/>
        </w:rPr>
        <w:t>10090服务质量监督热线建设</w:t>
      </w:r>
    </w:p>
    <w:p w14:paraId="0BD08367"/>
    <w:p w14:paraId="05ADF6B4">
      <w:pPr>
        <w:pStyle w:val="2"/>
        <w:kinsoku w:val="0"/>
        <w:overflowPunct w:val="0"/>
        <w:adjustRightInd w:val="0"/>
        <w:snapToGrid w:val="0"/>
        <w:spacing w:beforeLines="100" w:afterLines="100"/>
        <w:ind w:left="210" w:leftChars="100" w:right="210" w:rightChars="100" w:firstLine="400" w:firstLineChars="200"/>
        <w:jc w:val="left"/>
        <w:rPr>
          <w:sz w:val="20"/>
        </w:rPr>
      </w:pPr>
    </w:p>
    <w:p w14:paraId="694C4CA6">
      <w:pPr>
        <w:pStyle w:val="2"/>
        <w:adjustRightInd w:val="0"/>
        <w:snapToGrid w:val="0"/>
        <w:spacing w:beforeLines="100" w:afterLines="100"/>
        <w:ind w:left="210" w:leftChars="100" w:right="210" w:rightChars="100" w:firstLine="1440" w:firstLineChars="300"/>
        <w:rPr>
          <w:sz w:val="48"/>
          <w:szCs w:val="48"/>
        </w:rPr>
      </w:pPr>
      <w:r>
        <w:rPr>
          <w:rFonts w:hint="eastAsia"/>
          <w:sz w:val="48"/>
          <w:szCs w:val="48"/>
        </w:rPr>
        <w:t>竞争性谈判响应文件</w:t>
      </w:r>
    </w:p>
    <w:p w14:paraId="481822DC">
      <w:pPr>
        <w:pStyle w:val="2"/>
        <w:kinsoku w:val="0"/>
        <w:overflowPunct w:val="0"/>
        <w:adjustRightInd w:val="0"/>
        <w:snapToGrid w:val="0"/>
        <w:spacing w:beforeLines="100" w:afterLines="100"/>
        <w:ind w:left="210" w:leftChars="100" w:right="210" w:rightChars="100" w:firstLine="880" w:firstLineChars="200"/>
        <w:jc w:val="left"/>
        <w:rPr>
          <w:sz w:val="44"/>
          <w:szCs w:val="44"/>
        </w:rPr>
      </w:pPr>
    </w:p>
    <w:p w14:paraId="41D9EF14">
      <w:pPr>
        <w:pStyle w:val="2"/>
        <w:kinsoku w:val="0"/>
        <w:overflowPunct w:val="0"/>
        <w:adjustRightInd w:val="0"/>
        <w:snapToGrid w:val="0"/>
        <w:spacing w:beforeLines="100" w:afterLines="100"/>
        <w:ind w:right="210" w:rightChars="100" w:firstLine="1320"/>
        <w:jc w:val="left"/>
        <w:rPr>
          <w:sz w:val="44"/>
          <w:szCs w:val="44"/>
        </w:rPr>
      </w:pPr>
    </w:p>
    <w:p w14:paraId="3CEFAA3E">
      <w:pPr>
        <w:pStyle w:val="2"/>
        <w:kinsoku w:val="0"/>
        <w:overflowPunct w:val="0"/>
        <w:adjustRightInd w:val="0"/>
        <w:snapToGrid w:val="0"/>
        <w:spacing w:beforeLines="100" w:afterLines="100"/>
        <w:ind w:right="210" w:rightChars="100" w:firstLine="1320"/>
        <w:jc w:val="left"/>
        <w:rPr>
          <w:sz w:val="44"/>
          <w:szCs w:val="44"/>
        </w:rPr>
      </w:pPr>
    </w:p>
    <w:p w14:paraId="21A8A296">
      <w:pPr>
        <w:pStyle w:val="2"/>
        <w:kinsoku w:val="0"/>
        <w:overflowPunct w:val="0"/>
        <w:adjustRightInd w:val="0"/>
        <w:snapToGrid w:val="0"/>
        <w:spacing w:beforeLines="100" w:afterLines="100"/>
        <w:ind w:right="210" w:rightChars="100" w:firstLine="1320"/>
        <w:jc w:val="left"/>
        <w:rPr>
          <w:sz w:val="44"/>
          <w:szCs w:val="44"/>
        </w:rPr>
      </w:pPr>
    </w:p>
    <w:p w14:paraId="34A8A45F">
      <w:pPr>
        <w:pStyle w:val="2"/>
        <w:kinsoku w:val="0"/>
        <w:overflowPunct w:val="0"/>
        <w:adjustRightInd w:val="0"/>
        <w:snapToGrid w:val="0"/>
        <w:spacing w:beforeLines="100" w:afterLines="100"/>
        <w:ind w:right="210" w:rightChars="100" w:firstLine="1320"/>
        <w:jc w:val="left"/>
        <w:rPr>
          <w:sz w:val="44"/>
          <w:szCs w:val="44"/>
        </w:rPr>
      </w:pPr>
    </w:p>
    <w:p w14:paraId="162CAD49">
      <w:pPr>
        <w:pStyle w:val="2"/>
        <w:kinsoku w:val="0"/>
        <w:overflowPunct w:val="0"/>
        <w:adjustRightInd w:val="0"/>
        <w:snapToGrid w:val="0"/>
        <w:spacing w:beforeLines="100" w:afterLines="100"/>
        <w:ind w:left="210" w:leftChars="100" w:right="210" w:rightChars="100" w:firstLine="1220" w:firstLineChars="200"/>
        <w:jc w:val="left"/>
        <w:rPr>
          <w:sz w:val="61"/>
          <w:szCs w:val="61"/>
        </w:rPr>
      </w:pPr>
    </w:p>
    <w:p w14:paraId="358A1943">
      <w:pPr>
        <w:pStyle w:val="2"/>
        <w:adjustRightInd w:val="0"/>
        <w:snapToGrid w:val="0"/>
        <w:spacing w:beforeLines="100" w:afterLines="100"/>
        <w:ind w:left="210" w:leftChars="100" w:right="210" w:rightChars="100" w:firstLine="560" w:firstLineChars="200"/>
        <w:jc w:val="left"/>
        <w:rPr>
          <w:szCs w:val="28"/>
        </w:rPr>
      </w:pPr>
      <w:r>
        <w:rPr>
          <w:rFonts w:hint="eastAsia"/>
          <w:szCs w:val="28"/>
        </w:rPr>
        <w:t>供应商：（盖单位章）</w:t>
      </w:r>
    </w:p>
    <w:p w14:paraId="0813BCB6">
      <w:pPr>
        <w:pStyle w:val="2"/>
        <w:adjustRightInd w:val="0"/>
        <w:snapToGrid w:val="0"/>
        <w:spacing w:beforeLines="100" w:afterLines="100"/>
        <w:ind w:left="210" w:leftChars="100" w:right="210" w:rightChars="100" w:firstLine="560" w:firstLineChars="200"/>
        <w:jc w:val="left"/>
        <w:rPr>
          <w:szCs w:val="28"/>
        </w:rPr>
      </w:pPr>
      <w:r>
        <w:rPr>
          <w:rFonts w:hint="eastAsia"/>
          <w:szCs w:val="28"/>
        </w:rPr>
        <w:t>法定代表人或其委托代理人：（签字）</w:t>
      </w:r>
    </w:p>
    <w:p w14:paraId="7E8A64CF">
      <w:pPr>
        <w:pStyle w:val="2"/>
        <w:adjustRightInd w:val="0"/>
        <w:snapToGrid w:val="0"/>
        <w:spacing w:beforeLines="100" w:afterLines="100"/>
        <w:ind w:left="210" w:leftChars="100" w:right="210" w:rightChars="100" w:firstLine="560" w:firstLineChars="200"/>
        <w:jc w:val="left"/>
        <w:rPr>
          <w:rFonts w:ascii="Arial" w:hAnsi="Arial" w:eastAsia="黑体" w:cs="Arial"/>
        </w:rPr>
      </w:pPr>
      <w:r>
        <w:rPr>
          <w:rFonts w:hint="eastAsia"/>
          <w:szCs w:val="28"/>
        </w:rPr>
        <w:t>年</w:t>
      </w:r>
      <w:r>
        <w:rPr>
          <w:rFonts w:hint="eastAsia"/>
          <w:spacing w:val="-3"/>
          <w:szCs w:val="28"/>
        </w:rPr>
        <w:t>月</w:t>
      </w:r>
      <w:r>
        <w:rPr>
          <w:rFonts w:hint="eastAsia"/>
          <w:szCs w:val="28"/>
        </w:rPr>
        <w:t>日</w:t>
      </w:r>
      <w:r>
        <w:rPr>
          <w:rFonts w:ascii="Arial" w:hAnsi="Arial" w:eastAsia="黑体" w:cs="Arial"/>
        </w:rPr>
        <w:br w:type="page"/>
      </w:r>
    </w:p>
    <w:p w14:paraId="777070FF">
      <w:pPr>
        <w:pStyle w:val="4"/>
        <w:spacing w:before="312" w:after="312"/>
      </w:pPr>
      <w:bookmarkStart w:id="49" w:name="_Toc472689687"/>
      <w:bookmarkStart w:id="50" w:name="_Toc529538374"/>
      <w:bookmarkStart w:id="51" w:name="_Toc69378658"/>
      <w:bookmarkStart w:id="52" w:name="_Toc26259737"/>
      <w:bookmarkStart w:id="53" w:name="_Toc26260030"/>
      <w:bookmarkStart w:id="54" w:name="_Toc447265603"/>
      <w:bookmarkStart w:id="55" w:name="_Toc447265317"/>
      <w:bookmarkStart w:id="56" w:name="_Toc438052118"/>
      <w:r>
        <w:rPr>
          <w:rFonts w:hint="eastAsia"/>
        </w:rPr>
        <w:t>评审索引表</w:t>
      </w:r>
      <w:bookmarkEnd w:id="49"/>
      <w:bookmarkEnd w:id="50"/>
      <w:bookmarkEnd w:id="51"/>
      <w:bookmarkEnd w:id="52"/>
      <w:bookmarkEnd w:id="53"/>
    </w:p>
    <w:p w14:paraId="62CCDB12">
      <w:pPr>
        <w:spacing w:line="276" w:lineRule="auto"/>
        <w:rPr>
          <w:b/>
          <w:sz w:val="24"/>
        </w:rPr>
      </w:pPr>
      <w:r>
        <w:rPr>
          <w:rFonts w:hint="eastAsia"/>
          <w:b/>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bookmarkStart w:id="57" w:name="_Toc26259738"/>
      <w:bookmarkStart w:id="58" w:name="_Toc401151285"/>
      <w:bookmarkStart w:id="59" w:name="_Toc529538375"/>
      <w:bookmarkStart w:id="60" w:name="_Toc485737092"/>
      <w:bookmarkStart w:id="61" w:name="_Toc401216443"/>
      <w:bookmarkStart w:id="62" w:name="_Toc427071030"/>
      <w:bookmarkStart w:id="63" w:name="_Toc401133270"/>
      <w:bookmarkStart w:id="64" w:name="_Toc26260031"/>
      <w:bookmarkStart w:id="65" w:name="_Toc429954241"/>
    </w:p>
    <w:p w14:paraId="2A3BFA4B">
      <w:pPr>
        <w:pStyle w:val="5"/>
        <w:spacing w:before="260" w:after="260" w:line="416" w:lineRule="auto"/>
        <w:jc w:val="center"/>
        <w:rPr>
          <w:rFonts w:ascii="宋体" w:hAnsi="宋体" w:eastAsia="宋体"/>
          <w:b/>
          <w:bCs/>
          <w:sz w:val="22"/>
          <w:szCs w:val="28"/>
        </w:rPr>
      </w:pPr>
      <w:bookmarkStart w:id="66" w:name="_Toc69378659"/>
      <w:r>
        <w:rPr>
          <w:rFonts w:hint="eastAsia" w:ascii="宋体" w:hAnsi="宋体" w:eastAsia="宋体"/>
          <w:b/>
          <w:bCs/>
          <w:sz w:val="22"/>
          <w:szCs w:val="28"/>
        </w:rPr>
        <w:t>初步</w:t>
      </w:r>
      <w:r>
        <w:rPr>
          <w:rFonts w:ascii="宋体" w:hAnsi="宋体" w:eastAsia="宋体"/>
          <w:b/>
          <w:bCs/>
          <w:sz w:val="22"/>
          <w:szCs w:val="28"/>
        </w:rPr>
        <w:t>评审索引表</w:t>
      </w:r>
      <w:bookmarkEnd w:id="57"/>
      <w:bookmarkEnd w:id="58"/>
      <w:bookmarkEnd w:id="59"/>
      <w:bookmarkEnd w:id="60"/>
      <w:bookmarkEnd w:id="61"/>
      <w:bookmarkEnd w:id="62"/>
      <w:bookmarkEnd w:id="63"/>
      <w:bookmarkEnd w:id="64"/>
      <w:bookmarkEnd w:id="65"/>
      <w:bookmarkEnd w:id="66"/>
    </w:p>
    <w:tbl>
      <w:tblPr>
        <w:tblStyle w:val="53"/>
        <w:tblW w:w="52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
        <w:gridCol w:w="1164"/>
        <w:gridCol w:w="5509"/>
        <w:gridCol w:w="1480"/>
      </w:tblGrid>
      <w:tr w14:paraId="4EB19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0940283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645" w:type="pct"/>
            <w:vAlign w:val="center"/>
          </w:tcPr>
          <w:p w14:paraId="63A9C70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3053" w:type="pct"/>
            <w:vAlign w:val="center"/>
          </w:tcPr>
          <w:p w14:paraId="68ED813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评审标准及办法</w:t>
            </w:r>
          </w:p>
        </w:tc>
        <w:tc>
          <w:tcPr>
            <w:tcW w:w="820" w:type="pct"/>
            <w:vAlign w:val="center"/>
          </w:tcPr>
          <w:p w14:paraId="4265A0E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对应页码</w:t>
            </w:r>
          </w:p>
        </w:tc>
      </w:tr>
      <w:tr w14:paraId="1F50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4B11BE1E">
            <w:pPr>
              <w:widowControl/>
              <w:jc w:val="center"/>
              <w:rPr>
                <w:rFonts w:ascii="宋体" w:hAnsi="宋体"/>
              </w:rPr>
            </w:pPr>
            <w:r>
              <w:rPr>
                <w:rFonts w:hint="eastAsia" w:ascii="宋体" w:hAnsi="宋体"/>
              </w:rPr>
              <w:t>1</w:t>
            </w:r>
          </w:p>
        </w:tc>
        <w:tc>
          <w:tcPr>
            <w:tcW w:w="645" w:type="pct"/>
            <w:vAlign w:val="center"/>
          </w:tcPr>
          <w:p w14:paraId="65880142">
            <w:pPr>
              <w:jc w:val="center"/>
              <w:rPr>
                <w:szCs w:val="21"/>
                <w:highlight w:val="yellow"/>
                <w:u w:color="000000"/>
              </w:rPr>
            </w:pPr>
            <w:r>
              <w:rPr>
                <w:rFonts w:hint="eastAsia"/>
                <w:szCs w:val="21"/>
                <w:u w:color="000000"/>
              </w:rPr>
              <w:t>营业执照</w:t>
            </w:r>
          </w:p>
        </w:tc>
        <w:tc>
          <w:tcPr>
            <w:tcW w:w="3053" w:type="pct"/>
            <w:vAlign w:val="center"/>
          </w:tcPr>
          <w:p w14:paraId="509F3EA8">
            <w:pPr>
              <w:rPr>
                <w:szCs w:val="21"/>
                <w:u w:color="000000"/>
              </w:rPr>
            </w:pPr>
            <w:r>
              <w:rPr>
                <w:rFonts w:hint="eastAsia"/>
                <w:szCs w:val="21"/>
                <w:u w:color="000000"/>
              </w:rPr>
              <w:t>投标人须为在中华人民共和国境内合法注册的独立法人，遵守中国有关法律、法规，具有良好的商业信誉。（提供营业执照复印件）</w:t>
            </w:r>
          </w:p>
        </w:tc>
        <w:tc>
          <w:tcPr>
            <w:tcW w:w="820" w:type="pct"/>
            <w:vAlign w:val="center"/>
          </w:tcPr>
          <w:p w14:paraId="3466C63B">
            <w:pPr>
              <w:widowControl/>
              <w:jc w:val="center"/>
              <w:rPr>
                <w:szCs w:val="21"/>
              </w:rPr>
            </w:pPr>
            <w:r>
              <w:rPr>
                <w:rFonts w:hint="eastAsia"/>
                <w:kern w:val="0"/>
                <w:szCs w:val="21"/>
              </w:rPr>
              <w:t>第</w:t>
            </w:r>
            <w:r>
              <w:rPr>
                <w:kern w:val="0"/>
                <w:szCs w:val="21"/>
              </w:rPr>
              <w:t>页</w:t>
            </w:r>
          </w:p>
        </w:tc>
      </w:tr>
      <w:tr w14:paraId="1237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2BB8DD44">
            <w:pPr>
              <w:widowControl/>
              <w:jc w:val="center"/>
              <w:rPr>
                <w:rFonts w:ascii="宋体" w:hAnsi="宋体"/>
              </w:rPr>
            </w:pPr>
            <w:r>
              <w:rPr>
                <w:rFonts w:hint="eastAsia" w:ascii="宋体" w:hAnsi="宋体"/>
              </w:rPr>
              <w:t>2</w:t>
            </w:r>
          </w:p>
        </w:tc>
        <w:tc>
          <w:tcPr>
            <w:tcW w:w="645" w:type="pct"/>
            <w:vAlign w:val="center"/>
          </w:tcPr>
          <w:p w14:paraId="46F5EF29">
            <w:pPr>
              <w:jc w:val="center"/>
              <w:rPr>
                <w:szCs w:val="21"/>
                <w:u w:color="000000"/>
              </w:rPr>
            </w:pPr>
            <w:r>
              <w:rPr>
                <w:rFonts w:hint="eastAsia" w:ascii="宋体" w:hAnsi="宋体" w:cs="宋体"/>
                <w:bCs/>
                <w:szCs w:val="21"/>
              </w:rPr>
              <w:t>增值税一般纳税人</w:t>
            </w:r>
          </w:p>
        </w:tc>
        <w:tc>
          <w:tcPr>
            <w:tcW w:w="3053" w:type="pct"/>
            <w:vAlign w:val="center"/>
          </w:tcPr>
          <w:p w14:paraId="71188340">
            <w:pPr>
              <w:rPr>
                <w:szCs w:val="21"/>
                <w:u w:color="000000"/>
              </w:rPr>
            </w:pPr>
            <w:r>
              <w:rPr>
                <w:rFonts w:hint="eastAsia" w:ascii="宋体" w:hAnsi="宋体" w:cs="宋体"/>
                <w:bCs/>
                <w:szCs w:val="21"/>
              </w:rPr>
              <w:t>投标人须具有增值税一般纳税人资格。</w:t>
            </w:r>
          </w:p>
        </w:tc>
        <w:tc>
          <w:tcPr>
            <w:tcW w:w="820" w:type="pct"/>
            <w:vAlign w:val="center"/>
          </w:tcPr>
          <w:p w14:paraId="29E6822D">
            <w:pPr>
              <w:widowControl/>
              <w:jc w:val="center"/>
              <w:rPr>
                <w:kern w:val="0"/>
                <w:szCs w:val="21"/>
              </w:rPr>
            </w:pPr>
            <w:r>
              <w:rPr>
                <w:rFonts w:hint="eastAsia"/>
                <w:kern w:val="0"/>
                <w:szCs w:val="21"/>
              </w:rPr>
              <w:t>第</w:t>
            </w:r>
            <w:r>
              <w:rPr>
                <w:kern w:val="0"/>
                <w:szCs w:val="21"/>
              </w:rPr>
              <w:t>页</w:t>
            </w:r>
          </w:p>
        </w:tc>
      </w:tr>
      <w:tr w14:paraId="070FD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4B62CF64">
            <w:pPr>
              <w:widowControl/>
              <w:jc w:val="center"/>
              <w:rPr>
                <w:rFonts w:ascii="宋体" w:hAnsi="宋体"/>
              </w:rPr>
            </w:pPr>
            <w:r>
              <w:rPr>
                <w:rFonts w:hint="eastAsia" w:ascii="宋体" w:hAnsi="宋体"/>
              </w:rPr>
              <w:t>3</w:t>
            </w:r>
          </w:p>
        </w:tc>
        <w:tc>
          <w:tcPr>
            <w:tcW w:w="645" w:type="pct"/>
            <w:vAlign w:val="center"/>
          </w:tcPr>
          <w:p w14:paraId="5A0CEB7D">
            <w:pPr>
              <w:jc w:val="center"/>
              <w:rPr>
                <w:rFonts w:ascii="宋体" w:hAnsi="宋体" w:cs="宋体"/>
                <w:bCs/>
                <w:szCs w:val="21"/>
              </w:rPr>
            </w:pPr>
            <w:r>
              <w:rPr>
                <w:rFonts w:hint="eastAsia" w:ascii="宋体" w:hAnsi="宋体" w:cs="宋体"/>
                <w:bCs/>
                <w:szCs w:val="21"/>
              </w:rPr>
              <w:t>承诺及原厂授权</w:t>
            </w:r>
          </w:p>
        </w:tc>
        <w:tc>
          <w:tcPr>
            <w:tcW w:w="3053" w:type="pct"/>
            <w:vAlign w:val="center"/>
          </w:tcPr>
          <w:p w14:paraId="6B793C42">
            <w:pPr>
              <w:rPr>
                <w:rFonts w:ascii="宋体" w:hAnsi="宋体" w:cs="宋体"/>
                <w:bCs/>
                <w:szCs w:val="21"/>
              </w:rPr>
            </w:pPr>
            <w:r>
              <w:rPr>
                <w:rFonts w:hint="eastAsia" w:ascii="宋体" w:hAnsi="宋体" w:cs="宋体"/>
                <w:bCs/>
                <w:szCs w:val="21"/>
              </w:rPr>
              <w:t>投标人须承诺与招标人共享本项目二次开发软件知识产权，并向招标人完全开放所有二次开发软件源代码，投标人采用第三方服务的，须提供原厂商针对本项目的原厂授权。（提供承诺函及原厂授权原件（如有））</w:t>
            </w:r>
          </w:p>
        </w:tc>
        <w:tc>
          <w:tcPr>
            <w:tcW w:w="820" w:type="pct"/>
            <w:vAlign w:val="center"/>
          </w:tcPr>
          <w:p w14:paraId="6E465807">
            <w:pPr>
              <w:widowControl/>
              <w:jc w:val="center"/>
              <w:rPr>
                <w:kern w:val="0"/>
                <w:szCs w:val="21"/>
              </w:rPr>
            </w:pPr>
            <w:r>
              <w:rPr>
                <w:rFonts w:hint="eastAsia"/>
                <w:kern w:val="0"/>
                <w:szCs w:val="21"/>
              </w:rPr>
              <w:t>第</w:t>
            </w:r>
            <w:r>
              <w:rPr>
                <w:kern w:val="0"/>
                <w:szCs w:val="21"/>
              </w:rPr>
              <w:t>页</w:t>
            </w:r>
          </w:p>
        </w:tc>
      </w:tr>
      <w:tr w14:paraId="39B0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631F8855">
            <w:pPr>
              <w:widowControl/>
              <w:jc w:val="center"/>
              <w:rPr>
                <w:rFonts w:ascii="宋体" w:hAnsi="宋体"/>
              </w:rPr>
            </w:pPr>
            <w:r>
              <w:rPr>
                <w:rFonts w:hint="eastAsia" w:ascii="宋体" w:hAnsi="宋体"/>
              </w:rPr>
              <w:t>4</w:t>
            </w:r>
          </w:p>
        </w:tc>
        <w:tc>
          <w:tcPr>
            <w:tcW w:w="645" w:type="pct"/>
            <w:vAlign w:val="center"/>
          </w:tcPr>
          <w:p w14:paraId="467C252C">
            <w:pPr>
              <w:jc w:val="center"/>
              <w:rPr>
                <w:szCs w:val="21"/>
                <w:highlight w:val="yellow"/>
                <w:u w:color="000000"/>
              </w:rPr>
            </w:pPr>
            <w:r>
              <w:rPr>
                <w:rFonts w:hint="eastAsia"/>
                <w:bCs/>
                <w:color w:val="000000"/>
                <w:szCs w:val="21"/>
              </w:rPr>
              <w:t>承诺</w:t>
            </w:r>
          </w:p>
        </w:tc>
        <w:tc>
          <w:tcPr>
            <w:tcW w:w="3053" w:type="pct"/>
            <w:vAlign w:val="center"/>
          </w:tcPr>
          <w:p w14:paraId="18D5BE22">
            <w:pPr>
              <w:rPr>
                <w:szCs w:val="21"/>
                <w:u w:color="000000"/>
              </w:rPr>
            </w:pPr>
            <w:r>
              <w:rPr>
                <w:rFonts w:hint="eastAsia"/>
                <w:szCs w:val="21"/>
                <w:u w:color="000000"/>
              </w:rPr>
              <w:t>投标人须提供所投产品直接包修和服务的承诺（提供承诺函）。</w:t>
            </w:r>
          </w:p>
        </w:tc>
        <w:tc>
          <w:tcPr>
            <w:tcW w:w="820" w:type="pct"/>
            <w:vAlign w:val="center"/>
          </w:tcPr>
          <w:p w14:paraId="3FD83DDD">
            <w:pPr>
              <w:widowControl/>
              <w:jc w:val="center"/>
              <w:rPr>
                <w:szCs w:val="21"/>
              </w:rPr>
            </w:pPr>
            <w:r>
              <w:rPr>
                <w:rFonts w:hint="eastAsia"/>
                <w:kern w:val="0"/>
                <w:szCs w:val="21"/>
              </w:rPr>
              <w:t>第</w:t>
            </w:r>
            <w:r>
              <w:rPr>
                <w:kern w:val="0"/>
                <w:szCs w:val="21"/>
              </w:rPr>
              <w:t>页</w:t>
            </w:r>
          </w:p>
        </w:tc>
      </w:tr>
      <w:tr w14:paraId="7ED4C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5C0E83F6">
            <w:pPr>
              <w:widowControl/>
              <w:jc w:val="center"/>
              <w:rPr>
                <w:rFonts w:ascii="宋体" w:hAnsi="宋体"/>
              </w:rPr>
            </w:pPr>
            <w:r>
              <w:rPr>
                <w:rFonts w:hint="eastAsia" w:ascii="宋体" w:hAnsi="宋体"/>
              </w:rPr>
              <w:t>5</w:t>
            </w:r>
          </w:p>
        </w:tc>
        <w:tc>
          <w:tcPr>
            <w:tcW w:w="645" w:type="pct"/>
            <w:vAlign w:val="center"/>
          </w:tcPr>
          <w:p w14:paraId="101DE921">
            <w:pPr>
              <w:widowControl/>
              <w:jc w:val="center"/>
              <w:rPr>
                <w:kern w:val="0"/>
                <w:szCs w:val="21"/>
                <w:highlight w:val="yellow"/>
              </w:rPr>
            </w:pPr>
            <w:r>
              <w:rPr>
                <w:rFonts w:hint="eastAsia" w:ascii="宋体" w:hAnsi="宋体" w:cs="宋体"/>
                <w:bCs/>
                <w:szCs w:val="21"/>
              </w:rPr>
              <w:t>财务状况</w:t>
            </w:r>
          </w:p>
        </w:tc>
        <w:tc>
          <w:tcPr>
            <w:tcW w:w="3053" w:type="pct"/>
            <w:vAlign w:val="center"/>
          </w:tcPr>
          <w:p w14:paraId="0966F6B3">
            <w:pPr>
              <w:widowControl/>
              <w:jc w:val="left"/>
              <w:rPr>
                <w:kern w:val="0"/>
                <w:szCs w:val="21"/>
              </w:rPr>
            </w:pPr>
            <w:r>
              <w:rPr>
                <w:color w:val="000000"/>
                <w:szCs w:val="21"/>
              </w:rPr>
              <w:t>投标人须出具经</w:t>
            </w:r>
            <w:r>
              <w:rPr>
                <w:rFonts w:hint="eastAsia"/>
                <w:color w:val="000000"/>
                <w:szCs w:val="21"/>
              </w:rPr>
              <w:t>会计师事务所</w:t>
            </w:r>
            <w:r>
              <w:rPr>
                <w:color w:val="000000"/>
                <w:szCs w:val="21"/>
              </w:rPr>
              <w:t>审计的2021年度和2022年度财务报表（提供证明材料）。</w:t>
            </w:r>
            <w:r>
              <w:rPr>
                <w:rFonts w:hint="eastAsia" w:ascii="宋体" w:hAnsi="宋体" w:cs="宋体"/>
                <w:bCs/>
                <w:szCs w:val="21"/>
              </w:rPr>
              <w:t>202</w:t>
            </w:r>
            <w:r>
              <w:rPr>
                <w:rFonts w:ascii="宋体" w:hAnsi="宋体" w:cs="宋体"/>
                <w:bCs/>
                <w:szCs w:val="21"/>
              </w:rPr>
              <w:t>1</w:t>
            </w:r>
            <w:r>
              <w:rPr>
                <w:rFonts w:hint="eastAsia" w:ascii="宋体" w:hAnsi="宋体" w:cs="宋体"/>
                <w:bCs/>
                <w:szCs w:val="21"/>
              </w:rPr>
              <w:t>年和202</w:t>
            </w:r>
            <w:r>
              <w:rPr>
                <w:rFonts w:ascii="宋体" w:hAnsi="宋体" w:cs="宋体"/>
                <w:bCs/>
                <w:szCs w:val="21"/>
              </w:rPr>
              <w:t>2</w:t>
            </w:r>
            <w:r>
              <w:rPr>
                <w:rFonts w:hint="eastAsia" w:ascii="宋体" w:hAnsi="宋体" w:cs="宋体"/>
                <w:bCs/>
                <w:szCs w:val="21"/>
              </w:rPr>
              <w:t>年平均每年营业收入不低于1000万元。</w:t>
            </w:r>
          </w:p>
        </w:tc>
        <w:tc>
          <w:tcPr>
            <w:tcW w:w="820" w:type="pct"/>
            <w:vAlign w:val="center"/>
          </w:tcPr>
          <w:p w14:paraId="30F53E81">
            <w:pPr>
              <w:widowControl/>
              <w:jc w:val="center"/>
              <w:rPr>
                <w:szCs w:val="21"/>
              </w:rPr>
            </w:pPr>
            <w:r>
              <w:rPr>
                <w:rFonts w:hint="eastAsia"/>
                <w:kern w:val="0"/>
                <w:szCs w:val="21"/>
              </w:rPr>
              <w:t>第</w:t>
            </w:r>
            <w:r>
              <w:rPr>
                <w:kern w:val="0"/>
                <w:szCs w:val="21"/>
              </w:rPr>
              <w:t>页</w:t>
            </w:r>
          </w:p>
        </w:tc>
      </w:tr>
      <w:tr w14:paraId="5A1C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630A337A">
            <w:pPr>
              <w:widowControl/>
              <w:jc w:val="center"/>
              <w:rPr>
                <w:rFonts w:ascii="宋体" w:hAnsi="宋体"/>
              </w:rPr>
            </w:pPr>
            <w:r>
              <w:rPr>
                <w:rFonts w:hint="eastAsia" w:ascii="宋体" w:hAnsi="宋体"/>
              </w:rPr>
              <w:t>6</w:t>
            </w:r>
          </w:p>
        </w:tc>
        <w:tc>
          <w:tcPr>
            <w:tcW w:w="645" w:type="pct"/>
            <w:vAlign w:val="center"/>
          </w:tcPr>
          <w:p w14:paraId="2067D0B9">
            <w:pPr>
              <w:widowControl/>
              <w:jc w:val="center"/>
              <w:rPr>
                <w:kern w:val="0"/>
                <w:szCs w:val="21"/>
                <w:highlight w:val="yellow"/>
              </w:rPr>
            </w:pPr>
            <w:r>
              <w:rPr>
                <w:rFonts w:hint="eastAsia" w:ascii="宋体" w:hAnsi="宋体" w:cs="宋体"/>
                <w:bCs/>
                <w:szCs w:val="21"/>
              </w:rPr>
              <w:t>类似项目业绩</w:t>
            </w:r>
          </w:p>
        </w:tc>
        <w:tc>
          <w:tcPr>
            <w:tcW w:w="3053" w:type="pct"/>
            <w:vAlign w:val="center"/>
          </w:tcPr>
          <w:p w14:paraId="70E6F0D0">
            <w:pPr>
              <w:widowControl/>
              <w:jc w:val="left"/>
              <w:rPr>
                <w:kern w:val="0"/>
                <w:szCs w:val="21"/>
              </w:rPr>
            </w:pPr>
            <w:r>
              <w:rPr>
                <w:rFonts w:hint="eastAsia" w:ascii="宋体" w:hAnsi="宋体" w:cs="宋体"/>
                <w:bCs/>
                <w:szCs w:val="21"/>
              </w:rPr>
              <w:t>投标人须提供2020年</w:t>
            </w:r>
            <w:r>
              <w:rPr>
                <w:rFonts w:ascii="宋体" w:hAnsi="宋体" w:cs="宋体"/>
                <w:bCs/>
                <w:szCs w:val="21"/>
              </w:rPr>
              <w:t>1</w:t>
            </w:r>
            <w:r>
              <w:rPr>
                <w:rFonts w:hint="eastAsia" w:ascii="宋体" w:hAnsi="宋体" w:cs="宋体"/>
                <w:bCs/>
                <w:szCs w:val="21"/>
              </w:rPr>
              <w:t>月1日（含）至投标截止日的类似项目业绩（提供合同证明材料）。</w:t>
            </w:r>
          </w:p>
        </w:tc>
        <w:tc>
          <w:tcPr>
            <w:tcW w:w="820" w:type="pct"/>
            <w:vAlign w:val="center"/>
          </w:tcPr>
          <w:p w14:paraId="1A428781">
            <w:pPr>
              <w:widowControl/>
              <w:jc w:val="center"/>
              <w:rPr>
                <w:szCs w:val="21"/>
              </w:rPr>
            </w:pPr>
            <w:r>
              <w:rPr>
                <w:rFonts w:hint="eastAsia"/>
                <w:kern w:val="0"/>
                <w:szCs w:val="21"/>
              </w:rPr>
              <w:t>第</w:t>
            </w:r>
            <w:r>
              <w:rPr>
                <w:kern w:val="0"/>
                <w:szCs w:val="21"/>
              </w:rPr>
              <w:t>页</w:t>
            </w:r>
          </w:p>
        </w:tc>
      </w:tr>
      <w:tr w14:paraId="6A78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5E67A47E">
            <w:pPr>
              <w:widowControl/>
              <w:jc w:val="center"/>
              <w:rPr>
                <w:rFonts w:ascii="宋体" w:hAnsi="宋体"/>
              </w:rPr>
            </w:pPr>
            <w:r>
              <w:rPr>
                <w:rFonts w:hint="eastAsia" w:ascii="宋体" w:hAnsi="宋体"/>
              </w:rPr>
              <w:t>7</w:t>
            </w:r>
          </w:p>
        </w:tc>
        <w:tc>
          <w:tcPr>
            <w:tcW w:w="645" w:type="pct"/>
            <w:vAlign w:val="center"/>
          </w:tcPr>
          <w:p w14:paraId="3EF6444B">
            <w:pPr>
              <w:widowControl/>
              <w:jc w:val="center"/>
              <w:rPr>
                <w:kern w:val="0"/>
                <w:szCs w:val="21"/>
                <w:highlight w:val="yellow"/>
              </w:rPr>
            </w:pPr>
            <w:r>
              <w:rPr>
                <w:rFonts w:hint="eastAsia"/>
                <w:kern w:val="0"/>
                <w:szCs w:val="21"/>
              </w:rPr>
              <w:t>认证</w:t>
            </w:r>
          </w:p>
        </w:tc>
        <w:tc>
          <w:tcPr>
            <w:tcW w:w="3053" w:type="pct"/>
            <w:vAlign w:val="center"/>
          </w:tcPr>
          <w:p w14:paraId="319E9887">
            <w:pPr>
              <w:widowControl/>
              <w:jc w:val="left"/>
              <w:rPr>
                <w:kern w:val="0"/>
                <w:szCs w:val="21"/>
              </w:rPr>
            </w:pPr>
            <w:r>
              <w:rPr>
                <w:rFonts w:hint="eastAsia" w:ascii="宋体" w:hAnsi="宋体" w:cs="宋体"/>
                <w:bCs/>
                <w:szCs w:val="21"/>
              </w:rPr>
              <w:t>投标人须具备有效的软件能力成熟度集成模型认证CMMI3级或以上认证（提供认证证书扫描件）。</w:t>
            </w:r>
          </w:p>
        </w:tc>
        <w:tc>
          <w:tcPr>
            <w:tcW w:w="820" w:type="pct"/>
            <w:vAlign w:val="center"/>
          </w:tcPr>
          <w:p w14:paraId="7FF7354E">
            <w:pPr>
              <w:widowControl/>
              <w:jc w:val="center"/>
              <w:rPr>
                <w:szCs w:val="21"/>
              </w:rPr>
            </w:pPr>
            <w:r>
              <w:rPr>
                <w:rFonts w:hint="eastAsia"/>
                <w:kern w:val="0"/>
                <w:szCs w:val="21"/>
              </w:rPr>
              <w:t>第</w:t>
            </w:r>
            <w:r>
              <w:rPr>
                <w:kern w:val="0"/>
                <w:szCs w:val="21"/>
              </w:rPr>
              <w:t>页</w:t>
            </w:r>
          </w:p>
        </w:tc>
      </w:tr>
      <w:tr w14:paraId="32D4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restart"/>
            <w:vAlign w:val="center"/>
          </w:tcPr>
          <w:p w14:paraId="562CEEF4">
            <w:pPr>
              <w:jc w:val="center"/>
              <w:rPr>
                <w:rFonts w:ascii="宋体" w:hAnsi="宋体"/>
              </w:rPr>
            </w:pPr>
            <w:r>
              <w:rPr>
                <w:rFonts w:hint="eastAsia" w:ascii="宋体" w:hAnsi="宋体"/>
              </w:rPr>
              <w:t>8</w:t>
            </w:r>
          </w:p>
        </w:tc>
        <w:tc>
          <w:tcPr>
            <w:tcW w:w="645" w:type="pct"/>
            <w:vMerge w:val="restart"/>
            <w:vAlign w:val="center"/>
          </w:tcPr>
          <w:p w14:paraId="48D3A411">
            <w:pPr>
              <w:widowControl/>
              <w:jc w:val="center"/>
              <w:rPr>
                <w:kern w:val="0"/>
                <w:szCs w:val="21"/>
                <w:highlight w:val="yellow"/>
              </w:rPr>
            </w:pPr>
            <w:r>
              <w:rPr>
                <w:rFonts w:hint="eastAsia"/>
                <w:kern w:val="0"/>
                <w:szCs w:val="21"/>
              </w:rPr>
              <w:t>其他要求</w:t>
            </w:r>
          </w:p>
        </w:tc>
        <w:tc>
          <w:tcPr>
            <w:tcW w:w="3053" w:type="pct"/>
            <w:vAlign w:val="center"/>
          </w:tcPr>
          <w:p w14:paraId="482D1626">
            <w:pPr>
              <w:widowControl/>
              <w:jc w:val="left"/>
              <w:rPr>
                <w:kern w:val="0"/>
                <w:szCs w:val="21"/>
              </w:rPr>
            </w:pPr>
            <w:r>
              <w:rPr>
                <w:rFonts w:hint="eastAsia"/>
                <w:kern w:val="0"/>
                <w:szCs w:val="21"/>
              </w:rPr>
              <w:t>投标人须在法律和财务上独立、合法运作并独立于招标人和招标代理机构，不得直接或间接地与招标人为本项目所委托的咨询公司或其附属机构有任何关联</w:t>
            </w:r>
            <w:r>
              <w:rPr>
                <w:rFonts w:hint="eastAsia" w:ascii="宋体" w:hAnsi="宋体" w:cs="宋体"/>
                <w:bCs/>
                <w:szCs w:val="21"/>
              </w:rPr>
              <w:t>（提供承诺书原件）</w:t>
            </w:r>
            <w:r>
              <w:rPr>
                <w:rFonts w:hint="eastAsia"/>
                <w:kern w:val="0"/>
                <w:szCs w:val="21"/>
              </w:rPr>
              <w:t>。</w:t>
            </w:r>
          </w:p>
        </w:tc>
        <w:tc>
          <w:tcPr>
            <w:tcW w:w="820" w:type="pct"/>
            <w:vAlign w:val="center"/>
          </w:tcPr>
          <w:p w14:paraId="47EFBD45">
            <w:pPr>
              <w:widowControl/>
              <w:jc w:val="center"/>
              <w:rPr>
                <w:szCs w:val="21"/>
              </w:rPr>
            </w:pPr>
            <w:r>
              <w:rPr>
                <w:rFonts w:hint="eastAsia"/>
                <w:kern w:val="0"/>
                <w:szCs w:val="21"/>
              </w:rPr>
              <w:t>第</w:t>
            </w:r>
            <w:r>
              <w:rPr>
                <w:kern w:val="0"/>
                <w:szCs w:val="21"/>
              </w:rPr>
              <w:t>页</w:t>
            </w:r>
          </w:p>
        </w:tc>
      </w:tr>
      <w:tr w14:paraId="5492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continue"/>
            <w:vAlign w:val="center"/>
          </w:tcPr>
          <w:p w14:paraId="17DD760E">
            <w:pPr>
              <w:jc w:val="center"/>
              <w:rPr>
                <w:rFonts w:ascii="宋体" w:hAnsi="宋体"/>
              </w:rPr>
            </w:pPr>
          </w:p>
        </w:tc>
        <w:tc>
          <w:tcPr>
            <w:tcW w:w="645" w:type="pct"/>
            <w:vMerge w:val="continue"/>
            <w:vAlign w:val="center"/>
          </w:tcPr>
          <w:p w14:paraId="112DF770">
            <w:pPr>
              <w:widowControl/>
              <w:jc w:val="center"/>
              <w:rPr>
                <w:kern w:val="0"/>
                <w:szCs w:val="21"/>
                <w:highlight w:val="yellow"/>
              </w:rPr>
            </w:pPr>
          </w:p>
        </w:tc>
        <w:tc>
          <w:tcPr>
            <w:tcW w:w="3053" w:type="pct"/>
            <w:vAlign w:val="center"/>
          </w:tcPr>
          <w:p w14:paraId="3548830D">
            <w:pPr>
              <w:widowControl/>
              <w:jc w:val="left"/>
              <w:rPr>
                <w:kern w:val="0"/>
                <w:szCs w:val="21"/>
              </w:rPr>
            </w:pPr>
            <w:r>
              <w:rPr>
                <w:rFonts w:hint="eastAsia" w:ascii="宋体" w:hAnsi="宋体" w:cs="宋体"/>
                <w:bCs/>
                <w:szCs w:val="21"/>
              </w:rPr>
              <w:t>投标人须保证，招标人在其本国使用投标人提供的产品时，不存在任何已知的不合法的情形，也不存在任何已知的与第三方专利权、著作权、商标权或工业设计权相关的任何争议。如果有任何因招标人使用投标人提供的产品而提起的侵权指控，投标人依法承担全部责任（提供承诺书原件）。</w:t>
            </w:r>
          </w:p>
        </w:tc>
        <w:tc>
          <w:tcPr>
            <w:tcW w:w="820" w:type="pct"/>
            <w:vAlign w:val="center"/>
          </w:tcPr>
          <w:p w14:paraId="13DDDEE8">
            <w:pPr>
              <w:widowControl/>
              <w:jc w:val="center"/>
              <w:rPr>
                <w:kern w:val="0"/>
                <w:szCs w:val="21"/>
              </w:rPr>
            </w:pPr>
            <w:r>
              <w:rPr>
                <w:rFonts w:hint="eastAsia"/>
                <w:kern w:val="0"/>
                <w:szCs w:val="21"/>
              </w:rPr>
              <w:t>第</w:t>
            </w:r>
            <w:r>
              <w:rPr>
                <w:kern w:val="0"/>
                <w:szCs w:val="21"/>
              </w:rPr>
              <w:t>页</w:t>
            </w:r>
          </w:p>
        </w:tc>
      </w:tr>
      <w:tr w14:paraId="68B3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Merge w:val="continue"/>
            <w:vAlign w:val="center"/>
          </w:tcPr>
          <w:p w14:paraId="6BAC260D">
            <w:pPr>
              <w:widowControl/>
              <w:jc w:val="center"/>
              <w:rPr>
                <w:rFonts w:ascii="宋体" w:hAnsi="宋体"/>
              </w:rPr>
            </w:pPr>
          </w:p>
        </w:tc>
        <w:tc>
          <w:tcPr>
            <w:tcW w:w="645" w:type="pct"/>
            <w:vMerge w:val="continue"/>
            <w:vAlign w:val="center"/>
          </w:tcPr>
          <w:p w14:paraId="00243584">
            <w:pPr>
              <w:widowControl/>
              <w:jc w:val="center"/>
              <w:rPr>
                <w:kern w:val="0"/>
                <w:szCs w:val="21"/>
                <w:highlight w:val="yellow"/>
              </w:rPr>
            </w:pPr>
          </w:p>
        </w:tc>
        <w:tc>
          <w:tcPr>
            <w:tcW w:w="3053" w:type="pct"/>
            <w:vAlign w:val="center"/>
          </w:tcPr>
          <w:p w14:paraId="0726C206">
            <w:pPr>
              <w:widowControl/>
              <w:jc w:val="left"/>
              <w:rPr>
                <w:kern w:val="0"/>
                <w:szCs w:val="21"/>
              </w:rPr>
            </w:pPr>
            <w:r>
              <w:rPr>
                <w:rFonts w:hint="eastAsia"/>
                <w:kern w:val="0"/>
                <w:szCs w:val="21"/>
              </w:rPr>
              <w:t>投标人的单位负责人为同一人或者存在控股、管理关系的不同单位，不得参加同一标段投标或者未划分标段的同一招标项目投标</w:t>
            </w:r>
            <w:r>
              <w:rPr>
                <w:rFonts w:hint="eastAsia" w:ascii="宋体" w:hAnsi="宋体" w:cs="宋体"/>
                <w:bCs/>
                <w:szCs w:val="21"/>
              </w:rPr>
              <w:t>（提供承诺书原件）</w:t>
            </w:r>
            <w:r>
              <w:rPr>
                <w:rFonts w:hint="eastAsia"/>
                <w:kern w:val="0"/>
                <w:szCs w:val="21"/>
              </w:rPr>
              <w:t>。</w:t>
            </w:r>
          </w:p>
        </w:tc>
        <w:tc>
          <w:tcPr>
            <w:tcW w:w="820" w:type="pct"/>
            <w:vAlign w:val="center"/>
          </w:tcPr>
          <w:p w14:paraId="3FBC8F57">
            <w:pPr>
              <w:widowControl/>
              <w:jc w:val="center"/>
              <w:rPr>
                <w:kern w:val="0"/>
                <w:szCs w:val="21"/>
              </w:rPr>
            </w:pPr>
            <w:r>
              <w:rPr>
                <w:rFonts w:hint="eastAsia"/>
                <w:kern w:val="0"/>
                <w:szCs w:val="21"/>
              </w:rPr>
              <w:t>第</w:t>
            </w:r>
            <w:r>
              <w:rPr>
                <w:kern w:val="0"/>
                <w:szCs w:val="21"/>
              </w:rPr>
              <w:t>页</w:t>
            </w:r>
          </w:p>
        </w:tc>
      </w:tr>
      <w:tr w14:paraId="7492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82" w:type="pct"/>
            <w:vAlign w:val="center"/>
          </w:tcPr>
          <w:p w14:paraId="2FC42F94">
            <w:pPr>
              <w:widowControl/>
              <w:jc w:val="center"/>
              <w:rPr>
                <w:rFonts w:ascii="宋体" w:hAnsi="宋体"/>
              </w:rPr>
            </w:pPr>
            <w:r>
              <w:rPr>
                <w:rFonts w:hint="eastAsia" w:ascii="宋体" w:hAnsi="宋体"/>
              </w:rPr>
              <w:t>9</w:t>
            </w:r>
          </w:p>
        </w:tc>
        <w:tc>
          <w:tcPr>
            <w:tcW w:w="645" w:type="pct"/>
            <w:vAlign w:val="center"/>
          </w:tcPr>
          <w:p w14:paraId="28153B4A">
            <w:pPr>
              <w:widowControl/>
              <w:jc w:val="center"/>
              <w:rPr>
                <w:kern w:val="0"/>
                <w:szCs w:val="21"/>
                <w:highlight w:val="yellow"/>
              </w:rPr>
            </w:pPr>
            <w:r>
              <w:rPr>
                <w:rFonts w:hint="eastAsia" w:ascii="宋体" w:hAnsi="宋体" w:cs="宋体"/>
                <w:bCs/>
                <w:szCs w:val="21"/>
              </w:rPr>
              <w:t>联合体投标</w:t>
            </w:r>
          </w:p>
        </w:tc>
        <w:tc>
          <w:tcPr>
            <w:tcW w:w="3053" w:type="pct"/>
            <w:vAlign w:val="center"/>
          </w:tcPr>
          <w:p w14:paraId="76506833">
            <w:pPr>
              <w:widowControl/>
              <w:jc w:val="left"/>
              <w:rPr>
                <w:kern w:val="0"/>
                <w:szCs w:val="21"/>
              </w:rPr>
            </w:pPr>
            <w:r>
              <w:rPr>
                <w:rFonts w:hint="eastAsia" w:ascii="宋体" w:hAnsi="宋体" w:cs="宋体"/>
                <w:bCs/>
                <w:szCs w:val="21"/>
              </w:rPr>
              <w:t>本项目不接受联合体投标（提供承诺书原件）。</w:t>
            </w:r>
          </w:p>
        </w:tc>
        <w:tc>
          <w:tcPr>
            <w:tcW w:w="820" w:type="pct"/>
            <w:vAlign w:val="center"/>
          </w:tcPr>
          <w:p w14:paraId="34532B76">
            <w:pPr>
              <w:widowControl/>
              <w:jc w:val="center"/>
              <w:rPr>
                <w:kern w:val="0"/>
                <w:szCs w:val="21"/>
              </w:rPr>
            </w:pPr>
            <w:r>
              <w:rPr>
                <w:rFonts w:hint="eastAsia"/>
                <w:kern w:val="0"/>
                <w:szCs w:val="21"/>
              </w:rPr>
              <w:t>第</w:t>
            </w:r>
            <w:r>
              <w:rPr>
                <w:kern w:val="0"/>
                <w:szCs w:val="21"/>
              </w:rPr>
              <w:t>页</w:t>
            </w:r>
          </w:p>
        </w:tc>
      </w:tr>
      <w:bookmarkEnd w:id="54"/>
      <w:bookmarkEnd w:id="55"/>
      <w:bookmarkEnd w:id="56"/>
    </w:tbl>
    <w:p w14:paraId="1102A12C">
      <w:pPr>
        <w:sectPr>
          <w:headerReference r:id="rId9" w:type="default"/>
          <w:footerReference r:id="rId10" w:type="default"/>
          <w:pgSz w:w="11906" w:h="16838"/>
          <w:pgMar w:top="1440" w:right="1800" w:bottom="1440" w:left="1800" w:header="851" w:footer="992" w:gutter="0"/>
          <w:cols w:space="720" w:num="1"/>
          <w:docGrid w:type="lines" w:linePitch="312" w:charSpace="0"/>
        </w:sectPr>
      </w:pPr>
    </w:p>
    <w:p w14:paraId="093BA455">
      <w:pPr>
        <w:pStyle w:val="4"/>
        <w:spacing w:before="312" w:after="312"/>
        <w:rPr>
          <w:rStyle w:val="106"/>
          <w:rFonts w:hAnsi="宋体"/>
          <w:b w:val="0"/>
          <w:bCs w:val="0"/>
          <w:sz w:val="24"/>
          <w:szCs w:val="24"/>
        </w:rPr>
      </w:pPr>
      <w:bookmarkStart w:id="67" w:name="_Toc135999006"/>
      <w:bookmarkStart w:id="68" w:name="_Toc161767428"/>
      <w:bookmarkStart w:id="69" w:name="_Toc69378663"/>
      <w:bookmarkStart w:id="70" w:name="_Toc26260033"/>
      <w:bookmarkStart w:id="71" w:name="_Toc529538377"/>
      <w:bookmarkStart w:id="72" w:name="_Toc438052120"/>
      <w:bookmarkStart w:id="73" w:name="_Toc472689688"/>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67"/>
      <w:bookmarkEnd w:id="68"/>
      <w:r>
        <w:rPr>
          <w:rStyle w:val="106"/>
          <w:rFonts w:hint="eastAsia" w:hAnsi="宋体"/>
          <w:b w:val="0"/>
          <w:bCs w:val="0"/>
          <w:sz w:val="24"/>
          <w:szCs w:val="24"/>
        </w:rPr>
        <w:t>响应函</w:t>
      </w:r>
      <w:bookmarkEnd w:id="69"/>
      <w:bookmarkEnd w:id="70"/>
    </w:p>
    <w:p w14:paraId="445F8781">
      <w:pPr>
        <w:snapToGrid w:val="0"/>
        <w:spacing w:beforeLines="100" w:afterLines="100"/>
        <w:ind w:left="210" w:leftChars="100" w:right="210" w:rightChars="100" w:firstLine="643" w:firstLineChars="200"/>
        <w:jc w:val="center"/>
        <w:rPr>
          <w:rStyle w:val="106"/>
          <w:rFonts w:ascii="宋体" w:hAnsi="宋体"/>
        </w:rPr>
      </w:pPr>
      <w:r>
        <w:rPr>
          <w:rStyle w:val="106"/>
          <w:rFonts w:hint="eastAsia" w:ascii="宋体" w:hAnsi="宋体"/>
        </w:rPr>
        <w:t>响应函</w:t>
      </w:r>
    </w:p>
    <w:p w14:paraId="33E2A881">
      <w:pPr>
        <w:spacing w:line="360" w:lineRule="auto"/>
        <w:rPr>
          <w:rFonts w:ascii="宋体" w:hAnsi="宋体"/>
          <w:sz w:val="24"/>
        </w:rPr>
      </w:pPr>
      <w:r>
        <w:rPr>
          <w:rFonts w:hint="eastAsia" w:ascii="宋体" w:hAnsi="宋体"/>
          <w:sz w:val="24"/>
        </w:rPr>
        <w:t>江苏省广电有线信息网络股份有限公司：</w:t>
      </w:r>
    </w:p>
    <w:p w14:paraId="38DC8FF4">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14:paraId="22C660F9">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[1]</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[1]</w:t>
      </w:r>
      <w:r>
        <w:rPr>
          <w:rFonts w:hint="eastAsia" w:ascii="宋体" w:hAnsi="宋体"/>
          <w:sz w:val="24"/>
        </w:rPr>
        <w:t>份）。</w:t>
      </w:r>
    </w:p>
    <w:p w14:paraId="58A50134">
      <w:pPr>
        <w:spacing w:line="360" w:lineRule="auto"/>
        <w:rPr>
          <w:rFonts w:ascii="宋体" w:hAnsi="宋体"/>
          <w:sz w:val="24"/>
        </w:rPr>
      </w:pPr>
      <w:r>
        <w:rPr>
          <w:rFonts w:hint="eastAsia" w:ascii="宋体" w:hAnsi="宋体"/>
          <w:sz w:val="24"/>
        </w:rPr>
        <w:t>（2）提供按竞争性谈判文件要求的产品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14:paraId="5641347F">
      <w:pPr>
        <w:spacing w:line="360" w:lineRule="auto"/>
        <w:rPr>
          <w:rFonts w:ascii="宋体" w:hAnsi="宋体"/>
          <w:sz w:val="24"/>
        </w:rPr>
      </w:pPr>
      <w:r>
        <w:rPr>
          <w:rFonts w:hint="eastAsia" w:ascii="宋体" w:hAnsi="宋体"/>
          <w:sz w:val="24"/>
        </w:rPr>
        <w:t>（3）供应商将按竞争性谈判文件的规定履行全部责任和义务。</w:t>
      </w:r>
    </w:p>
    <w:p w14:paraId="2EEF9FF4">
      <w:pPr>
        <w:spacing w:line="360" w:lineRule="auto"/>
        <w:rPr>
          <w:rFonts w:ascii="宋体" w:hAnsi="宋体"/>
          <w:sz w:val="24"/>
        </w:rPr>
      </w:pPr>
      <w:r>
        <w:rPr>
          <w:rFonts w:hint="eastAsia" w:ascii="宋体" w:hAnsi="宋体"/>
          <w:sz w:val="24"/>
        </w:rPr>
        <w:t>（4）供应商已详细审查全部竞争性谈判文件，我们完全理解并同意放弃对竞争性谈判文件提出质疑及</w:t>
      </w:r>
      <w:r>
        <w:rPr>
          <w:rFonts w:ascii="宋体" w:hAnsi="宋体"/>
          <w:sz w:val="24"/>
        </w:rPr>
        <w:t>/</w:t>
      </w:r>
      <w:r>
        <w:rPr>
          <w:rFonts w:hint="eastAsia" w:ascii="宋体" w:hAnsi="宋体"/>
          <w:sz w:val="24"/>
        </w:rPr>
        <w:t>或争议的权利。</w:t>
      </w:r>
    </w:p>
    <w:p w14:paraId="353CA5D1">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14:paraId="0715B280">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14:paraId="6842FC08">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14:paraId="0F596AC0">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20DDB707">
      <w:pPr>
        <w:spacing w:line="360" w:lineRule="auto"/>
        <w:rPr>
          <w:rFonts w:ascii="宋体" w:hAnsi="宋体"/>
          <w:sz w:val="24"/>
        </w:rPr>
      </w:pPr>
      <w:r>
        <w:rPr>
          <w:rFonts w:hint="eastAsia" w:ascii="宋体" w:hAnsi="宋体"/>
          <w:sz w:val="24"/>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包括制造商）将依法承担全部责任。</w:t>
      </w:r>
    </w:p>
    <w:p w14:paraId="2C37FBA4">
      <w:pPr>
        <w:pStyle w:val="2"/>
        <w:spacing w:line="360" w:lineRule="auto"/>
        <w:ind w:firstLine="720"/>
      </w:pPr>
      <w:r>
        <w:rPr>
          <w:rFonts w:hint="eastAsia" w:ascii="宋体" w:hAnsi="宋体"/>
          <w:sz w:val="24"/>
        </w:rPr>
        <w:t>（10）我方承诺：</w:t>
      </w:r>
      <w:r>
        <w:rPr>
          <w:rFonts w:hint="eastAsia" w:ascii="宋体" w:hAnsi="宋体" w:cs="宋体"/>
          <w:kern w:val="0"/>
          <w:sz w:val="24"/>
          <w:szCs w:val="22"/>
        </w:rPr>
        <w:t>在合同签订后30日内建立有效的服务网点，并向采购人报备。（根据实际需求）</w:t>
      </w:r>
    </w:p>
    <w:p w14:paraId="1D19F51C">
      <w:pPr>
        <w:spacing w:line="360" w:lineRule="auto"/>
        <w:rPr>
          <w:rFonts w:ascii="宋体" w:hAnsi="宋体"/>
          <w:sz w:val="24"/>
        </w:rPr>
      </w:pPr>
      <w:r>
        <w:rPr>
          <w:rFonts w:hint="eastAsia" w:ascii="宋体" w:hAnsi="宋体"/>
          <w:sz w:val="24"/>
        </w:rPr>
        <w:t>（11）根据本项目要求，我单位委派（姓名）（身份证号）作为本项目的项目负责人。</w:t>
      </w:r>
    </w:p>
    <w:p w14:paraId="05F6B7D3">
      <w:pPr>
        <w:spacing w:line="360" w:lineRule="auto"/>
        <w:rPr>
          <w:rFonts w:ascii="宋体" w:hAnsi="宋体"/>
          <w:sz w:val="24"/>
        </w:rPr>
      </w:pPr>
      <w:r>
        <w:rPr>
          <w:rFonts w:hint="eastAsia" w:ascii="宋体" w:hAnsi="宋体"/>
          <w:sz w:val="24"/>
        </w:rPr>
        <w:t>（12）与本响应文件有关的一切往来通讯请寄：</w:t>
      </w:r>
    </w:p>
    <w:p w14:paraId="651E5DE2">
      <w:pPr>
        <w:spacing w:line="360" w:lineRule="auto"/>
        <w:rPr>
          <w:rFonts w:ascii="宋体" w:hAnsi="宋体"/>
          <w:sz w:val="24"/>
        </w:rPr>
      </w:pPr>
    </w:p>
    <w:p w14:paraId="78A6B85A">
      <w:pPr>
        <w:spacing w:line="360" w:lineRule="auto"/>
        <w:rPr>
          <w:rFonts w:ascii="宋体" w:hAnsi="宋体"/>
          <w:sz w:val="24"/>
        </w:rPr>
      </w:pPr>
      <w:r>
        <w:rPr>
          <w:rFonts w:hint="eastAsia" w:ascii="宋体" w:hAnsi="宋体"/>
          <w:sz w:val="24"/>
        </w:rPr>
        <w:t>地址传真：</w:t>
      </w:r>
    </w:p>
    <w:p w14:paraId="4B7C12D5">
      <w:pPr>
        <w:spacing w:line="360" w:lineRule="auto"/>
        <w:rPr>
          <w:rFonts w:ascii="宋体" w:hAnsi="宋体"/>
          <w:sz w:val="24"/>
        </w:rPr>
      </w:pPr>
      <w:r>
        <w:rPr>
          <w:rFonts w:hint="eastAsia" w:ascii="宋体" w:hAnsi="宋体"/>
          <w:sz w:val="24"/>
        </w:rPr>
        <w:t>电话电子函件：</w:t>
      </w:r>
    </w:p>
    <w:p w14:paraId="37221AAA">
      <w:pPr>
        <w:spacing w:line="360" w:lineRule="auto"/>
        <w:rPr>
          <w:rFonts w:ascii="宋体" w:hAnsi="宋体"/>
          <w:sz w:val="24"/>
        </w:rPr>
      </w:pPr>
    </w:p>
    <w:p w14:paraId="07D62D41">
      <w:pPr>
        <w:spacing w:line="360" w:lineRule="auto"/>
        <w:rPr>
          <w:rFonts w:ascii="宋体" w:hAnsi="宋体"/>
          <w:sz w:val="24"/>
        </w:rPr>
      </w:pPr>
      <w:r>
        <w:rPr>
          <w:rFonts w:hint="eastAsia" w:ascii="宋体" w:hAnsi="宋体"/>
          <w:sz w:val="24"/>
        </w:rPr>
        <w:t>供应商名称（盖章）：</w:t>
      </w:r>
    </w:p>
    <w:p w14:paraId="1A327619">
      <w:pPr>
        <w:spacing w:line="360" w:lineRule="auto"/>
        <w:rPr>
          <w:rFonts w:ascii="宋体" w:hAnsi="宋体"/>
          <w:sz w:val="24"/>
        </w:rPr>
      </w:pPr>
      <w:r>
        <w:rPr>
          <w:rFonts w:hint="eastAsia" w:ascii="宋体" w:hAnsi="宋体"/>
          <w:sz w:val="24"/>
        </w:rPr>
        <w:t>供应商代表（签字）：</w:t>
      </w:r>
    </w:p>
    <w:p w14:paraId="7570DC4D">
      <w:pPr>
        <w:spacing w:line="360" w:lineRule="auto"/>
        <w:rPr>
          <w:rFonts w:ascii="宋体" w:hAnsi="宋体"/>
          <w:sz w:val="24"/>
        </w:rPr>
      </w:pPr>
      <w:r>
        <w:rPr>
          <w:rFonts w:hint="eastAsia" w:ascii="宋体" w:hAnsi="宋体"/>
          <w:sz w:val="24"/>
        </w:rPr>
        <w:t>日期：</w:t>
      </w:r>
    </w:p>
    <w:p w14:paraId="1FF85EB6">
      <w:pPr>
        <w:rPr>
          <w:rFonts w:ascii="宋体" w:hAnsi="宋体"/>
          <w:sz w:val="24"/>
        </w:rPr>
      </w:pPr>
      <w:r>
        <w:rPr>
          <w:rFonts w:hint="eastAsia" w:ascii="宋体" w:hAnsi="宋体"/>
          <w:sz w:val="24"/>
        </w:rPr>
        <w:br w:type="page"/>
      </w:r>
    </w:p>
    <w:p w14:paraId="694E39F3">
      <w:pPr>
        <w:pStyle w:val="4"/>
        <w:spacing w:before="312" w:after="312"/>
        <w:rPr>
          <w:rFonts w:ascii="黑体"/>
          <w:b/>
          <w:kern w:val="44"/>
          <w:sz w:val="32"/>
        </w:rPr>
      </w:pPr>
      <w:r>
        <w:rPr>
          <w:rStyle w:val="106"/>
          <w:rFonts w:hint="eastAsia" w:hAnsi="宋体"/>
          <w:b w:val="0"/>
          <w:bCs w:val="0"/>
          <w:sz w:val="24"/>
          <w:szCs w:val="24"/>
        </w:rPr>
        <w:t>附件2：法定代表人身份证明及授权委托书</w:t>
      </w:r>
    </w:p>
    <w:p w14:paraId="419CF1CE">
      <w:pPr>
        <w:topLinePunct/>
        <w:spacing w:line="360" w:lineRule="auto"/>
        <w:ind w:firstLine="420" w:firstLineChars="200"/>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（姓名）</w:t>
      </w:r>
      <w:r>
        <w:rPr>
          <w:rFonts w:hint="eastAsia" w:ascii="宋体" w:hAnsi="宋体" w:cs="宋体"/>
          <w:szCs w:val="21"/>
        </w:rPr>
        <w:t>系</w:t>
      </w:r>
      <w:r>
        <w:rPr>
          <w:rFonts w:hint="eastAsia" w:ascii="宋体" w:hAnsi="宋体" w:cs="宋体"/>
          <w:szCs w:val="21"/>
          <w:u w:val="single"/>
        </w:rPr>
        <w:t xml:space="preserve"> （供应商名称）</w:t>
      </w:r>
      <w:r>
        <w:rPr>
          <w:rFonts w:hint="eastAsia" w:ascii="宋体" w:hAnsi="宋体" w:cs="宋体"/>
          <w:szCs w:val="21"/>
        </w:rPr>
        <w:t>的法定代表人，现委托</w:t>
      </w:r>
      <w:r>
        <w:rPr>
          <w:rFonts w:hint="eastAsia" w:ascii="宋体" w:hAnsi="宋体" w:cs="宋体"/>
          <w:szCs w:val="21"/>
          <w:u w:val="single"/>
        </w:rPr>
        <w:t xml:space="preserve"> （姓名）</w:t>
      </w:r>
      <w:r>
        <w:rPr>
          <w:rFonts w:hint="eastAsia" w:ascii="宋体" w:hAnsi="宋体" w:cs="宋体"/>
          <w:szCs w:val="21"/>
        </w:rPr>
        <w:t>为我方授权代表。授权代表根据授权，以我方名义全权处理</w:t>
      </w:r>
      <w:r>
        <w:rPr>
          <w:rFonts w:hint="eastAsia" w:ascii="宋体" w:hAnsi="宋体" w:cs="宋体"/>
          <w:color w:val="000000"/>
          <w:szCs w:val="21"/>
          <w:u w:val="single"/>
        </w:rPr>
        <w:t xml:space="preserve">            项目</w:t>
      </w:r>
      <w:r>
        <w:rPr>
          <w:rFonts w:hint="eastAsia" w:ascii="宋体" w:hAnsi="宋体" w:cs="宋体"/>
          <w:szCs w:val="21"/>
        </w:rPr>
        <w:t>（签署、澄清、说明、补正、递交、撤回、修改响应文件、参与谈判、签订合同和处理一切有关事宜），其法律后果由我方承担。</w:t>
      </w:r>
    </w:p>
    <w:p w14:paraId="2B80F251">
      <w:pPr>
        <w:spacing w:line="360" w:lineRule="auto"/>
        <w:ind w:firstLine="420" w:firstLineChars="200"/>
        <w:rPr>
          <w:rFonts w:ascii="宋体" w:hAnsi="宋体" w:cs="宋体"/>
          <w:szCs w:val="21"/>
        </w:rPr>
      </w:pPr>
      <w:r>
        <w:rPr>
          <w:rFonts w:hint="eastAsia" w:ascii="宋体" w:hAnsi="宋体" w:cs="宋体"/>
          <w:szCs w:val="21"/>
        </w:rPr>
        <w:t>委托期限：。</w:t>
      </w:r>
    </w:p>
    <w:p w14:paraId="4491C74A">
      <w:pPr>
        <w:spacing w:line="360" w:lineRule="auto"/>
        <w:ind w:firstLine="420" w:firstLineChars="200"/>
        <w:rPr>
          <w:rFonts w:ascii="宋体" w:hAnsi="宋体" w:cs="宋体"/>
          <w:szCs w:val="21"/>
        </w:rPr>
      </w:pPr>
      <w:r>
        <w:rPr>
          <w:rFonts w:hint="eastAsia" w:ascii="宋体" w:hAnsi="宋体" w:cs="宋体"/>
          <w:szCs w:val="21"/>
        </w:rPr>
        <w:t>授权代表无转委托权。</w:t>
      </w:r>
    </w:p>
    <w:p w14:paraId="210D4D48">
      <w:pPr>
        <w:spacing w:line="360" w:lineRule="auto"/>
        <w:ind w:firstLine="420" w:firstLineChars="200"/>
        <w:rPr>
          <w:rFonts w:ascii="宋体" w:hAnsi="宋体" w:cs="宋体"/>
          <w:szCs w:val="21"/>
        </w:rPr>
      </w:pPr>
      <w:r>
        <w:rPr>
          <w:rFonts w:hint="eastAsia" w:ascii="宋体" w:hAnsi="宋体" w:cs="宋体"/>
          <w:szCs w:val="21"/>
        </w:rPr>
        <w:t>附：法定代表人和授权代表身份证复印件(需同时提供正面及背面)</w:t>
      </w:r>
    </w:p>
    <w:p w14:paraId="0D055092">
      <w:pPr>
        <w:spacing w:line="360" w:lineRule="auto"/>
        <w:ind w:firstLine="420" w:firstLineChars="200"/>
        <w:rPr>
          <w:rFonts w:ascii="宋体" w:hAnsi="宋体" w:cs="宋体"/>
          <w:szCs w:val="21"/>
        </w:rPr>
      </w:pPr>
      <w:r>
        <w:rPr>
          <w:rFonts w:ascii="宋体" w:hAnsi="宋体" w:cs="宋体"/>
          <w:szCs w:val="21"/>
        </w:rPr>
        <mc:AlternateContent>
          <mc:Choice Requires="wps">
            <w:drawing>
              <wp:anchor distT="0" distB="0" distL="114300" distR="114300" simplePos="0" relativeHeight="251660288" behindDoc="0" locked="0" layoutInCell="1" allowOverlap="1">
                <wp:simplePos x="0" y="0"/>
                <wp:positionH relativeFrom="column">
                  <wp:posOffset>-702945</wp:posOffset>
                </wp:positionH>
                <wp:positionV relativeFrom="paragraph">
                  <wp:posOffset>121920</wp:posOffset>
                </wp:positionV>
                <wp:extent cx="3297555" cy="2113915"/>
                <wp:effectExtent l="4445" t="4445" r="12700" b="15240"/>
                <wp:wrapNone/>
                <wp:docPr id="2"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90A1D73">
                            <w:pPr>
                              <w:ind w:firstLine="420"/>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7" o:spid="_x0000_s1026" o:spt="176" type="#_x0000_t176" style="position:absolute;left:0pt;margin-left:-55.35pt;margin-top:9.6pt;height:166.45pt;width:259.65pt;z-index:251660288;mso-width-relative:page;mso-height-relative:page;" fillcolor="#FFFFFF" filled="t" stroked="t" coordsize="21600,21600" o:gfxdata="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0CazR2QAAAAsBAAAPAAAAAAAAAAEAIAAAACIAAABkcnMvZG93bnJldi54bWxQSwEC&#10;FAAUAAAACACHTuJA8tqEXWUCAACvBAAADgAAAAAAAAABACAAAAAoAQAAZHJzL2Uyb0RvYy54bWxQ&#10;SwUGAAAAAAYABgBZAQAA/wUAAAAA&#10;">
                <v:fill on="t" focussize="0,0"/>
                <v:stroke color="#000000" miterlimit="8" joinstyle="miter"/>
                <v:imagedata o:title=""/>
                <o:lock v:ext="edit" aspectratio="f"/>
                <v:textbox>
                  <w:txbxContent>
                    <w:p w14:paraId="690A1D73">
                      <w:pPr>
                        <w:ind w:firstLine="420"/>
                        <w:jc w:val="center"/>
                        <w:rPr>
                          <w:szCs w:val="21"/>
                        </w:rPr>
                      </w:pPr>
                      <w:r>
                        <w:rPr>
                          <w:rFonts w:hint="eastAsia"/>
                          <w:szCs w:val="21"/>
                        </w:rPr>
                        <w:t>法定代表人身份证正面复印件</w:t>
                      </w:r>
                    </w:p>
                  </w:txbxContent>
                </v:textbox>
              </v:shape>
            </w:pict>
          </mc:Fallback>
        </mc:AlternateContent>
      </w:r>
      <w:r>
        <w:rPr>
          <w:rFonts w:ascii="宋体" w:hAnsi="宋体" w:cs="宋体"/>
          <w:szCs w:val="21"/>
        </w:rPr>
        <mc:AlternateContent>
          <mc:Choice Requires="wps">
            <w:drawing>
              <wp:anchor distT="0" distB="0" distL="114300" distR="114300" simplePos="0" relativeHeight="251659264" behindDoc="0" locked="0" layoutInCell="1" allowOverlap="1">
                <wp:simplePos x="0" y="0"/>
                <wp:positionH relativeFrom="column">
                  <wp:posOffset>2600960</wp:posOffset>
                </wp:positionH>
                <wp:positionV relativeFrom="paragraph">
                  <wp:posOffset>109220</wp:posOffset>
                </wp:positionV>
                <wp:extent cx="3297555" cy="2113915"/>
                <wp:effectExtent l="4445" t="4445" r="12700" b="15240"/>
                <wp:wrapNone/>
                <wp:docPr id="1"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1EFBDFA5">
                            <w:pPr>
                              <w:ind w:firstLine="420"/>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5" o:spid="_x0000_s1026" o:spt="176" type="#_x0000_t176" style="position:absolute;left:0pt;margin-left:204.8pt;margin-top:8.6pt;height:166.45pt;width:259.65pt;z-index:251659264;mso-width-relative:page;mso-height-relative:page;" fillcolor="#FFFFFF" filled="t" stroked="t" coordsize="21600,21600" o:gfxdata="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rNxyXYAAAACgEAAA8AAAAAAAAAAQAgAAAAIgAAAGRycy9kb3ducmV2LnhtbFBLAQIU&#10;ABQAAAAIAIdO4kBLuxPwZQIAAK8EAAAOAAAAAAAAAAEAIAAAACcBAABkcnMvZTJvRG9jLnhtbFBL&#10;BQYAAAAABgAGAFkBAAD+BQAAAAA=&#10;">
                <v:fill on="t" focussize="0,0"/>
                <v:stroke color="#000000" miterlimit="8" joinstyle="miter"/>
                <v:imagedata o:title=""/>
                <o:lock v:ext="edit" aspectratio="f"/>
                <v:textbox>
                  <w:txbxContent>
                    <w:p w14:paraId="1EFBDFA5">
                      <w:pPr>
                        <w:ind w:firstLine="420"/>
                        <w:jc w:val="center"/>
                        <w:rPr>
                          <w:szCs w:val="21"/>
                        </w:rPr>
                      </w:pPr>
                      <w:r>
                        <w:rPr>
                          <w:rFonts w:hint="eastAsia"/>
                          <w:szCs w:val="21"/>
                        </w:rPr>
                        <w:t>法定代表人身份证背面复印件</w:t>
                      </w:r>
                    </w:p>
                  </w:txbxContent>
                </v:textbox>
              </v:shape>
            </w:pict>
          </mc:Fallback>
        </mc:AlternateContent>
      </w:r>
    </w:p>
    <w:p w14:paraId="6D42C9B3">
      <w:pPr>
        <w:spacing w:line="360" w:lineRule="auto"/>
        <w:ind w:firstLine="420" w:firstLineChars="200"/>
        <w:rPr>
          <w:rFonts w:ascii="宋体" w:hAnsi="宋体" w:cs="宋体"/>
          <w:szCs w:val="21"/>
        </w:rPr>
      </w:pPr>
    </w:p>
    <w:p w14:paraId="0C826698">
      <w:pPr>
        <w:spacing w:line="360" w:lineRule="auto"/>
        <w:ind w:firstLine="420" w:firstLineChars="200"/>
        <w:rPr>
          <w:rFonts w:ascii="宋体" w:hAnsi="宋体" w:cs="宋体"/>
          <w:szCs w:val="21"/>
        </w:rPr>
      </w:pPr>
    </w:p>
    <w:p w14:paraId="40D57145">
      <w:pPr>
        <w:spacing w:line="360" w:lineRule="auto"/>
        <w:ind w:firstLine="420" w:firstLineChars="200"/>
        <w:rPr>
          <w:rFonts w:ascii="宋体" w:hAnsi="宋体" w:cs="宋体"/>
          <w:szCs w:val="21"/>
        </w:rPr>
      </w:pPr>
    </w:p>
    <w:p w14:paraId="4DD40B32">
      <w:pPr>
        <w:spacing w:line="360" w:lineRule="auto"/>
        <w:ind w:firstLine="420" w:firstLineChars="200"/>
        <w:rPr>
          <w:rFonts w:ascii="宋体" w:hAnsi="宋体" w:cs="宋体"/>
          <w:szCs w:val="21"/>
        </w:rPr>
      </w:pPr>
    </w:p>
    <w:p w14:paraId="06939516">
      <w:pPr>
        <w:spacing w:line="360" w:lineRule="auto"/>
        <w:ind w:firstLine="420" w:firstLineChars="200"/>
        <w:rPr>
          <w:rFonts w:ascii="宋体" w:hAnsi="宋体" w:cs="宋体"/>
          <w:szCs w:val="21"/>
        </w:rPr>
      </w:pPr>
    </w:p>
    <w:p w14:paraId="23DE36C9">
      <w:pPr>
        <w:spacing w:line="360" w:lineRule="auto"/>
        <w:ind w:firstLine="420" w:firstLineChars="200"/>
        <w:rPr>
          <w:rFonts w:ascii="宋体" w:hAnsi="宋体" w:cs="宋体"/>
          <w:szCs w:val="21"/>
        </w:rPr>
      </w:pPr>
    </w:p>
    <w:p w14:paraId="52DCA777">
      <w:pPr>
        <w:spacing w:line="360" w:lineRule="auto"/>
        <w:ind w:firstLine="420" w:firstLineChars="200"/>
        <w:rPr>
          <w:rFonts w:ascii="宋体" w:hAnsi="宋体" w:cs="宋体"/>
          <w:szCs w:val="21"/>
        </w:rPr>
      </w:pP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2575560</wp:posOffset>
                </wp:positionH>
                <wp:positionV relativeFrom="paragraph">
                  <wp:posOffset>224790</wp:posOffset>
                </wp:positionV>
                <wp:extent cx="3297555" cy="2113915"/>
                <wp:effectExtent l="4445" t="4445" r="12700" b="15240"/>
                <wp:wrapNone/>
                <wp:docPr id="3"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335A7EDF">
                            <w:pPr>
                              <w:ind w:firstLine="420"/>
                              <w:jc w:val="center"/>
                              <w:rPr>
                                <w:szCs w:val="21"/>
                              </w:rPr>
                            </w:pPr>
                            <w:r>
                              <w:rPr>
                                <w:rFonts w:hint="eastAsia"/>
                                <w:szCs w:val="21"/>
                              </w:rPr>
                              <w:t>授权代表身份证背面复印件</w:t>
                            </w:r>
                          </w:p>
                        </w:txbxContent>
                      </wps:txbx>
                      <wps:bodyPr rot="0" vert="horz" wrap="square" lIns="91440" tIns="45720" rIns="91440" bIns="45720" anchor="t" anchorCtr="0" upright="1">
                        <a:noAutofit/>
                      </wps:bodyPr>
                    </wps:wsp>
                  </a:graphicData>
                </a:graphic>
              </wp:anchor>
            </w:drawing>
          </mc:Choice>
          <mc:Fallback>
            <w:pict>
              <v:shape id="流程图: 可选过程 8" o:spid="_x0000_s1026" o:spt="176" type="#_x0000_t176" style="position:absolute;left:0pt;margin-left:202.8pt;margin-top:17.7pt;height:166.45pt;width:259.65pt;z-index:251661312;mso-width-relative:page;mso-height-relative:page;" fillcolor="#FFFFFF" filled="t" stroked="t" coordsize="21600,21600" o:gfxdata="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kUTcvYAAAACgEAAA8AAAAAAAAAAQAgAAAAIgAAAGRycy9kb3ducmV2LnhtbFBLAQIU&#10;ABQAAAAIAIdO4kCxteO+ZQIAAK8EAAAOAAAAAAAAAAEAIAAAACcBAABkcnMvZTJvRG9jLnhtbFBL&#10;BQYAAAAABgAGAFkBAAD+BQAAAAA=&#10;">
                <v:fill on="t" focussize="0,0"/>
                <v:stroke color="#000000" miterlimit="8" joinstyle="miter"/>
                <v:imagedata o:title=""/>
                <o:lock v:ext="edit" aspectratio="f"/>
                <v:textbox>
                  <w:txbxContent>
                    <w:p w14:paraId="335A7EDF">
                      <w:pPr>
                        <w:ind w:firstLine="420"/>
                        <w:jc w:val="center"/>
                        <w:rPr>
                          <w:szCs w:val="21"/>
                        </w:rPr>
                      </w:pPr>
                      <w:r>
                        <w:rPr>
                          <w:rFonts w:hint="eastAsia"/>
                          <w:szCs w:val="21"/>
                        </w:rPr>
                        <w:t>授权代表身份证背面复印件</w:t>
                      </w:r>
                    </w:p>
                  </w:txbxContent>
                </v:textbox>
              </v:shape>
            </w:pict>
          </mc:Fallback>
        </mc:AlternateContent>
      </w:r>
      <w:r>
        <w:rPr>
          <w:rFonts w:ascii="宋体" w:hAnsi="宋体" w:cs="宋体"/>
        </w:rPr>
        <mc:AlternateContent>
          <mc:Choice Requires="wps">
            <w:drawing>
              <wp:anchor distT="0" distB="0" distL="114300" distR="114300" simplePos="0" relativeHeight="251662336" behindDoc="0" locked="0" layoutInCell="1" allowOverlap="1">
                <wp:simplePos x="0" y="0"/>
                <wp:positionH relativeFrom="column">
                  <wp:posOffset>-728345</wp:posOffset>
                </wp:positionH>
                <wp:positionV relativeFrom="paragraph">
                  <wp:posOffset>250190</wp:posOffset>
                </wp:positionV>
                <wp:extent cx="3297555" cy="2113915"/>
                <wp:effectExtent l="4445" t="4445" r="12700" b="15240"/>
                <wp:wrapNone/>
                <wp:docPr id="4" name="流程图: 可选过程 1"/>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105C1E8E">
                            <w:pPr>
                              <w:ind w:firstLine="420"/>
                              <w:jc w:val="center"/>
                              <w:rPr>
                                <w:szCs w:val="21"/>
                              </w:rPr>
                            </w:pPr>
                            <w:r>
                              <w:rPr>
                                <w:rFonts w:hint="eastAsia"/>
                                <w:szCs w:val="21"/>
                              </w:rPr>
                              <w:t>授权代表身份证正面复印件</w:t>
                            </w:r>
                          </w:p>
                        </w:txbxContent>
                      </wps:txbx>
                      <wps:bodyPr rot="0" vert="horz" wrap="square" lIns="91440" tIns="45720" rIns="91440" bIns="45720" anchor="t" anchorCtr="0" upright="1">
                        <a:noAutofit/>
                      </wps:bodyPr>
                    </wps:wsp>
                  </a:graphicData>
                </a:graphic>
              </wp:anchor>
            </w:drawing>
          </mc:Choice>
          <mc:Fallback>
            <w:pict>
              <v:shape id="流程图: 可选过程 1" o:spid="_x0000_s1026" o:spt="176" type="#_x0000_t176" style="position:absolute;left:0pt;margin-left:-57.35pt;margin-top:19.7pt;height:166.45pt;width:259.65pt;z-index:251662336;mso-width-relative:page;mso-height-relative:page;" fillcolor="#FFFFFF" filled="t" stroked="t" coordsize="21600,21600" o:gfxdata="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KjptdoAAAALAQAADwAAAAAAAAABACAAAAAiAAAAZHJzL2Rvd25yZXYueG1sUEsB&#10;AhQAFAAAAAgAh07iQIsgk6hlAgAArwQAAA4AAAAAAAAAAQAgAAAAKQEAAGRycy9lMm9Eb2MueG1s&#10;UEsFBgAAAAAGAAYAWQEAAAAGAAAAAA==&#10;">
                <v:fill on="t" focussize="0,0"/>
                <v:stroke color="#000000" miterlimit="8" joinstyle="miter"/>
                <v:imagedata o:title=""/>
                <o:lock v:ext="edit" aspectratio="f"/>
                <v:textbox>
                  <w:txbxContent>
                    <w:p w14:paraId="105C1E8E">
                      <w:pPr>
                        <w:ind w:firstLine="420"/>
                        <w:jc w:val="center"/>
                        <w:rPr>
                          <w:szCs w:val="21"/>
                        </w:rPr>
                      </w:pPr>
                      <w:r>
                        <w:rPr>
                          <w:rFonts w:hint="eastAsia"/>
                          <w:szCs w:val="21"/>
                        </w:rPr>
                        <w:t>授权代表身份证正面复印件</w:t>
                      </w:r>
                    </w:p>
                  </w:txbxContent>
                </v:textbox>
              </v:shape>
            </w:pict>
          </mc:Fallback>
        </mc:AlternateContent>
      </w:r>
    </w:p>
    <w:p w14:paraId="446BB46D">
      <w:pPr>
        <w:spacing w:line="360" w:lineRule="auto"/>
        <w:ind w:firstLine="420" w:firstLineChars="200"/>
        <w:rPr>
          <w:rFonts w:ascii="宋体" w:hAnsi="宋体" w:cs="宋体"/>
          <w:szCs w:val="21"/>
        </w:rPr>
      </w:pPr>
    </w:p>
    <w:p w14:paraId="50D18426">
      <w:pPr>
        <w:spacing w:line="360" w:lineRule="auto"/>
        <w:ind w:firstLine="420" w:firstLineChars="200"/>
        <w:rPr>
          <w:rFonts w:ascii="宋体" w:hAnsi="宋体" w:cs="宋体"/>
          <w:szCs w:val="21"/>
        </w:rPr>
      </w:pPr>
    </w:p>
    <w:p w14:paraId="68C3228E">
      <w:pPr>
        <w:spacing w:line="360" w:lineRule="auto"/>
        <w:ind w:firstLine="420" w:firstLineChars="200"/>
        <w:rPr>
          <w:rFonts w:ascii="宋体" w:hAnsi="宋体" w:cs="宋体"/>
          <w:szCs w:val="21"/>
        </w:rPr>
      </w:pPr>
    </w:p>
    <w:p w14:paraId="63B8383A">
      <w:pPr>
        <w:spacing w:line="360" w:lineRule="auto"/>
        <w:ind w:firstLine="420" w:firstLineChars="200"/>
        <w:rPr>
          <w:rFonts w:ascii="宋体" w:hAnsi="宋体" w:cs="宋体"/>
          <w:szCs w:val="21"/>
        </w:rPr>
      </w:pPr>
    </w:p>
    <w:p w14:paraId="55A2415B">
      <w:pPr>
        <w:spacing w:line="360" w:lineRule="auto"/>
        <w:ind w:firstLine="420" w:firstLineChars="200"/>
        <w:rPr>
          <w:rFonts w:ascii="宋体" w:hAnsi="宋体" w:cs="宋体"/>
          <w:szCs w:val="21"/>
        </w:rPr>
      </w:pPr>
    </w:p>
    <w:p w14:paraId="5F24DD18">
      <w:pPr>
        <w:spacing w:line="360" w:lineRule="auto"/>
        <w:ind w:firstLine="420" w:firstLineChars="200"/>
        <w:rPr>
          <w:rFonts w:ascii="宋体" w:hAnsi="宋体" w:cs="宋体"/>
          <w:szCs w:val="21"/>
        </w:rPr>
      </w:pPr>
    </w:p>
    <w:p w14:paraId="1F3246B9">
      <w:pPr>
        <w:spacing w:line="360" w:lineRule="auto"/>
        <w:ind w:firstLine="420" w:firstLineChars="200"/>
        <w:rPr>
          <w:rFonts w:ascii="宋体" w:hAnsi="宋体" w:cs="宋体"/>
          <w:szCs w:val="21"/>
        </w:rPr>
      </w:pPr>
    </w:p>
    <w:p w14:paraId="508D2B15">
      <w:pPr>
        <w:spacing w:line="360" w:lineRule="auto"/>
        <w:ind w:firstLine="420" w:firstLineChars="200"/>
        <w:jc w:val="right"/>
        <w:rPr>
          <w:rFonts w:ascii="宋体" w:hAnsi="宋体" w:cs="宋体"/>
          <w:szCs w:val="21"/>
        </w:rPr>
      </w:pPr>
      <w:r>
        <w:rPr>
          <w:rFonts w:hint="eastAsia" w:ascii="宋体" w:hAnsi="宋体" w:cs="宋体"/>
          <w:szCs w:val="21"/>
        </w:rPr>
        <w:t>供应商名称：（盖单位公章）</w:t>
      </w:r>
    </w:p>
    <w:p w14:paraId="4CAFEDB0">
      <w:pPr>
        <w:spacing w:line="360" w:lineRule="auto"/>
        <w:ind w:firstLine="420" w:firstLineChars="200"/>
        <w:jc w:val="right"/>
        <w:rPr>
          <w:rFonts w:ascii="宋体" w:hAnsi="宋体" w:cs="宋体"/>
          <w:szCs w:val="21"/>
        </w:rPr>
      </w:pPr>
      <w:r>
        <w:rPr>
          <w:rFonts w:hint="eastAsia" w:ascii="宋体" w:hAnsi="宋体" w:cs="宋体"/>
          <w:szCs w:val="21"/>
        </w:rPr>
        <w:t>法定代表人：（签字）</w:t>
      </w:r>
    </w:p>
    <w:p w14:paraId="0999BA8E">
      <w:pPr>
        <w:spacing w:line="360" w:lineRule="auto"/>
        <w:ind w:right="420" w:firstLine="2940" w:firstLineChars="1400"/>
        <w:rPr>
          <w:rFonts w:ascii="宋体" w:hAnsi="宋体" w:cs="宋体"/>
          <w:szCs w:val="21"/>
        </w:rPr>
      </w:pPr>
      <w:r>
        <w:rPr>
          <w:rFonts w:hint="eastAsia" w:ascii="宋体" w:hAnsi="宋体" w:cs="宋体"/>
          <w:szCs w:val="21"/>
        </w:rPr>
        <w:t>身份证号码：</w:t>
      </w:r>
    </w:p>
    <w:p w14:paraId="1202245C">
      <w:pPr>
        <w:spacing w:line="360" w:lineRule="auto"/>
        <w:ind w:right="105" w:firstLine="420" w:firstLineChars="200"/>
        <w:jc w:val="right"/>
        <w:rPr>
          <w:rFonts w:ascii="宋体" w:hAnsi="宋体" w:cs="宋体"/>
          <w:szCs w:val="21"/>
        </w:rPr>
      </w:pPr>
      <w:r>
        <w:rPr>
          <w:rFonts w:hint="eastAsia" w:ascii="宋体" w:hAnsi="宋体" w:cs="宋体"/>
          <w:szCs w:val="21"/>
        </w:rPr>
        <w:t xml:space="preserve">    委托授权代表：（签字）</w:t>
      </w:r>
    </w:p>
    <w:p w14:paraId="745B129F">
      <w:pPr>
        <w:spacing w:line="360" w:lineRule="auto"/>
        <w:ind w:right="105" w:firstLine="2940" w:firstLineChars="1400"/>
        <w:rPr>
          <w:rFonts w:ascii="宋体" w:hAnsi="宋体" w:cs="宋体"/>
          <w:szCs w:val="21"/>
        </w:rPr>
      </w:pPr>
      <w:r>
        <w:rPr>
          <w:rFonts w:hint="eastAsia" w:ascii="宋体" w:hAnsi="宋体" w:cs="宋体"/>
          <w:szCs w:val="21"/>
        </w:rPr>
        <w:t>身份证号码：</w:t>
      </w:r>
    </w:p>
    <w:p w14:paraId="585B025C">
      <w:pPr>
        <w:spacing w:line="360" w:lineRule="auto"/>
        <w:ind w:firstLine="2310" w:firstLineChars="1100"/>
        <w:jc w:val="right"/>
        <w:rPr>
          <w:rFonts w:ascii="宋体" w:hAnsi="宋体" w:cs="宋体"/>
          <w:szCs w:val="21"/>
        </w:rPr>
      </w:pPr>
      <w:r>
        <w:rPr>
          <w:rFonts w:hint="eastAsia" w:ascii="宋体" w:hAnsi="宋体" w:cs="宋体"/>
          <w:szCs w:val="21"/>
        </w:rPr>
        <w:t>年月日</w:t>
      </w:r>
    </w:p>
    <w:p w14:paraId="43EF961F">
      <w:pPr>
        <w:pStyle w:val="4"/>
        <w:spacing w:before="312" w:after="312"/>
        <w:rPr>
          <w:rStyle w:val="106"/>
          <w:rFonts w:hAnsi="宋体"/>
          <w:b w:val="0"/>
          <w:bCs w:val="0"/>
          <w:sz w:val="24"/>
          <w:szCs w:val="24"/>
        </w:rPr>
      </w:pPr>
      <w:r>
        <w:br w:type="page"/>
      </w:r>
      <w:bookmarkStart w:id="74" w:name="_Toc26260034"/>
      <w:bookmarkStart w:id="75" w:name="_Toc26259740"/>
      <w:bookmarkStart w:id="76" w:name="_Toc69378664"/>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(格式)</w:t>
      </w:r>
    </w:p>
    <w:p w14:paraId="35470639">
      <w:pPr>
        <w:rPr>
          <w:b/>
          <w:color w:val="000000"/>
          <w:szCs w:val="21"/>
        </w:rPr>
      </w:pPr>
      <w:r>
        <w:rPr>
          <w:color w:val="000000"/>
        </w:rPr>
        <w:t>项目名称：</w:t>
      </w:r>
    </w:p>
    <w:tbl>
      <w:tblPr>
        <w:tblStyle w:val="53"/>
        <w:tblW w:w="9628" w:type="dxa"/>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638"/>
        <w:gridCol w:w="850"/>
        <w:gridCol w:w="1134"/>
        <w:gridCol w:w="1338"/>
      </w:tblGrid>
      <w:tr w14:paraId="6434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8" w:type="dxa"/>
            <w:vAlign w:val="center"/>
          </w:tcPr>
          <w:p w14:paraId="02BDC9DA">
            <w:pPr>
              <w:jc w:val="center"/>
              <w:rPr>
                <w:rFonts w:ascii="宋体" w:hAnsi="宋体" w:cs="宋体"/>
                <w:b/>
                <w:szCs w:val="21"/>
              </w:rPr>
            </w:pPr>
            <w:r>
              <w:rPr>
                <w:rFonts w:hint="eastAsia" w:ascii="宋体" w:hAnsi="宋体" w:cs="宋体"/>
                <w:b/>
                <w:szCs w:val="21"/>
              </w:rPr>
              <w:t>产品名称</w:t>
            </w:r>
          </w:p>
        </w:tc>
        <w:tc>
          <w:tcPr>
            <w:tcW w:w="4638" w:type="dxa"/>
            <w:vAlign w:val="center"/>
          </w:tcPr>
          <w:p w14:paraId="1392D236">
            <w:pPr>
              <w:jc w:val="center"/>
              <w:rPr>
                <w:rFonts w:ascii="宋体" w:hAnsi="宋体" w:cs="宋体"/>
                <w:b/>
                <w:szCs w:val="21"/>
              </w:rPr>
            </w:pPr>
            <w:r>
              <w:rPr>
                <w:rFonts w:hint="eastAsia" w:ascii="宋体" w:hAnsi="宋体" w:cs="宋体"/>
                <w:b/>
                <w:szCs w:val="21"/>
              </w:rPr>
              <w:t>规格</w:t>
            </w:r>
          </w:p>
        </w:tc>
        <w:tc>
          <w:tcPr>
            <w:tcW w:w="850" w:type="dxa"/>
            <w:vAlign w:val="center"/>
          </w:tcPr>
          <w:p w14:paraId="0EF1B098">
            <w:pPr>
              <w:jc w:val="center"/>
              <w:rPr>
                <w:rFonts w:ascii="宋体" w:hAnsi="宋体" w:cs="宋体"/>
                <w:b/>
                <w:szCs w:val="21"/>
              </w:rPr>
            </w:pPr>
            <w:r>
              <w:rPr>
                <w:rFonts w:hint="eastAsia" w:ascii="宋体" w:hAnsi="宋体" w:cs="宋体"/>
                <w:b/>
                <w:szCs w:val="21"/>
              </w:rPr>
              <w:t>数量</w:t>
            </w:r>
          </w:p>
        </w:tc>
        <w:tc>
          <w:tcPr>
            <w:tcW w:w="1134" w:type="dxa"/>
            <w:vAlign w:val="center"/>
          </w:tcPr>
          <w:p w14:paraId="08A10FED">
            <w:pPr>
              <w:spacing w:line="400" w:lineRule="exact"/>
              <w:jc w:val="center"/>
              <w:rPr>
                <w:b/>
                <w:color w:val="000000"/>
                <w:szCs w:val="21"/>
              </w:rPr>
            </w:pPr>
            <w:r>
              <w:rPr>
                <w:rFonts w:hint="eastAsia"/>
                <w:b/>
                <w:color w:val="000000"/>
                <w:szCs w:val="21"/>
              </w:rPr>
              <w:t>含税总价</w:t>
            </w:r>
          </w:p>
          <w:p w14:paraId="3C0063AB">
            <w:pPr>
              <w:jc w:val="center"/>
              <w:rPr>
                <w:rFonts w:ascii="宋体" w:hAnsi="宋体" w:cs="宋体"/>
                <w:b/>
                <w:szCs w:val="21"/>
              </w:rPr>
            </w:pPr>
            <w:r>
              <w:rPr>
                <w:rFonts w:hint="eastAsia"/>
                <w:b/>
                <w:color w:val="000000"/>
                <w:szCs w:val="21"/>
              </w:rPr>
              <w:t>（元）</w:t>
            </w:r>
          </w:p>
        </w:tc>
        <w:tc>
          <w:tcPr>
            <w:tcW w:w="1338" w:type="dxa"/>
            <w:vAlign w:val="center"/>
          </w:tcPr>
          <w:p w14:paraId="66D34773">
            <w:pPr>
              <w:spacing w:line="400" w:lineRule="exact"/>
              <w:jc w:val="center"/>
              <w:rPr>
                <w:b/>
                <w:color w:val="000000"/>
                <w:szCs w:val="21"/>
              </w:rPr>
            </w:pPr>
            <w:r>
              <w:rPr>
                <w:rFonts w:hint="eastAsia"/>
                <w:b/>
                <w:color w:val="000000"/>
                <w:szCs w:val="21"/>
              </w:rPr>
              <w:t>最高限价</w:t>
            </w:r>
          </w:p>
          <w:p w14:paraId="7802D8E6">
            <w:pPr>
              <w:jc w:val="center"/>
              <w:rPr>
                <w:rFonts w:ascii="宋体" w:hAnsi="宋体" w:cs="宋体"/>
                <w:b/>
                <w:szCs w:val="21"/>
              </w:rPr>
            </w:pPr>
            <w:r>
              <w:rPr>
                <w:rFonts w:hint="eastAsia"/>
                <w:b/>
                <w:color w:val="000000"/>
                <w:szCs w:val="21"/>
              </w:rPr>
              <w:t>（含税）</w:t>
            </w:r>
          </w:p>
        </w:tc>
      </w:tr>
      <w:tr w14:paraId="4B944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68" w:type="dxa"/>
            <w:vAlign w:val="center"/>
          </w:tcPr>
          <w:p w14:paraId="0D05A040">
            <w:pPr>
              <w:jc w:val="center"/>
              <w:rPr>
                <w:szCs w:val="21"/>
              </w:rPr>
            </w:pPr>
            <w:r>
              <w:rPr>
                <w:rFonts w:hint="eastAsia"/>
                <w:szCs w:val="21"/>
              </w:rPr>
              <w:t>10090服务质量监督热线建设</w:t>
            </w:r>
          </w:p>
        </w:tc>
        <w:tc>
          <w:tcPr>
            <w:tcW w:w="4638" w:type="dxa"/>
            <w:vAlign w:val="center"/>
          </w:tcPr>
          <w:p w14:paraId="716F7F0B">
            <w:pPr>
              <w:spacing w:line="400" w:lineRule="exact"/>
              <w:jc w:val="left"/>
              <w:rPr>
                <w:rFonts w:ascii="宋体" w:hAnsi="宋体" w:cs="宋体"/>
                <w:bCs/>
                <w:kern w:val="0"/>
                <w:szCs w:val="21"/>
              </w:rPr>
            </w:pPr>
            <w:r>
              <w:rPr>
                <w:rFonts w:hint="eastAsia" w:ascii="宋体" w:hAnsi="宋体" w:cs="宋体"/>
                <w:bCs/>
                <w:kern w:val="0"/>
                <w:szCs w:val="21"/>
              </w:rPr>
              <w:t>1、10090号码对接省内话务平台，IVR流程配置，话务队列新增，对应话务模块改造、策略改造</w:t>
            </w:r>
          </w:p>
          <w:p w14:paraId="462B86A1">
            <w:pPr>
              <w:spacing w:line="400" w:lineRule="exact"/>
              <w:jc w:val="left"/>
              <w:rPr>
                <w:rFonts w:ascii="宋体" w:hAnsi="宋体" w:cs="宋体"/>
                <w:bCs/>
                <w:kern w:val="0"/>
                <w:szCs w:val="21"/>
              </w:rPr>
            </w:pPr>
            <w:r>
              <w:rPr>
                <w:rFonts w:hint="eastAsia" w:ascii="宋体" w:hAnsi="宋体" w:cs="宋体"/>
                <w:bCs/>
                <w:kern w:val="0"/>
                <w:szCs w:val="21"/>
              </w:rPr>
              <w:t>2、客服、工单系统数据结构改造、工作流开发、适配模块改造</w:t>
            </w:r>
          </w:p>
          <w:p w14:paraId="5DBA927A">
            <w:pPr>
              <w:spacing w:line="400" w:lineRule="exact"/>
              <w:jc w:val="left"/>
              <w:rPr>
                <w:rFonts w:ascii="宋体" w:hAnsi="宋体" w:cs="宋体"/>
                <w:bCs/>
                <w:kern w:val="0"/>
                <w:szCs w:val="21"/>
              </w:rPr>
            </w:pPr>
            <w:r>
              <w:rPr>
                <w:rFonts w:hint="eastAsia" w:ascii="宋体" w:hAnsi="宋体" w:cs="宋体"/>
                <w:bCs/>
                <w:kern w:val="0"/>
                <w:szCs w:val="21"/>
              </w:rPr>
              <w:t>3、外围系统对接（一级客服、</w:t>
            </w:r>
            <w:r>
              <w:rPr>
                <w:rFonts w:ascii="宋体" w:hAnsi="宋体" w:cs="宋体"/>
                <w:bCs/>
                <w:kern w:val="0"/>
                <w:szCs w:val="21"/>
              </w:rPr>
              <w:t>BOSS</w:t>
            </w:r>
            <w:r>
              <w:rPr>
                <w:rFonts w:hint="eastAsia" w:ascii="宋体" w:hAnsi="宋体" w:cs="宋体"/>
                <w:bCs/>
                <w:kern w:val="0"/>
                <w:szCs w:val="21"/>
              </w:rPr>
              <w:t>、短信平台等）</w:t>
            </w:r>
          </w:p>
          <w:p w14:paraId="408CCE45">
            <w:pPr>
              <w:rPr>
                <w:sz w:val="18"/>
                <w:szCs w:val="18"/>
              </w:rPr>
            </w:pPr>
            <w:r>
              <w:rPr>
                <w:rFonts w:hint="eastAsia" w:ascii="宋体" w:hAnsi="宋体" w:cs="宋体"/>
                <w:bCs/>
                <w:kern w:val="0"/>
                <w:szCs w:val="21"/>
              </w:rPr>
              <w:t>具体功能要求详见技术需求书。</w:t>
            </w:r>
          </w:p>
        </w:tc>
        <w:tc>
          <w:tcPr>
            <w:tcW w:w="850" w:type="dxa"/>
            <w:vAlign w:val="center"/>
          </w:tcPr>
          <w:p w14:paraId="4AC5E8CA">
            <w:pPr>
              <w:jc w:val="center"/>
              <w:rPr>
                <w:szCs w:val="21"/>
              </w:rPr>
            </w:pPr>
            <w:r>
              <w:rPr>
                <w:rFonts w:hint="eastAsia"/>
                <w:szCs w:val="21"/>
              </w:rPr>
              <w:t>1套</w:t>
            </w:r>
          </w:p>
        </w:tc>
        <w:tc>
          <w:tcPr>
            <w:tcW w:w="1134" w:type="dxa"/>
            <w:vAlign w:val="center"/>
          </w:tcPr>
          <w:p w14:paraId="4F887424">
            <w:pPr>
              <w:jc w:val="center"/>
              <w:rPr>
                <w:szCs w:val="21"/>
              </w:rPr>
            </w:pPr>
          </w:p>
        </w:tc>
        <w:tc>
          <w:tcPr>
            <w:tcW w:w="1338" w:type="dxa"/>
            <w:vAlign w:val="center"/>
          </w:tcPr>
          <w:p w14:paraId="0472D99E">
            <w:pPr>
              <w:jc w:val="center"/>
              <w:rPr>
                <w:szCs w:val="21"/>
              </w:rPr>
            </w:pPr>
            <w:r>
              <w:rPr>
                <w:rFonts w:hint="eastAsia"/>
                <w:szCs w:val="21"/>
              </w:rPr>
              <w:t>25万</w:t>
            </w:r>
          </w:p>
        </w:tc>
      </w:tr>
      <w:tr w14:paraId="79F73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68" w:type="dxa"/>
            <w:vMerge w:val="restart"/>
            <w:vAlign w:val="center"/>
          </w:tcPr>
          <w:p w14:paraId="11A3391C">
            <w:pPr>
              <w:rPr>
                <w:rFonts w:ascii="宋体" w:hAnsi="宋体" w:cs="宋体"/>
              </w:rPr>
            </w:pPr>
            <w:r>
              <w:rPr>
                <w:rFonts w:hint="eastAsia" w:ascii="宋体" w:hAnsi="宋体" w:cs="宋体"/>
              </w:rPr>
              <w:t>服务及培训</w:t>
            </w:r>
          </w:p>
        </w:tc>
        <w:tc>
          <w:tcPr>
            <w:tcW w:w="4638" w:type="dxa"/>
            <w:vAlign w:val="center"/>
          </w:tcPr>
          <w:p w14:paraId="76B84321">
            <w:pPr>
              <w:jc w:val="left"/>
              <w:rPr>
                <w:rFonts w:ascii="宋体" w:hAnsi="宋体" w:cs="宋体"/>
                <w:szCs w:val="21"/>
              </w:rPr>
            </w:pPr>
            <w:r>
              <w:rPr>
                <w:rFonts w:hint="eastAsia" w:ascii="宋体" w:hAnsi="宋体" w:cs="宋体"/>
                <w:szCs w:val="21"/>
              </w:rPr>
              <w:t>系统集成</w:t>
            </w:r>
          </w:p>
        </w:tc>
        <w:tc>
          <w:tcPr>
            <w:tcW w:w="3322" w:type="dxa"/>
            <w:gridSpan w:val="3"/>
          </w:tcPr>
          <w:p w14:paraId="01F9E5EA">
            <w:pPr>
              <w:rPr>
                <w:rFonts w:ascii="宋体" w:hAnsi="宋体" w:cs="宋体"/>
                <w:szCs w:val="21"/>
              </w:rPr>
            </w:pPr>
            <w:r>
              <w:rPr>
                <w:rFonts w:hint="eastAsia" w:ascii="宋体" w:hAnsi="宋体" w:cs="宋体"/>
                <w:szCs w:val="21"/>
              </w:rPr>
              <w:t>包含在软件开发费用之中</w:t>
            </w:r>
          </w:p>
        </w:tc>
      </w:tr>
      <w:tr w14:paraId="7258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68" w:type="dxa"/>
            <w:vMerge w:val="continue"/>
          </w:tcPr>
          <w:p w14:paraId="02237343">
            <w:pPr>
              <w:rPr>
                <w:rFonts w:ascii="宋体" w:hAnsi="宋体" w:cs="宋体"/>
              </w:rPr>
            </w:pPr>
          </w:p>
        </w:tc>
        <w:tc>
          <w:tcPr>
            <w:tcW w:w="4638" w:type="dxa"/>
            <w:vAlign w:val="center"/>
          </w:tcPr>
          <w:p w14:paraId="6D235978">
            <w:pPr>
              <w:spacing w:before="120"/>
              <w:jc w:val="left"/>
              <w:rPr>
                <w:rFonts w:ascii="宋体" w:hAnsi="宋体" w:cs="宋体"/>
                <w:szCs w:val="21"/>
              </w:rPr>
            </w:pPr>
            <w:r>
              <w:rPr>
                <w:rFonts w:hint="eastAsia" w:ascii="宋体" w:hAnsi="宋体" w:cs="宋体"/>
                <w:szCs w:val="21"/>
              </w:rPr>
              <w:t>售后服务</w:t>
            </w:r>
          </w:p>
        </w:tc>
        <w:tc>
          <w:tcPr>
            <w:tcW w:w="3322" w:type="dxa"/>
            <w:gridSpan w:val="3"/>
          </w:tcPr>
          <w:p w14:paraId="58FC8AF9">
            <w:pPr>
              <w:rPr>
                <w:rFonts w:ascii="宋体" w:hAnsi="宋体" w:cs="宋体"/>
                <w:szCs w:val="21"/>
              </w:rPr>
            </w:pPr>
            <w:r>
              <w:rPr>
                <w:rFonts w:hint="eastAsia" w:ascii="宋体" w:hAnsi="宋体" w:cs="宋体"/>
                <w:szCs w:val="21"/>
              </w:rPr>
              <w:t>免费</w:t>
            </w:r>
          </w:p>
        </w:tc>
      </w:tr>
      <w:tr w14:paraId="5BD4C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668" w:type="dxa"/>
            <w:vMerge w:val="continue"/>
          </w:tcPr>
          <w:p w14:paraId="4DFC1369">
            <w:pPr>
              <w:rPr>
                <w:rFonts w:ascii="宋体" w:hAnsi="宋体" w:cs="宋体"/>
              </w:rPr>
            </w:pPr>
          </w:p>
        </w:tc>
        <w:tc>
          <w:tcPr>
            <w:tcW w:w="4638" w:type="dxa"/>
            <w:vAlign w:val="center"/>
          </w:tcPr>
          <w:p w14:paraId="3B5D2A54">
            <w:pPr>
              <w:spacing w:before="120"/>
              <w:jc w:val="left"/>
              <w:rPr>
                <w:rFonts w:ascii="宋体" w:hAnsi="宋体" w:cs="宋体"/>
                <w:szCs w:val="21"/>
              </w:rPr>
            </w:pPr>
            <w:r>
              <w:rPr>
                <w:rFonts w:hint="eastAsia" w:ascii="宋体" w:hAnsi="宋体" w:cs="宋体"/>
                <w:szCs w:val="21"/>
              </w:rPr>
              <w:t>培训</w:t>
            </w:r>
          </w:p>
        </w:tc>
        <w:tc>
          <w:tcPr>
            <w:tcW w:w="3322" w:type="dxa"/>
            <w:gridSpan w:val="3"/>
          </w:tcPr>
          <w:p w14:paraId="20D52045">
            <w:pPr>
              <w:rPr>
                <w:rFonts w:ascii="宋体" w:hAnsi="宋体" w:cs="宋体"/>
                <w:szCs w:val="21"/>
              </w:rPr>
            </w:pPr>
            <w:r>
              <w:rPr>
                <w:rFonts w:hint="eastAsia" w:ascii="宋体" w:hAnsi="宋体" w:cs="宋体"/>
                <w:szCs w:val="21"/>
              </w:rPr>
              <w:t>免费</w:t>
            </w:r>
          </w:p>
        </w:tc>
      </w:tr>
      <w:tr w14:paraId="132A2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668" w:type="dxa"/>
            <w:vMerge w:val="continue"/>
          </w:tcPr>
          <w:p w14:paraId="768C2ACE">
            <w:pPr>
              <w:rPr>
                <w:rFonts w:ascii="宋体" w:hAnsi="宋体" w:cs="宋体"/>
              </w:rPr>
            </w:pPr>
          </w:p>
        </w:tc>
        <w:tc>
          <w:tcPr>
            <w:tcW w:w="4638" w:type="dxa"/>
            <w:vAlign w:val="center"/>
          </w:tcPr>
          <w:p w14:paraId="053FA5F0">
            <w:pPr>
              <w:spacing w:before="120"/>
              <w:jc w:val="left"/>
              <w:rPr>
                <w:rFonts w:ascii="宋体" w:hAnsi="宋体" w:cs="宋体"/>
                <w:szCs w:val="21"/>
              </w:rPr>
            </w:pPr>
            <w:r>
              <w:rPr>
                <w:rFonts w:hint="eastAsia" w:ascii="宋体" w:hAnsi="宋体" w:cs="宋体"/>
                <w:szCs w:val="21"/>
              </w:rPr>
              <w:t>其他</w:t>
            </w:r>
          </w:p>
        </w:tc>
        <w:tc>
          <w:tcPr>
            <w:tcW w:w="3322" w:type="dxa"/>
            <w:gridSpan w:val="3"/>
          </w:tcPr>
          <w:p w14:paraId="47C7D333">
            <w:pPr>
              <w:rPr>
                <w:rFonts w:ascii="宋体" w:hAnsi="宋体" w:cs="宋体"/>
                <w:szCs w:val="21"/>
              </w:rPr>
            </w:pPr>
          </w:p>
        </w:tc>
      </w:tr>
      <w:tr w14:paraId="06BB3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306" w:type="dxa"/>
            <w:gridSpan w:val="2"/>
          </w:tcPr>
          <w:p w14:paraId="360C9407">
            <w:pPr>
              <w:spacing w:before="120"/>
              <w:jc w:val="center"/>
              <w:rPr>
                <w:rFonts w:ascii="宋体" w:hAnsi="宋体" w:cs="宋体"/>
                <w:szCs w:val="21"/>
              </w:rPr>
            </w:pPr>
            <w:r>
              <w:rPr>
                <w:rFonts w:hint="eastAsia" w:ascii="宋体" w:hAnsi="宋体" w:cs="宋体"/>
              </w:rPr>
              <w:t>合计</w:t>
            </w:r>
          </w:p>
        </w:tc>
        <w:tc>
          <w:tcPr>
            <w:tcW w:w="3322" w:type="dxa"/>
            <w:gridSpan w:val="3"/>
          </w:tcPr>
          <w:p w14:paraId="073B6B1C">
            <w:pPr>
              <w:rPr>
                <w:rFonts w:ascii="宋体" w:hAnsi="宋体" w:cs="宋体"/>
                <w:szCs w:val="21"/>
              </w:rPr>
            </w:pPr>
          </w:p>
        </w:tc>
      </w:tr>
      <w:tr w14:paraId="21E7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668" w:type="dxa"/>
            <w:vAlign w:val="center"/>
          </w:tcPr>
          <w:p w14:paraId="332EB973">
            <w:pPr>
              <w:jc w:val="center"/>
              <w:rPr>
                <w:rFonts w:ascii="宋体" w:hAnsi="宋体" w:cs="宋体"/>
              </w:rPr>
            </w:pPr>
            <w:r>
              <w:rPr>
                <w:rFonts w:hint="eastAsia" w:ascii="宋体" w:hAnsi="宋体" w:cs="宋体"/>
              </w:rPr>
              <w:t>开发周期</w:t>
            </w:r>
          </w:p>
        </w:tc>
        <w:tc>
          <w:tcPr>
            <w:tcW w:w="7960" w:type="dxa"/>
            <w:gridSpan w:val="4"/>
            <w:vAlign w:val="center"/>
          </w:tcPr>
          <w:p w14:paraId="37BD4698">
            <w:pPr>
              <w:rPr>
                <w:rFonts w:ascii="宋体" w:hAnsi="宋体" w:cs="宋体"/>
              </w:rPr>
            </w:pPr>
            <w:r>
              <w:rPr>
                <w:rFonts w:hint="eastAsia" w:ascii="宋体" w:hAnsi="宋体" w:cs="宋体"/>
              </w:rPr>
              <w:t xml:space="preserve"> 天（不超过三个月）</w:t>
            </w:r>
          </w:p>
        </w:tc>
      </w:tr>
      <w:tr w14:paraId="5C359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668" w:type="dxa"/>
            <w:vAlign w:val="center"/>
          </w:tcPr>
          <w:p w14:paraId="7B00AC4A">
            <w:pPr>
              <w:jc w:val="center"/>
              <w:rPr>
                <w:rFonts w:ascii="宋体" w:hAnsi="宋体" w:cs="宋体"/>
              </w:rPr>
            </w:pPr>
            <w:r>
              <w:rPr>
                <w:rFonts w:hint="eastAsia" w:ascii="宋体" w:hAnsi="宋体" w:cs="宋体"/>
              </w:rPr>
              <w:t>交货地点</w:t>
            </w:r>
          </w:p>
        </w:tc>
        <w:tc>
          <w:tcPr>
            <w:tcW w:w="7960" w:type="dxa"/>
            <w:gridSpan w:val="4"/>
            <w:vAlign w:val="center"/>
          </w:tcPr>
          <w:p w14:paraId="1EF89FE6">
            <w:pPr>
              <w:rPr>
                <w:rFonts w:ascii="宋体" w:hAnsi="宋体" w:cs="宋体"/>
              </w:rPr>
            </w:pPr>
            <w:r>
              <w:rPr>
                <w:rFonts w:hint="eastAsia" w:ascii="宋体" w:hAnsi="宋体" w:cs="宋体"/>
              </w:rPr>
              <w:t>招标人指定地点</w:t>
            </w:r>
          </w:p>
        </w:tc>
      </w:tr>
      <w:tr w14:paraId="61E2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668" w:type="dxa"/>
            <w:vAlign w:val="center"/>
          </w:tcPr>
          <w:p w14:paraId="7B2A13B1">
            <w:pPr>
              <w:jc w:val="center"/>
              <w:rPr>
                <w:rFonts w:ascii="宋体" w:hAnsi="宋体" w:cs="宋体"/>
              </w:rPr>
            </w:pPr>
            <w:r>
              <w:rPr>
                <w:rFonts w:hint="eastAsia" w:ascii="宋体" w:hAnsi="宋体" w:cs="宋体"/>
              </w:rPr>
              <w:t>免费包修期</w:t>
            </w:r>
          </w:p>
        </w:tc>
        <w:tc>
          <w:tcPr>
            <w:tcW w:w="7960" w:type="dxa"/>
            <w:gridSpan w:val="4"/>
            <w:vAlign w:val="center"/>
          </w:tcPr>
          <w:p w14:paraId="2CD8AA3E">
            <w:pPr>
              <w:rPr>
                <w:rFonts w:ascii="宋体" w:hAnsi="宋体" w:cs="宋体"/>
              </w:rPr>
            </w:pPr>
            <w:r>
              <w:rPr>
                <w:rFonts w:hint="eastAsia" w:ascii="宋体" w:hAnsi="宋体" w:cs="宋体"/>
              </w:rPr>
              <w:t xml:space="preserve"> 年（不少于叁年）</w:t>
            </w:r>
          </w:p>
        </w:tc>
      </w:tr>
      <w:tr w14:paraId="5D1EE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668" w:type="dxa"/>
            <w:vAlign w:val="center"/>
          </w:tcPr>
          <w:p w14:paraId="229C3164">
            <w:pPr>
              <w:jc w:val="center"/>
              <w:rPr>
                <w:rFonts w:ascii="宋体" w:hAnsi="宋体" w:cs="宋体"/>
              </w:rPr>
            </w:pPr>
            <w:r>
              <w:rPr>
                <w:rFonts w:hint="eastAsia" w:ascii="宋体" w:hAnsi="宋体" w:cs="宋体"/>
              </w:rPr>
              <w:t>包修期内的服务内容</w:t>
            </w:r>
          </w:p>
        </w:tc>
        <w:tc>
          <w:tcPr>
            <w:tcW w:w="7960" w:type="dxa"/>
            <w:gridSpan w:val="4"/>
            <w:vAlign w:val="center"/>
          </w:tcPr>
          <w:p w14:paraId="65409AE7">
            <w:pPr>
              <w:spacing w:line="400" w:lineRule="exact"/>
              <w:rPr>
                <w:rFonts w:ascii="宋体" w:hAnsi="宋体"/>
                <w:szCs w:val="21"/>
                <w:u w:val="single"/>
              </w:rPr>
            </w:pPr>
            <w:r>
              <w:rPr>
                <w:rFonts w:hint="eastAsia" w:ascii="宋体" w:hAnsi="宋体" w:cs="宋体"/>
              </w:rPr>
              <w:t>招标文件第五章《技术需求书》中所有要求的内容 ，</w:t>
            </w:r>
            <w:r>
              <w:rPr>
                <w:rFonts w:ascii="宋体" w:hAnsi="宋体"/>
                <w:szCs w:val="21"/>
              </w:rPr>
              <w:t>以及：</w:t>
            </w:r>
          </w:p>
          <w:p w14:paraId="0D85A8A8">
            <w:pPr>
              <w:rPr>
                <w:rFonts w:ascii="宋体" w:hAnsi="宋体" w:cs="宋体"/>
              </w:rPr>
            </w:pPr>
          </w:p>
        </w:tc>
      </w:tr>
      <w:tr w14:paraId="390F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668" w:type="dxa"/>
            <w:vAlign w:val="center"/>
          </w:tcPr>
          <w:p w14:paraId="6DF52E6C">
            <w:pPr>
              <w:jc w:val="center"/>
              <w:rPr>
                <w:rFonts w:ascii="宋体" w:hAnsi="宋体" w:cs="宋体"/>
              </w:rPr>
            </w:pPr>
            <w:r>
              <w:rPr>
                <w:rFonts w:hint="eastAsia" w:ascii="宋体" w:hAnsi="宋体" w:cs="宋体"/>
              </w:rPr>
              <w:t>包修期满后的服务价格</w:t>
            </w:r>
          </w:p>
        </w:tc>
        <w:tc>
          <w:tcPr>
            <w:tcW w:w="7960" w:type="dxa"/>
            <w:gridSpan w:val="4"/>
            <w:vAlign w:val="center"/>
          </w:tcPr>
          <w:p w14:paraId="50E8BFAE">
            <w:pPr>
              <w:rPr>
                <w:rFonts w:ascii="宋体" w:hAnsi="宋体" w:cs="宋体"/>
              </w:rPr>
            </w:pPr>
            <w:r>
              <w:rPr>
                <w:rFonts w:hint="eastAsia" w:ascii="宋体" w:hAnsi="宋体" w:cs="宋体"/>
              </w:rPr>
              <w:t>维保价格：</w:t>
            </w:r>
            <w:r>
              <w:rPr>
                <w:rFonts w:ascii="宋体" w:hAnsi="宋体"/>
              </w:rPr>
              <w:t>元/年</w:t>
            </w:r>
            <w:r>
              <w:rPr>
                <w:rFonts w:hint="eastAsia" w:ascii="宋体" w:hAnsi="宋体" w:cs="宋体"/>
                <w:b/>
                <w:szCs w:val="21"/>
              </w:rPr>
              <w:t>（年维保价格不得高于成交价格的5%）</w:t>
            </w:r>
          </w:p>
          <w:p w14:paraId="2C83C036">
            <w:pPr>
              <w:rPr>
                <w:rFonts w:ascii="宋体" w:hAnsi="宋体" w:cs="宋体"/>
              </w:rPr>
            </w:pPr>
            <w:r>
              <w:rPr>
                <w:rFonts w:hint="eastAsia" w:ascii="宋体" w:hAnsi="宋体" w:cs="宋体"/>
              </w:rPr>
              <w:t>包含内容：</w:t>
            </w:r>
            <w:r>
              <w:rPr>
                <w:rFonts w:hint="eastAsia" w:ascii="宋体" w:hAnsi="宋体" w:cs="宋体"/>
                <w:u w:val="single"/>
              </w:rPr>
              <w:t>按照包修期内的服务内容</w:t>
            </w:r>
          </w:p>
        </w:tc>
      </w:tr>
      <w:tr w14:paraId="08BA7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68" w:type="dxa"/>
            <w:vAlign w:val="center"/>
          </w:tcPr>
          <w:p w14:paraId="63C4D533">
            <w:pPr>
              <w:jc w:val="center"/>
              <w:rPr>
                <w:rFonts w:ascii="宋体" w:hAnsi="宋体" w:cs="宋体"/>
              </w:rPr>
            </w:pPr>
            <w:r>
              <w:rPr>
                <w:rFonts w:hint="eastAsia" w:ascii="宋体" w:hAnsi="宋体" w:cs="宋体"/>
              </w:rPr>
              <w:t>限价</w:t>
            </w:r>
          </w:p>
        </w:tc>
        <w:tc>
          <w:tcPr>
            <w:tcW w:w="7960" w:type="dxa"/>
            <w:gridSpan w:val="4"/>
            <w:vAlign w:val="center"/>
          </w:tcPr>
          <w:p w14:paraId="604ACCF6">
            <w:pPr>
              <w:rPr>
                <w:rFonts w:ascii="宋体" w:hAnsi="宋体" w:cs="宋体"/>
              </w:rPr>
            </w:pPr>
            <w:r>
              <w:rPr>
                <w:rFonts w:hint="eastAsia" w:ascii="宋体" w:hAnsi="宋体" w:cs="宋体"/>
              </w:rPr>
              <w:t>项目总价不得高于人民币250000.00元（大写:贰拾五万元）</w:t>
            </w:r>
          </w:p>
        </w:tc>
      </w:tr>
      <w:tr w14:paraId="0F7B6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8" w:type="dxa"/>
            <w:vAlign w:val="center"/>
          </w:tcPr>
          <w:p w14:paraId="14FBE601">
            <w:pPr>
              <w:jc w:val="center"/>
              <w:rPr>
                <w:rFonts w:ascii="宋体" w:hAnsi="宋体" w:cs="宋体"/>
              </w:rPr>
            </w:pPr>
            <w:r>
              <w:rPr>
                <w:rFonts w:hint="eastAsia" w:ascii="宋体" w:hAnsi="宋体" w:cs="宋体"/>
              </w:rPr>
              <w:t>备注</w:t>
            </w:r>
          </w:p>
        </w:tc>
        <w:tc>
          <w:tcPr>
            <w:tcW w:w="7960" w:type="dxa"/>
            <w:gridSpan w:val="4"/>
            <w:vAlign w:val="center"/>
          </w:tcPr>
          <w:p w14:paraId="16294170">
            <w:pPr>
              <w:rPr>
                <w:rFonts w:ascii="宋体" w:hAnsi="宋体" w:cs="宋体"/>
              </w:rPr>
            </w:pPr>
            <w:r>
              <w:rPr>
                <w:rFonts w:hint="eastAsia"/>
              </w:rPr>
              <w:t>无</w:t>
            </w:r>
          </w:p>
        </w:tc>
      </w:tr>
    </w:tbl>
    <w:p w14:paraId="4786F83A">
      <w:pPr>
        <w:pStyle w:val="48"/>
        <w:jc w:val="center"/>
      </w:pPr>
    </w:p>
    <w:p w14:paraId="4E287746">
      <w:pPr>
        <w:spacing w:line="360" w:lineRule="auto"/>
        <w:jc w:val="right"/>
        <w:rPr>
          <w:szCs w:val="21"/>
        </w:rPr>
      </w:pPr>
      <w:r>
        <w:rPr>
          <w:rFonts w:hint="eastAsia"/>
          <w:szCs w:val="21"/>
        </w:rPr>
        <w:t>供应商：（盖单位公章）</w:t>
      </w:r>
    </w:p>
    <w:p w14:paraId="2379B85B">
      <w:pPr>
        <w:spacing w:line="360" w:lineRule="auto"/>
        <w:jc w:val="right"/>
      </w:pPr>
      <w:r>
        <w:rPr>
          <w:rFonts w:hint="eastAsia"/>
          <w:szCs w:val="21"/>
        </w:rPr>
        <w:t>法定</w:t>
      </w:r>
      <w:r>
        <w:rPr>
          <w:rFonts w:hint="eastAsia"/>
        </w:rPr>
        <w:t>代表</w:t>
      </w:r>
      <w:r>
        <w:rPr>
          <w:rFonts w:hint="eastAsia"/>
          <w:szCs w:val="21"/>
        </w:rPr>
        <w:t>人或其委托代理人：（</w:t>
      </w:r>
      <w:r>
        <w:rPr>
          <w:rFonts w:hint="eastAsia"/>
        </w:rPr>
        <w:t>签字</w:t>
      </w:r>
      <w:r>
        <w:rPr>
          <w:rFonts w:hint="eastAsia"/>
          <w:szCs w:val="21"/>
        </w:rPr>
        <w:t>）</w:t>
      </w:r>
    </w:p>
    <w:p w14:paraId="590670A3">
      <w:pPr>
        <w:spacing w:line="360" w:lineRule="auto"/>
        <w:jc w:val="right"/>
        <w:rPr>
          <w:szCs w:val="21"/>
        </w:rPr>
      </w:pPr>
      <w:r>
        <w:rPr>
          <w:rFonts w:hint="eastAsia"/>
          <w:szCs w:val="21"/>
        </w:rPr>
        <w:t>年月日</w:t>
      </w:r>
    </w:p>
    <w:p w14:paraId="0278A074">
      <w:pPr>
        <w:snapToGrid w:val="0"/>
        <w:spacing w:line="360" w:lineRule="auto"/>
        <w:rPr>
          <w:color w:val="000000"/>
          <w:szCs w:val="21"/>
        </w:rPr>
      </w:pPr>
      <w:r>
        <w:rPr>
          <w:color w:val="000000"/>
        </w:rPr>
        <w:t>说明：</w:t>
      </w:r>
      <w:r>
        <w:rPr>
          <w:rFonts w:hint="eastAsia"/>
          <w:color w:val="000000"/>
        </w:rPr>
        <w:t>1、</w:t>
      </w:r>
      <w:r>
        <w:rPr>
          <w:color w:val="000000"/>
          <w:szCs w:val="21"/>
        </w:rPr>
        <w:t>供应商须按照</w:t>
      </w:r>
      <w:r>
        <w:rPr>
          <w:rFonts w:hint="eastAsia"/>
          <w:color w:val="000000"/>
          <w:szCs w:val="21"/>
        </w:rPr>
        <w:t>采购</w:t>
      </w:r>
      <w:r>
        <w:rPr>
          <w:color w:val="000000"/>
          <w:szCs w:val="21"/>
        </w:rPr>
        <w:t>文件要求，提供货到用户指定现场（到楼层）并提供全部服务的含税价。</w:t>
      </w:r>
    </w:p>
    <w:p w14:paraId="04FB2D34">
      <w:pPr>
        <w:numPr>
          <w:ilvl w:val="255"/>
          <w:numId w:val="0"/>
        </w:numPr>
        <w:spacing w:line="360" w:lineRule="auto"/>
        <w:ind w:firstLine="630" w:firstLineChars="300"/>
        <w:rPr>
          <w:color w:val="000000"/>
        </w:rPr>
      </w:pPr>
      <w:r>
        <w:rPr>
          <w:rFonts w:hint="eastAsia"/>
          <w:color w:val="000000"/>
        </w:rPr>
        <w:t>2、</w:t>
      </w:r>
      <w:r>
        <w:rPr>
          <w:color w:val="000000"/>
        </w:rPr>
        <w:t>对包修期满后的服务，招标人有选择最终服务商的权利。</w:t>
      </w:r>
    </w:p>
    <w:p w14:paraId="7AE37C9E">
      <w:pPr>
        <w:snapToGrid w:val="0"/>
        <w:spacing w:line="360" w:lineRule="auto"/>
        <w:ind w:firstLine="630" w:firstLineChars="300"/>
        <w:rPr>
          <w:color w:val="000000"/>
          <w:szCs w:val="21"/>
        </w:rPr>
      </w:pPr>
      <w:r>
        <w:rPr>
          <w:rFonts w:hint="eastAsia"/>
          <w:color w:val="000000"/>
          <w:szCs w:val="21"/>
        </w:rPr>
        <w:t>3、</w:t>
      </w:r>
      <w:r>
        <w:rPr>
          <w:color w:val="000000"/>
          <w:szCs w:val="21"/>
        </w:rPr>
        <w:t>以上内容为实质性响应内容，供应商漏写或错写，将导致投标文件不予接受。</w:t>
      </w:r>
    </w:p>
    <w:p w14:paraId="63438063">
      <w:pPr>
        <w:snapToGrid w:val="0"/>
        <w:spacing w:line="360" w:lineRule="auto"/>
        <w:ind w:firstLine="630" w:firstLineChars="300"/>
        <w:rPr>
          <w:szCs w:val="21"/>
        </w:rPr>
      </w:pPr>
      <w:r>
        <w:rPr>
          <w:rFonts w:hint="eastAsia"/>
          <w:szCs w:val="21"/>
        </w:rPr>
        <w:t>4、</w:t>
      </w:r>
      <w:r>
        <w:rPr>
          <w:szCs w:val="21"/>
        </w:rPr>
        <w:t>小数点保留两位。</w:t>
      </w:r>
    </w:p>
    <w:p w14:paraId="015FC4F0">
      <w:pPr>
        <w:pStyle w:val="4"/>
        <w:spacing w:before="312" w:after="312"/>
        <w:rPr>
          <w:b/>
        </w:rPr>
      </w:pPr>
    </w:p>
    <w:bookmarkEnd w:id="74"/>
    <w:bookmarkEnd w:id="75"/>
    <w:bookmarkEnd w:id="76"/>
    <w:p w14:paraId="368E1CB5">
      <w:pPr>
        <w:pStyle w:val="4"/>
        <w:spacing w:before="312" w:after="312"/>
        <w:rPr>
          <w:u w:val="single"/>
        </w:rPr>
      </w:pPr>
      <w:bookmarkStart w:id="77" w:name="_Toc161767431"/>
      <w:bookmarkStart w:id="78" w:name="_Toc26260036"/>
      <w:bookmarkStart w:id="79" w:name="_Toc26259742"/>
      <w:bookmarkStart w:id="80" w:name="_Toc69378666"/>
      <w:bookmarkStart w:id="81" w:name="_Toc135999010"/>
      <w:bookmarkStart w:id="82" w:name="_Toc69378665"/>
      <w:bookmarkStart w:id="83" w:name="_Toc26260035"/>
      <w:bookmarkStart w:id="84" w:name="_Toc26259741"/>
      <w:r>
        <w:rPr>
          <w:rStyle w:val="106"/>
          <w:rFonts w:hint="eastAsia" w:hAnsi="宋体"/>
          <w:b w:val="0"/>
          <w:bCs w:val="0"/>
          <w:sz w:val="24"/>
          <w:szCs w:val="24"/>
        </w:rPr>
        <w:t>附件4：商务条款偏离表</w:t>
      </w:r>
      <w:bookmarkEnd w:id="77"/>
      <w:bookmarkEnd w:id="78"/>
      <w:bookmarkEnd w:id="79"/>
      <w:bookmarkEnd w:id="80"/>
      <w:bookmarkEnd w:id="81"/>
    </w:p>
    <w:p w14:paraId="3752C404">
      <w:pPr>
        <w:spacing w:line="360" w:lineRule="auto"/>
        <w:rPr>
          <w:sz w:val="24"/>
        </w:rPr>
      </w:pPr>
      <w:r>
        <w:rPr>
          <w:sz w:val="24"/>
        </w:rPr>
        <w:t>项目名称：</w:t>
      </w:r>
      <w:r>
        <w:rPr>
          <w:rFonts w:hint="eastAsia"/>
          <w:sz w:val="24"/>
        </w:rPr>
        <w:t>10090服务质量监督热线建设</w:t>
      </w:r>
    </w:p>
    <w:tbl>
      <w:tblPr>
        <w:tblStyle w:val="5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14:paraId="2D2A5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6D42A872">
            <w:pPr>
              <w:snapToGrid w:val="0"/>
              <w:spacing w:beforeLines="100" w:afterLines="100"/>
              <w:ind w:right="210" w:rightChars="100"/>
              <w:jc w:val="center"/>
              <w:rPr>
                <w:rFonts w:ascii="宋体" w:hAnsi="宋体"/>
                <w:szCs w:val="21"/>
              </w:rPr>
            </w:pPr>
            <w:r>
              <w:rPr>
                <w:rFonts w:hint="eastAsia" w:ascii="宋体" w:hAnsi="宋体"/>
                <w:szCs w:val="21"/>
              </w:rPr>
              <w:t>序号</w:t>
            </w:r>
          </w:p>
        </w:tc>
        <w:tc>
          <w:tcPr>
            <w:tcW w:w="1041" w:type="pct"/>
          </w:tcPr>
          <w:p w14:paraId="40123F09">
            <w:pPr>
              <w:snapToGrid w:val="0"/>
              <w:spacing w:beforeLines="100" w:afterLines="100"/>
              <w:ind w:left="210" w:leftChars="100" w:right="210" w:rightChars="100"/>
              <w:jc w:val="center"/>
              <w:rPr>
                <w:rFonts w:ascii="宋体" w:hAnsi="宋体"/>
                <w:szCs w:val="21"/>
              </w:rPr>
            </w:pPr>
            <w:r>
              <w:rPr>
                <w:rFonts w:hint="eastAsia" w:ascii="宋体" w:hAnsi="宋体"/>
                <w:szCs w:val="21"/>
              </w:rPr>
              <w:t>竞争性谈判文件条目号</w:t>
            </w:r>
          </w:p>
        </w:tc>
        <w:tc>
          <w:tcPr>
            <w:tcW w:w="1303" w:type="pct"/>
          </w:tcPr>
          <w:p w14:paraId="658C25F1">
            <w:pPr>
              <w:snapToGrid w:val="0"/>
              <w:spacing w:beforeLines="100" w:afterLines="100"/>
              <w:ind w:left="210" w:leftChars="100" w:right="210" w:rightChars="100"/>
              <w:jc w:val="center"/>
              <w:rPr>
                <w:rFonts w:ascii="宋体" w:hAnsi="宋体"/>
                <w:szCs w:val="21"/>
              </w:rPr>
            </w:pPr>
            <w:r>
              <w:rPr>
                <w:rFonts w:hint="eastAsia" w:ascii="宋体" w:hAnsi="宋体"/>
                <w:szCs w:val="21"/>
              </w:rPr>
              <w:t>竞争性谈判文件的商务条款</w:t>
            </w:r>
          </w:p>
        </w:tc>
        <w:tc>
          <w:tcPr>
            <w:tcW w:w="1176" w:type="pct"/>
          </w:tcPr>
          <w:p w14:paraId="6FA17DA0">
            <w:pPr>
              <w:snapToGrid w:val="0"/>
              <w:spacing w:beforeLines="100" w:afterLines="100"/>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Pr>
          <w:p w14:paraId="2332C7E0">
            <w:pPr>
              <w:snapToGrid w:val="0"/>
              <w:spacing w:beforeLines="100" w:afterLines="100"/>
              <w:ind w:left="210" w:leftChars="100" w:right="210" w:rightChars="100"/>
              <w:jc w:val="center"/>
              <w:rPr>
                <w:rFonts w:ascii="宋体" w:hAnsi="宋体"/>
                <w:szCs w:val="21"/>
              </w:rPr>
            </w:pPr>
            <w:r>
              <w:rPr>
                <w:rFonts w:hint="eastAsia" w:ascii="宋体" w:hAnsi="宋体"/>
                <w:szCs w:val="21"/>
              </w:rPr>
              <w:t>说明</w:t>
            </w:r>
          </w:p>
        </w:tc>
      </w:tr>
      <w:tr w14:paraId="6E42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031BEAC9">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4B46D7FF">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4A0FBC5A">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73396199">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14D59646">
            <w:pPr>
              <w:snapToGrid w:val="0"/>
              <w:spacing w:beforeLines="100" w:afterLines="100"/>
              <w:ind w:left="210" w:leftChars="100" w:right="210" w:rightChars="100" w:firstLine="600" w:firstLineChars="200"/>
              <w:rPr>
                <w:rFonts w:ascii="宋体" w:hAnsi="宋体" w:eastAsia="黑体"/>
                <w:bCs/>
                <w:sz w:val="30"/>
                <w:szCs w:val="21"/>
              </w:rPr>
            </w:pPr>
          </w:p>
        </w:tc>
      </w:tr>
      <w:tr w14:paraId="5A9C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607CDE32">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13DC2C9F">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132D1E7C">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2E7DA20C">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367398F6">
            <w:pPr>
              <w:snapToGrid w:val="0"/>
              <w:spacing w:beforeLines="100" w:afterLines="100"/>
              <w:ind w:left="210" w:leftChars="100" w:right="210" w:rightChars="100" w:firstLine="600" w:firstLineChars="200"/>
              <w:rPr>
                <w:rFonts w:ascii="宋体" w:hAnsi="宋体" w:eastAsia="黑体"/>
                <w:bCs/>
                <w:sz w:val="30"/>
                <w:szCs w:val="21"/>
              </w:rPr>
            </w:pPr>
          </w:p>
        </w:tc>
      </w:tr>
      <w:tr w14:paraId="12F0F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7525E40B">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554AAD4B">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08FAD632">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5D0F4121">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0E922DE5">
            <w:pPr>
              <w:snapToGrid w:val="0"/>
              <w:spacing w:beforeLines="100" w:afterLines="100"/>
              <w:ind w:left="210" w:leftChars="100" w:right="210" w:rightChars="100" w:firstLine="600" w:firstLineChars="200"/>
              <w:rPr>
                <w:rFonts w:ascii="宋体" w:hAnsi="宋体" w:eastAsia="黑体"/>
                <w:bCs/>
                <w:sz w:val="30"/>
                <w:szCs w:val="21"/>
              </w:rPr>
            </w:pPr>
          </w:p>
        </w:tc>
      </w:tr>
      <w:tr w14:paraId="724B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77E6F564">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2F51CE7D">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2EF7DD06">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6F178B9F">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2056BB9E">
            <w:pPr>
              <w:snapToGrid w:val="0"/>
              <w:spacing w:beforeLines="100" w:afterLines="100"/>
              <w:ind w:left="210" w:leftChars="100" w:right="210" w:rightChars="100" w:firstLine="600" w:firstLineChars="200"/>
              <w:rPr>
                <w:rFonts w:ascii="宋体" w:hAnsi="宋体" w:eastAsia="黑体"/>
                <w:bCs/>
                <w:sz w:val="30"/>
                <w:szCs w:val="21"/>
              </w:rPr>
            </w:pPr>
          </w:p>
        </w:tc>
      </w:tr>
      <w:tr w14:paraId="03FE2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6" w:type="pct"/>
          </w:tcPr>
          <w:p w14:paraId="4BB91630">
            <w:pPr>
              <w:snapToGrid w:val="0"/>
              <w:spacing w:beforeLines="100" w:afterLines="100"/>
              <w:ind w:left="210" w:leftChars="100" w:right="210" w:rightChars="100" w:firstLine="600" w:firstLineChars="200"/>
              <w:rPr>
                <w:rFonts w:ascii="宋体" w:hAnsi="宋体" w:eastAsia="黑体"/>
                <w:bCs/>
                <w:sz w:val="30"/>
                <w:szCs w:val="21"/>
              </w:rPr>
            </w:pPr>
          </w:p>
        </w:tc>
        <w:tc>
          <w:tcPr>
            <w:tcW w:w="1041" w:type="pct"/>
          </w:tcPr>
          <w:p w14:paraId="51273629">
            <w:pPr>
              <w:snapToGrid w:val="0"/>
              <w:spacing w:beforeLines="100" w:afterLines="100"/>
              <w:ind w:left="210" w:leftChars="100" w:right="210" w:rightChars="100" w:firstLine="600" w:firstLineChars="200"/>
              <w:rPr>
                <w:rFonts w:ascii="宋体" w:hAnsi="宋体" w:eastAsia="黑体"/>
                <w:bCs/>
                <w:sz w:val="30"/>
                <w:szCs w:val="21"/>
              </w:rPr>
            </w:pPr>
          </w:p>
        </w:tc>
        <w:tc>
          <w:tcPr>
            <w:tcW w:w="1303" w:type="pct"/>
          </w:tcPr>
          <w:p w14:paraId="3DBC5935">
            <w:pPr>
              <w:snapToGrid w:val="0"/>
              <w:spacing w:beforeLines="100" w:afterLines="100"/>
              <w:ind w:left="210" w:leftChars="100" w:right="210" w:rightChars="100" w:firstLine="600" w:firstLineChars="200"/>
              <w:rPr>
                <w:rFonts w:ascii="宋体" w:hAnsi="宋体" w:eastAsia="黑体"/>
                <w:bCs/>
                <w:sz w:val="30"/>
                <w:szCs w:val="21"/>
              </w:rPr>
            </w:pPr>
          </w:p>
        </w:tc>
        <w:tc>
          <w:tcPr>
            <w:tcW w:w="1176" w:type="pct"/>
          </w:tcPr>
          <w:p w14:paraId="7EBADCF0">
            <w:pPr>
              <w:snapToGrid w:val="0"/>
              <w:spacing w:beforeLines="100" w:afterLines="100"/>
              <w:ind w:left="210" w:leftChars="100" w:right="210" w:rightChars="100" w:firstLine="600" w:firstLineChars="200"/>
              <w:rPr>
                <w:rFonts w:ascii="宋体" w:hAnsi="宋体" w:eastAsia="黑体"/>
                <w:bCs/>
                <w:sz w:val="30"/>
                <w:szCs w:val="21"/>
              </w:rPr>
            </w:pPr>
          </w:p>
        </w:tc>
        <w:tc>
          <w:tcPr>
            <w:tcW w:w="923" w:type="pct"/>
          </w:tcPr>
          <w:p w14:paraId="5083855F">
            <w:pPr>
              <w:snapToGrid w:val="0"/>
              <w:spacing w:beforeLines="100" w:afterLines="100"/>
              <w:ind w:left="210" w:leftChars="100" w:right="210" w:rightChars="100" w:firstLine="600" w:firstLineChars="200"/>
              <w:rPr>
                <w:rFonts w:ascii="宋体" w:hAnsi="宋体" w:eastAsia="黑体"/>
                <w:bCs/>
                <w:sz w:val="30"/>
                <w:szCs w:val="21"/>
              </w:rPr>
            </w:pPr>
          </w:p>
        </w:tc>
      </w:tr>
    </w:tbl>
    <w:p w14:paraId="2C646B7E">
      <w:pPr>
        <w:snapToGrid w:val="0"/>
        <w:spacing w:beforeLines="100"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14:paraId="743FAE22">
      <w:pPr>
        <w:snapToGrid w:val="0"/>
        <w:spacing w:beforeLines="100" w:afterLines="100"/>
        <w:ind w:left="210" w:leftChars="100" w:right="210" w:rightChars="100" w:firstLine="420" w:firstLineChars="200"/>
        <w:rPr>
          <w:rFonts w:ascii="宋体" w:hAnsi="宋体"/>
          <w:szCs w:val="21"/>
          <w:u w:val="single"/>
        </w:rPr>
      </w:pPr>
      <w:r>
        <w:rPr>
          <w:rFonts w:hint="eastAsia" w:ascii="宋体" w:hAnsi="宋体"/>
          <w:szCs w:val="21"/>
        </w:rPr>
        <w:t>供应商代表签字：</w:t>
      </w:r>
    </w:p>
    <w:p w14:paraId="34A6F3A7">
      <w:pPr>
        <w:spacing w:line="360" w:lineRule="auto"/>
      </w:pPr>
      <w:r>
        <w:rPr>
          <w:rFonts w:hint="eastAsia"/>
        </w:rPr>
        <w:t>注：</w:t>
      </w:r>
      <w:r>
        <w:t xml:space="preserve">1. </w:t>
      </w:r>
      <w:r>
        <w:rPr>
          <w:rFonts w:hint="eastAsia"/>
        </w:rPr>
        <w:t>如供应商无任何偏离，也需在响应表中注明并在响应文件中递交此表。</w:t>
      </w:r>
    </w:p>
    <w:p w14:paraId="6E9DC36C">
      <w:pPr>
        <w:spacing w:line="360" w:lineRule="auto"/>
        <w:ind w:firstLine="420" w:firstLineChars="200"/>
      </w:pPr>
      <w:r>
        <w:t xml:space="preserve">2. </w:t>
      </w:r>
      <w:r>
        <w:rPr>
          <w:rFonts w:hint="eastAsia"/>
        </w:rPr>
        <w:t>偏离包括正、负偏离，正偏离指供应商的响应高于竞争性谈判文件要求，负偏离指供应商的响应低于竞争性谈判文件要求。</w:t>
      </w:r>
    </w:p>
    <w:p w14:paraId="09E84842">
      <w:pPr>
        <w:widowControl/>
        <w:jc w:val="left"/>
        <w:rPr>
          <w:rStyle w:val="106"/>
          <w:rFonts w:hAnsi="宋体"/>
          <w:b w:val="0"/>
          <w:bCs w:val="0"/>
          <w:sz w:val="24"/>
          <w:szCs w:val="24"/>
        </w:rPr>
      </w:pPr>
      <w:r>
        <w:rPr>
          <w:rStyle w:val="106"/>
          <w:rFonts w:hAnsi="宋体"/>
          <w:b w:val="0"/>
          <w:sz w:val="24"/>
          <w:szCs w:val="24"/>
        </w:rPr>
        <w:br w:type="page"/>
      </w:r>
    </w:p>
    <w:bookmarkEnd w:id="82"/>
    <w:bookmarkEnd w:id="83"/>
    <w:bookmarkEnd w:id="84"/>
    <w:p w14:paraId="4D4E3DC8">
      <w:pPr>
        <w:pStyle w:val="4"/>
        <w:spacing w:before="312" w:after="312"/>
        <w:rPr>
          <w:rStyle w:val="106"/>
          <w:rFonts w:hAnsi="宋体"/>
          <w:b w:val="0"/>
          <w:bCs w:val="0"/>
          <w:sz w:val="24"/>
          <w:szCs w:val="24"/>
        </w:rPr>
      </w:pPr>
      <w:bookmarkStart w:id="85" w:name="_Toc69378667"/>
      <w:bookmarkStart w:id="86" w:name="_Toc26259743"/>
      <w:bookmarkStart w:id="87" w:name="_Toc26260037"/>
      <w:r>
        <w:rPr>
          <w:rStyle w:val="106"/>
          <w:rFonts w:hint="eastAsia" w:hAnsi="宋体"/>
          <w:b w:val="0"/>
          <w:bCs w:val="0"/>
          <w:sz w:val="24"/>
          <w:szCs w:val="24"/>
        </w:rPr>
        <w:t>附件5：合同文本的提供</w:t>
      </w:r>
    </w:p>
    <w:p w14:paraId="7B4B0081">
      <w:pPr>
        <w:rPr>
          <w:rStyle w:val="106"/>
          <w:rFonts w:hAnsi="宋体"/>
          <w:b w:val="0"/>
          <w:bCs w:val="0"/>
          <w:sz w:val="24"/>
          <w:szCs w:val="24"/>
        </w:rPr>
      </w:pPr>
      <w:r>
        <w:rPr>
          <w:rStyle w:val="106"/>
          <w:rFonts w:hint="eastAsia" w:hAnsi="宋体"/>
          <w:b w:val="0"/>
          <w:bCs w:val="0"/>
          <w:sz w:val="24"/>
          <w:szCs w:val="24"/>
        </w:rPr>
        <w:br w:type="page"/>
      </w:r>
    </w:p>
    <w:p w14:paraId="168BB47E">
      <w:pPr>
        <w:pStyle w:val="4"/>
        <w:spacing w:before="312" w:after="312"/>
        <w:rPr>
          <w:rStyle w:val="106"/>
          <w:bCs/>
          <w:sz w:val="24"/>
          <w:szCs w:val="24"/>
        </w:rPr>
      </w:pPr>
      <w:r>
        <w:rPr>
          <w:rStyle w:val="106"/>
          <w:rFonts w:hint="eastAsia" w:hAnsi="宋体"/>
          <w:b w:val="0"/>
          <w:bCs w:val="0"/>
          <w:sz w:val="24"/>
          <w:szCs w:val="24"/>
        </w:rPr>
        <w:t>附件6：技术规范偏离表</w:t>
      </w:r>
      <w:bookmarkEnd w:id="85"/>
      <w:bookmarkEnd w:id="86"/>
      <w:bookmarkEnd w:id="87"/>
    </w:p>
    <w:p w14:paraId="64E7BBD9">
      <w:pPr>
        <w:spacing w:line="360" w:lineRule="auto"/>
        <w:rPr>
          <w:sz w:val="24"/>
        </w:rPr>
      </w:pPr>
      <w:r>
        <w:rPr>
          <w:sz w:val="24"/>
        </w:rPr>
        <w:t>项目名称：</w:t>
      </w:r>
      <w:r>
        <w:rPr>
          <w:rFonts w:hint="eastAsia"/>
          <w:sz w:val="24"/>
        </w:rPr>
        <w:t>10090服务质量监督热线建设</w:t>
      </w:r>
    </w:p>
    <w:tbl>
      <w:tblPr>
        <w:tblStyle w:val="53"/>
        <w:tblW w:w="4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2761"/>
        <w:gridCol w:w="2563"/>
        <w:gridCol w:w="2043"/>
      </w:tblGrid>
      <w:tr w14:paraId="379E4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vAlign w:val="center"/>
          </w:tcPr>
          <w:p w14:paraId="787C6B1E">
            <w:pPr>
              <w:spacing w:line="360" w:lineRule="auto"/>
              <w:rPr>
                <w:rFonts w:ascii="宋体" w:hAnsi="宋体"/>
                <w:szCs w:val="21"/>
              </w:rPr>
            </w:pPr>
            <w:r>
              <w:rPr>
                <w:rFonts w:hint="eastAsia" w:ascii="宋体" w:hAnsi="宋体"/>
                <w:szCs w:val="21"/>
              </w:rPr>
              <w:t xml:space="preserve"> 序号</w:t>
            </w:r>
          </w:p>
        </w:tc>
        <w:tc>
          <w:tcPr>
            <w:tcW w:w="1673" w:type="pct"/>
            <w:vAlign w:val="center"/>
          </w:tcPr>
          <w:p w14:paraId="04BB5555">
            <w:pPr>
              <w:snapToGrid w:val="0"/>
              <w:spacing w:beforeLines="100" w:afterLines="100"/>
              <w:ind w:right="210" w:rightChars="100"/>
              <w:jc w:val="center"/>
              <w:rPr>
                <w:rFonts w:ascii="宋体" w:hAnsi="宋体"/>
                <w:szCs w:val="21"/>
              </w:rPr>
            </w:pPr>
            <w:r>
              <w:rPr>
                <w:rFonts w:hint="eastAsia" w:ascii="宋体" w:hAnsi="宋体"/>
                <w:szCs w:val="21"/>
              </w:rPr>
              <w:t>竞争性谈判文件</w:t>
            </w:r>
            <w:r>
              <w:rPr>
                <w:rFonts w:hint="eastAsia" w:ascii="宋体"/>
                <w:bCs/>
                <w:szCs w:val="21"/>
              </w:rPr>
              <w:t>技术需求</w:t>
            </w:r>
            <w:r>
              <w:rPr>
                <w:rFonts w:hint="eastAsia" w:ascii="宋体" w:hAnsi="宋体"/>
                <w:szCs w:val="21"/>
              </w:rPr>
              <w:t>书要求</w:t>
            </w:r>
          </w:p>
        </w:tc>
        <w:tc>
          <w:tcPr>
            <w:tcW w:w="1553" w:type="pct"/>
            <w:vAlign w:val="center"/>
          </w:tcPr>
          <w:p w14:paraId="03158922">
            <w:pPr>
              <w:snapToGrid w:val="0"/>
              <w:spacing w:beforeLines="100" w:afterLines="100"/>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14:paraId="0148CABA">
            <w:pPr>
              <w:snapToGrid w:val="0"/>
              <w:spacing w:beforeLines="100" w:afterLines="100"/>
              <w:ind w:right="210" w:rightChars="100"/>
              <w:jc w:val="center"/>
              <w:rPr>
                <w:rFonts w:ascii="宋体" w:hAnsi="宋体"/>
                <w:szCs w:val="21"/>
              </w:rPr>
            </w:pPr>
            <w:r>
              <w:rPr>
                <w:rFonts w:hint="eastAsia" w:ascii="宋体" w:hAnsi="宋体"/>
                <w:szCs w:val="21"/>
              </w:rPr>
              <w:t>具体说明</w:t>
            </w:r>
          </w:p>
        </w:tc>
      </w:tr>
      <w:tr w14:paraId="6D09D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5DA2A1C3">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0B2BF092">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55B3CA71">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2C60FDBE">
            <w:pPr>
              <w:snapToGrid w:val="0"/>
              <w:spacing w:beforeLines="100" w:afterLines="100"/>
              <w:ind w:left="210" w:leftChars="100" w:right="210" w:rightChars="100" w:firstLine="600" w:firstLineChars="200"/>
              <w:rPr>
                <w:rFonts w:ascii="宋体" w:hAnsi="宋体" w:eastAsia="黑体"/>
                <w:bCs/>
                <w:sz w:val="30"/>
                <w:szCs w:val="21"/>
              </w:rPr>
            </w:pPr>
          </w:p>
        </w:tc>
      </w:tr>
      <w:tr w14:paraId="5338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7E8E4068">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2AF4A54D">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2EC618C9">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02E9CC49">
            <w:pPr>
              <w:snapToGrid w:val="0"/>
              <w:spacing w:beforeLines="100" w:afterLines="100"/>
              <w:ind w:left="210" w:leftChars="100" w:right="210" w:rightChars="100" w:firstLine="600" w:firstLineChars="200"/>
              <w:rPr>
                <w:rFonts w:ascii="宋体" w:hAnsi="宋体" w:eastAsia="黑体"/>
                <w:bCs/>
                <w:sz w:val="30"/>
                <w:szCs w:val="21"/>
              </w:rPr>
            </w:pPr>
          </w:p>
        </w:tc>
      </w:tr>
      <w:tr w14:paraId="3A55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17B1ADE2">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0746FFAC">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4F8B04D2">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652ED584">
            <w:pPr>
              <w:snapToGrid w:val="0"/>
              <w:spacing w:beforeLines="100" w:afterLines="100"/>
              <w:ind w:left="210" w:leftChars="100" w:right="210" w:rightChars="100" w:firstLine="600" w:firstLineChars="200"/>
              <w:rPr>
                <w:rFonts w:ascii="宋体" w:hAnsi="宋体" w:eastAsia="黑体"/>
                <w:bCs/>
                <w:sz w:val="30"/>
                <w:szCs w:val="21"/>
              </w:rPr>
            </w:pPr>
          </w:p>
        </w:tc>
      </w:tr>
      <w:tr w14:paraId="1FCA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0E9CF78D">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38F7C4CF">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5CEFF551">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3091BB71">
            <w:pPr>
              <w:snapToGrid w:val="0"/>
              <w:spacing w:beforeLines="100" w:afterLines="100"/>
              <w:ind w:left="210" w:leftChars="100" w:right="210" w:rightChars="100" w:firstLine="600" w:firstLineChars="200"/>
              <w:rPr>
                <w:rFonts w:ascii="宋体" w:hAnsi="宋体" w:eastAsia="黑体"/>
                <w:bCs/>
                <w:sz w:val="30"/>
                <w:szCs w:val="21"/>
              </w:rPr>
            </w:pPr>
          </w:p>
        </w:tc>
      </w:tr>
      <w:tr w14:paraId="7395D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727DFE3C">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4B8C4775">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78DCC6B4">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4D1F8CA7">
            <w:pPr>
              <w:snapToGrid w:val="0"/>
              <w:spacing w:beforeLines="100" w:afterLines="100"/>
              <w:ind w:left="210" w:leftChars="100" w:right="210" w:rightChars="100" w:firstLine="600" w:firstLineChars="200"/>
              <w:rPr>
                <w:rFonts w:ascii="宋体" w:hAnsi="宋体" w:eastAsia="黑体"/>
                <w:bCs/>
                <w:sz w:val="30"/>
                <w:szCs w:val="21"/>
              </w:rPr>
            </w:pPr>
          </w:p>
        </w:tc>
      </w:tr>
      <w:tr w14:paraId="33DE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7D2B511B">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3AEAE58A">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22465B31">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120A4F02">
            <w:pPr>
              <w:snapToGrid w:val="0"/>
              <w:spacing w:beforeLines="100" w:afterLines="100"/>
              <w:ind w:left="210" w:leftChars="100" w:right="210" w:rightChars="100" w:firstLine="600" w:firstLineChars="200"/>
              <w:rPr>
                <w:rFonts w:ascii="宋体" w:hAnsi="宋体" w:eastAsia="黑体"/>
                <w:bCs/>
                <w:sz w:val="30"/>
                <w:szCs w:val="21"/>
              </w:rPr>
            </w:pPr>
          </w:p>
        </w:tc>
      </w:tr>
      <w:tr w14:paraId="2230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26A1CF8D">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7C480F40">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7F40E266">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5D9988B0">
            <w:pPr>
              <w:snapToGrid w:val="0"/>
              <w:spacing w:beforeLines="100" w:afterLines="100"/>
              <w:ind w:left="210" w:leftChars="100" w:right="210" w:rightChars="100" w:firstLine="600" w:firstLineChars="200"/>
              <w:rPr>
                <w:rFonts w:ascii="宋体" w:hAnsi="宋体" w:eastAsia="黑体"/>
                <w:bCs/>
                <w:sz w:val="30"/>
                <w:szCs w:val="21"/>
              </w:rPr>
            </w:pPr>
          </w:p>
        </w:tc>
      </w:tr>
      <w:tr w14:paraId="1F47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3CBBAA67">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097ACF72">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5C99A5E9">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07DA6E35">
            <w:pPr>
              <w:snapToGrid w:val="0"/>
              <w:spacing w:beforeLines="100" w:afterLines="100"/>
              <w:ind w:left="210" w:leftChars="100" w:right="210" w:rightChars="100" w:firstLine="600" w:firstLineChars="200"/>
              <w:rPr>
                <w:rFonts w:ascii="宋体" w:hAnsi="宋体" w:eastAsia="黑体"/>
                <w:bCs/>
                <w:sz w:val="30"/>
                <w:szCs w:val="21"/>
              </w:rPr>
            </w:pPr>
          </w:p>
        </w:tc>
      </w:tr>
      <w:tr w14:paraId="6BDD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536" w:type="pct"/>
          </w:tcPr>
          <w:p w14:paraId="23D64EC8">
            <w:pPr>
              <w:snapToGrid w:val="0"/>
              <w:spacing w:beforeLines="100" w:afterLines="100"/>
              <w:ind w:left="210" w:leftChars="100" w:right="210" w:rightChars="100" w:firstLine="600" w:firstLineChars="200"/>
              <w:rPr>
                <w:rFonts w:ascii="宋体" w:hAnsi="宋体" w:eastAsia="黑体"/>
                <w:bCs/>
                <w:sz w:val="30"/>
                <w:szCs w:val="21"/>
              </w:rPr>
            </w:pPr>
          </w:p>
        </w:tc>
        <w:tc>
          <w:tcPr>
            <w:tcW w:w="1673" w:type="pct"/>
          </w:tcPr>
          <w:p w14:paraId="7301B100">
            <w:pPr>
              <w:snapToGrid w:val="0"/>
              <w:spacing w:beforeLines="100" w:afterLines="100"/>
              <w:ind w:left="210" w:leftChars="100" w:right="210" w:rightChars="100" w:firstLine="600" w:firstLineChars="200"/>
              <w:rPr>
                <w:rFonts w:ascii="宋体" w:hAnsi="宋体" w:eastAsia="黑体"/>
                <w:bCs/>
                <w:sz w:val="30"/>
                <w:szCs w:val="21"/>
              </w:rPr>
            </w:pPr>
          </w:p>
        </w:tc>
        <w:tc>
          <w:tcPr>
            <w:tcW w:w="1553" w:type="pct"/>
          </w:tcPr>
          <w:p w14:paraId="46D39B1B">
            <w:pPr>
              <w:snapToGrid w:val="0"/>
              <w:spacing w:beforeLines="100" w:afterLines="100"/>
              <w:ind w:left="210" w:leftChars="100" w:right="210" w:rightChars="100" w:firstLine="600" w:firstLineChars="200"/>
              <w:rPr>
                <w:rFonts w:ascii="宋体" w:hAnsi="宋体" w:eastAsia="黑体"/>
                <w:bCs/>
                <w:sz w:val="30"/>
                <w:szCs w:val="21"/>
              </w:rPr>
            </w:pPr>
          </w:p>
        </w:tc>
        <w:tc>
          <w:tcPr>
            <w:tcW w:w="1238" w:type="pct"/>
          </w:tcPr>
          <w:p w14:paraId="39A413C8">
            <w:pPr>
              <w:snapToGrid w:val="0"/>
              <w:spacing w:beforeLines="100" w:afterLines="100"/>
              <w:ind w:left="210" w:leftChars="100" w:right="210" w:rightChars="100" w:firstLine="600" w:firstLineChars="200"/>
              <w:rPr>
                <w:rFonts w:ascii="宋体" w:hAnsi="宋体" w:eastAsia="黑体"/>
                <w:bCs/>
                <w:sz w:val="30"/>
                <w:szCs w:val="21"/>
              </w:rPr>
            </w:pPr>
          </w:p>
        </w:tc>
      </w:tr>
    </w:tbl>
    <w:p w14:paraId="53FEE10B">
      <w:pPr>
        <w:snapToGrid w:val="0"/>
        <w:spacing w:beforeLines="100" w:afterLines="100"/>
        <w:ind w:left="210" w:leftChars="100" w:right="210" w:rightChars="100" w:firstLine="420" w:firstLineChars="200"/>
        <w:rPr>
          <w:rFonts w:ascii="宋体" w:hAnsi="宋体"/>
          <w:szCs w:val="21"/>
          <w:u w:val="single"/>
        </w:rPr>
      </w:pPr>
      <w:r>
        <w:rPr>
          <w:rFonts w:hint="eastAsia" w:ascii="宋体" w:hAnsi="宋体"/>
          <w:szCs w:val="21"/>
        </w:rPr>
        <w:t>供应商名称（公章）：</w:t>
      </w:r>
    </w:p>
    <w:p w14:paraId="147B2C4E">
      <w:pPr>
        <w:snapToGrid w:val="0"/>
        <w:spacing w:beforeLines="100" w:afterLines="100"/>
        <w:ind w:left="210" w:leftChars="100" w:right="210" w:rightChars="100" w:firstLine="420" w:firstLineChars="200"/>
        <w:rPr>
          <w:rFonts w:ascii="宋体" w:hAnsi="宋体"/>
          <w:i/>
          <w:szCs w:val="21"/>
        </w:rPr>
      </w:pPr>
      <w:r>
        <w:rPr>
          <w:rFonts w:hint="eastAsia" w:ascii="宋体" w:hAnsi="宋体"/>
          <w:szCs w:val="21"/>
        </w:rPr>
        <w:t>供应商代表签字：</w:t>
      </w:r>
    </w:p>
    <w:p w14:paraId="5BC7A3FF">
      <w:pPr>
        <w:spacing w:line="360" w:lineRule="auto"/>
      </w:pPr>
      <w:r>
        <w:rPr>
          <w:rFonts w:hint="eastAsia"/>
        </w:rPr>
        <w:t>注：</w:t>
      </w:r>
      <w:r>
        <w:t>1.</w:t>
      </w:r>
      <w:r>
        <w:rPr>
          <w:rFonts w:hint="eastAsia"/>
        </w:rPr>
        <w:t>本表应依据供应商实际情况逐项逐条填写。</w:t>
      </w:r>
    </w:p>
    <w:p w14:paraId="77ECAC45">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5C30C8D7">
      <w:pPr>
        <w:spacing w:line="360" w:lineRule="auto"/>
        <w:ind w:firstLine="420" w:firstLineChars="200"/>
      </w:pPr>
      <w:r>
        <w:t>3.</w:t>
      </w:r>
      <w:r>
        <w:rPr>
          <w:rFonts w:hint="eastAsia"/>
        </w:rPr>
        <w:t>作为响应文件重要的组成部分，任何通过简单拷贝竞争性谈判文件技术要求或简单标注“符合”“满足”或使用“明白”、“理解”、“部分满足”等含混词语的响应文件将被视为实质性不符合。</w:t>
      </w:r>
    </w:p>
    <w:p w14:paraId="030F7FA7">
      <w:pPr>
        <w:spacing w:line="360" w:lineRule="auto"/>
        <w:ind w:firstLine="420" w:firstLineChars="200"/>
      </w:pPr>
      <w:r>
        <w:t>4.</w:t>
      </w:r>
      <w:r>
        <w:rPr>
          <w:rFonts w:hint="eastAsia"/>
        </w:rPr>
        <w:t>偏离包括正、负偏离，正偏离指供应商的响应高于竞争性谈判文件要求，负偏离指供应商的响应低于竞争性谈判文件要求。</w:t>
      </w:r>
    </w:p>
    <w:p w14:paraId="51F938D9">
      <w:pPr>
        <w:pStyle w:val="4"/>
        <w:spacing w:before="312" w:after="312"/>
        <w:rPr>
          <w:rStyle w:val="106"/>
          <w:b w:val="0"/>
          <w:bCs w:val="0"/>
          <w:sz w:val="24"/>
          <w:szCs w:val="24"/>
        </w:rPr>
      </w:pPr>
      <w:r>
        <w:br w:type="page"/>
      </w:r>
      <w:bookmarkStart w:id="88" w:name="_Toc26259744"/>
      <w:bookmarkStart w:id="89" w:name="_Toc135999012"/>
      <w:bookmarkStart w:id="90" w:name="_Toc69378668"/>
      <w:bookmarkStart w:id="91" w:name="_Toc26260038"/>
      <w:bookmarkStart w:id="92" w:name="_Toc161767433"/>
      <w:r>
        <w:rPr>
          <w:rStyle w:val="106"/>
          <w:rFonts w:hint="eastAsia" w:hAnsi="宋体"/>
          <w:b w:val="0"/>
          <w:bCs w:val="0"/>
          <w:sz w:val="24"/>
          <w:szCs w:val="24"/>
        </w:rPr>
        <w:t>附件7：资格证明文件</w:t>
      </w:r>
      <w:bookmarkEnd w:id="88"/>
      <w:bookmarkEnd w:id="89"/>
      <w:bookmarkEnd w:id="90"/>
      <w:bookmarkEnd w:id="91"/>
      <w:bookmarkEnd w:id="92"/>
    </w:p>
    <w:p w14:paraId="0D4D8ACC">
      <w:r>
        <w:rPr>
          <w:rFonts w:hint="eastAsia"/>
        </w:rPr>
        <w:t>填写须知</w:t>
      </w:r>
    </w:p>
    <w:p w14:paraId="77A0EFED">
      <w:pPr>
        <w:numPr>
          <w:ilvl w:val="0"/>
          <w:numId w:val="16"/>
        </w:numPr>
        <w:spacing w:line="360" w:lineRule="auto"/>
        <w:rPr>
          <w:rFonts w:ascii="宋体"/>
          <w:szCs w:val="21"/>
        </w:rPr>
      </w:pPr>
      <w:r>
        <w:rPr>
          <w:rFonts w:hint="eastAsia" w:ascii="宋体"/>
          <w:szCs w:val="21"/>
        </w:rPr>
        <w:t>供应商应填写和提交下述规定的全部格式以及其它有关资料。</w:t>
      </w:r>
    </w:p>
    <w:p w14:paraId="255A78FF">
      <w:pPr>
        <w:numPr>
          <w:ilvl w:val="0"/>
          <w:numId w:val="16"/>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14:paraId="36F14593">
      <w:pPr>
        <w:numPr>
          <w:ilvl w:val="0"/>
          <w:numId w:val="16"/>
        </w:numPr>
        <w:spacing w:line="360" w:lineRule="auto"/>
        <w:rPr>
          <w:rFonts w:ascii="宋体"/>
          <w:szCs w:val="21"/>
        </w:rPr>
      </w:pPr>
      <w:r>
        <w:rPr>
          <w:rFonts w:hint="eastAsia" w:ascii="宋体"/>
          <w:szCs w:val="21"/>
        </w:rPr>
        <w:t>本资格声明的签字人应保证全部声明和填写的内容是真实的和正确的。</w:t>
      </w:r>
    </w:p>
    <w:p w14:paraId="473676C0">
      <w:pPr>
        <w:numPr>
          <w:ilvl w:val="0"/>
          <w:numId w:val="16"/>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14:paraId="5F990FB9">
      <w:pPr>
        <w:numPr>
          <w:ilvl w:val="0"/>
          <w:numId w:val="16"/>
        </w:numPr>
        <w:spacing w:line="360" w:lineRule="auto"/>
        <w:rPr>
          <w:rFonts w:ascii="宋体"/>
          <w:szCs w:val="21"/>
        </w:rPr>
      </w:pPr>
      <w:r>
        <w:rPr>
          <w:rFonts w:hint="eastAsia" w:ascii="宋体"/>
          <w:szCs w:val="21"/>
        </w:rPr>
        <w:t>供应商提交的材料将被保密，但不退还。</w:t>
      </w:r>
    </w:p>
    <w:p w14:paraId="3974632B">
      <w:pPr>
        <w:numPr>
          <w:ilvl w:val="0"/>
          <w:numId w:val="16"/>
        </w:numPr>
        <w:spacing w:line="360" w:lineRule="auto"/>
        <w:rPr>
          <w:rFonts w:ascii="宋体"/>
          <w:szCs w:val="21"/>
        </w:rPr>
      </w:pPr>
      <w:r>
        <w:rPr>
          <w:rFonts w:hint="eastAsia" w:ascii="宋体"/>
          <w:szCs w:val="21"/>
        </w:rPr>
        <w:t>全部文件应按规定的语言和份数提交。</w:t>
      </w:r>
    </w:p>
    <w:p w14:paraId="5FCF30FE">
      <w:pPr>
        <w:snapToGrid w:val="0"/>
        <w:spacing w:beforeLines="100" w:afterLines="100"/>
        <w:ind w:left="210" w:leftChars="100" w:right="210" w:rightChars="100" w:firstLine="420" w:firstLineChars="200"/>
        <w:rPr>
          <w:rFonts w:ascii="宋体"/>
        </w:rPr>
      </w:pPr>
    </w:p>
    <w:p w14:paraId="4A4966A7">
      <w:pPr>
        <w:snapToGrid w:val="0"/>
        <w:spacing w:beforeLines="100" w:afterLines="100"/>
        <w:ind w:right="210" w:rightChars="100"/>
        <w:outlineLvl w:val="3"/>
        <w:rPr>
          <w:rFonts w:ascii="黑体" w:eastAsia="黑体"/>
          <w:b/>
        </w:rPr>
      </w:pPr>
      <w:r>
        <w:rPr>
          <w:rFonts w:ascii="宋体"/>
        </w:rPr>
        <w:br w:type="page"/>
      </w:r>
      <w:r>
        <w:rPr>
          <w:rFonts w:hint="eastAsia" w:ascii="黑体" w:eastAsia="黑体"/>
          <w:b/>
        </w:rPr>
        <w:t>7-1  资格声明</w:t>
      </w:r>
    </w:p>
    <w:p w14:paraId="69105DAC">
      <w:pPr>
        <w:snapToGrid w:val="0"/>
        <w:spacing w:beforeLines="100" w:afterLines="100"/>
        <w:ind w:right="210" w:rightChars="100"/>
        <w:rPr>
          <w:rFonts w:ascii="宋体" w:hAnsi="宋体"/>
          <w:szCs w:val="21"/>
        </w:rPr>
      </w:pPr>
      <w:r>
        <w:rPr>
          <w:rFonts w:hint="eastAsia" w:ascii="宋体" w:hAnsi="宋体"/>
          <w:szCs w:val="21"/>
        </w:rPr>
        <w:t>致：江苏省广电有线信息网络股份有限公司：</w:t>
      </w:r>
    </w:p>
    <w:p w14:paraId="5659911F">
      <w:pPr>
        <w:snapToGrid w:val="0"/>
        <w:spacing w:beforeLines="100" w:afterLines="100"/>
        <w:ind w:left="210" w:leftChars="100" w:right="210" w:rightChars="100" w:firstLine="422" w:firstLineChars="200"/>
        <w:jc w:val="center"/>
        <w:rPr>
          <w:rFonts w:ascii="宋体" w:hAnsi="宋体"/>
          <w:b/>
          <w:szCs w:val="21"/>
        </w:rPr>
      </w:pPr>
      <w:r>
        <w:rPr>
          <w:rFonts w:hint="eastAsia" w:ascii="宋体" w:hAnsi="宋体"/>
          <w:b/>
          <w:szCs w:val="21"/>
        </w:rPr>
        <w:t>资格声明</w:t>
      </w:r>
    </w:p>
    <w:p w14:paraId="3F52CEB9">
      <w:pPr>
        <w:snapToGrid w:val="0"/>
        <w:spacing w:beforeLines="100" w:afterLines="100"/>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14:paraId="5E4CE4F9">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采购名称</w:t>
      </w:r>
      <w:r>
        <w:rPr>
          <w:rFonts w:ascii="宋体" w:hAnsi="宋体"/>
          <w:szCs w:val="21"/>
          <w:u w:val="single"/>
        </w:rPr>
        <w:t>]</w:t>
      </w:r>
      <w:r>
        <w:rPr>
          <w:rFonts w:ascii="宋体" w:hAnsi="宋体"/>
          <w:szCs w:val="21"/>
        </w:rPr>
        <w:t>采购公告</w:t>
      </w:r>
      <w:r>
        <w:rPr>
          <w:rFonts w:hint="eastAsia" w:ascii="宋体" w:hAnsi="宋体"/>
          <w:szCs w:val="21"/>
        </w:rPr>
        <w:t>，下述签字人自愿参与谈判，提供竞争性谈判文件技术需求书中规定的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14:paraId="68EB6955">
      <w:pPr>
        <w:numPr>
          <w:ilvl w:val="0"/>
          <w:numId w:val="17"/>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14:paraId="611A0C7A">
      <w:pPr>
        <w:numPr>
          <w:ilvl w:val="0"/>
          <w:numId w:val="17"/>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14:paraId="773EAC95">
      <w:pPr>
        <w:numPr>
          <w:ilvl w:val="0"/>
          <w:numId w:val="17"/>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14:paraId="204CD9AF">
      <w:pPr>
        <w:spacing w:line="360" w:lineRule="auto"/>
        <w:rPr>
          <w:color w:val="000000"/>
        </w:rPr>
      </w:pPr>
      <w:r>
        <w:rPr>
          <w:rFonts w:hint="eastAsia"/>
          <w:b/>
          <w:color w:val="000000"/>
        </w:rPr>
        <w:t>供应商</w:t>
      </w:r>
      <w:r>
        <w:rPr>
          <w:color w:val="000000"/>
        </w:rPr>
        <w:t>授权签署本资格文件</w:t>
      </w:r>
    </w:p>
    <w:p w14:paraId="7C73DFDF">
      <w:pPr>
        <w:spacing w:line="360" w:lineRule="auto"/>
        <w:rPr>
          <w:color w:val="000000"/>
        </w:rPr>
      </w:pPr>
      <w:r>
        <w:rPr>
          <w:color w:val="000000"/>
        </w:rPr>
        <w:t>名称（盖章）签字人姓名、职务（印刷字体）</w:t>
      </w:r>
    </w:p>
    <w:p w14:paraId="216A7C82">
      <w:pPr>
        <w:spacing w:line="360" w:lineRule="auto"/>
        <w:rPr>
          <w:color w:val="000000"/>
        </w:rPr>
      </w:pPr>
      <w:r>
        <w:rPr>
          <w:color w:val="000000"/>
        </w:rPr>
        <w:t>地址</w:t>
      </w:r>
    </w:p>
    <w:p w14:paraId="17D1BA9C">
      <w:pPr>
        <w:spacing w:line="360" w:lineRule="auto"/>
        <w:rPr>
          <w:color w:val="000000"/>
          <w:u w:val="single"/>
        </w:rPr>
      </w:pPr>
      <w:r>
        <w:rPr>
          <w:color w:val="000000"/>
        </w:rPr>
        <w:t>传真签字</w:t>
      </w:r>
    </w:p>
    <w:p w14:paraId="77A2BD7C">
      <w:pPr>
        <w:spacing w:line="360" w:lineRule="auto"/>
        <w:rPr>
          <w:rFonts w:ascii="宋体"/>
          <w:u w:val="single"/>
        </w:rPr>
      </w:pPr>
      <w:r>
        <w:rPr>
          <w:color w:val="000000"/>
        </w:rPr>
        <w:t>邮编电话</w:t>
      </w:r>
    </w:p>
    <w:p w14:paraId="5E37959D">
      <w:pPr>
        <w:snapToGrid w:val="0"/>
        <w:spacing w:beforeLines="100" w:afterLines="100"/>
        <w:ind w:right="210" w:rightChars="100"/>
        <w:outlineLvl w:val="3"/>
        <w:rPr>
          <w:rFonts w:ascii="黑体" w:eastAsia="黑体"/>
          <w:b/>
        </w:rPr>
      </w:pPr>
      <w:r>
        <w:rPr>
          <w:rFonts w:ascii="宋体"/>
          <w:u w:val="single"/>
        </w:rPr>
        <w:br w:type="page"/>
      </w:r>
      <w:r>
        <w:rPr>
          <w:rFonts w:hint="eastAsia" w:ascii="黑体" w:eastAsia="黑体"/>
          <w:b/>
        </w:rPr>
        <w:t>7-2  供应商的资格声明</w:t>
      </w:r>
    </w:p>
    <w:p w14:paraId="310EABD6">
      <w:pPr>
        <w:spacing w:line="360" w:lineRule="auto"/>
        <w:rPr>
          <w:rFonts w:ascii="宋体" w:hAnsi="宋体"/>
          <w:szCs w:val="21"/>
        </w:rPr>
      </w:pPr>
      <w:r>
        <w:rPr>
          <w:rFonts w:ascii="宋体" w:hAnsi="宋体"/>
          <w:szCs w:val="21"/>
        </w:rPr>
        <w:t>1</w:t>
      </w:r>
      <w:r>
        <w:rPr>
          <w:rFonts w:hint="eastAsia" w:ascii="宋体" w:hAnsi="宋体"/>
          <w:szCs w:val="21"/>
        </w:rPr>
        <w:t>、名称及概况：</w:t>
      </w:r>
    </w:p>
    <w:p w14:paraId="463614A3">
      <w:pPr>
        <w:numPr>
          <w:ilvl w:val="0"/>
          <w:numId w:val="18"/>
        </w:numPr>
        <w:spacing w:line="360" w:lineRule="auto"/>
        <w:rPr>
          <w:rFonts w:ascii="宋体" w:hAnsi="宋体"/>
          <w:szCs w:val="21"/>
          <w:u w:val="single"/>
        </w:rPr>
      </w:pPr>
      <w:r>
        <w:rPr>
          <w:rFonts w:hint="eastAsia" w:ascii="宋体" w:hAnsi="宋体"/>
          <w:szCs w:val="21"/>
        </w:rPr>
        <w:t>供应商名称：</w:t>
      </w:r>
    </w:p>
    <w:p w14:paraId="21565486">
      <w:pPr>
        <w:numPr>
          <w:ilvl w:val="0"/>
          <w:numId w:val="18"/>
        </w:numPr>
        <w:spacing w:line="360" w:lineRule="auto"/>
        <w:rPr>
          <w:rFonts w:ascii="宋体" w:hAnsi="宋体"/>
          <w:szCs w:val="21"/>
        </w:rPr>
      </w:pPr>
      <w:r>
        <w:rPr>
          <w:rFonts w:hint="eastAsia" w:ascii="宋体" w:hAnsi="宋体"/>
          <w:szCs w:val="21"/>
        </w:rPr>
        <w:t>总部地址：</w:t>
      </w:r>
    </w:p>
    <w:p w14:paraId="224A3CA8">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14:paraId="34E6E548">
      <w:pPr>
        <w:numPr>
          <w:ilvl w:val="0"/>
          <w:numId w:val="18"/>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14:paraId="3BE8DE78">
      <w:pPr>
        <w:numPr>
          <w:ilvl w:val="0"/>
          <w:numId w:val="18"/>
        </w:numPr>
        <w:spacing w:line="360" w:lineRule="auto"/>
        <w:rPr>
          <w:rFonts w:ascii="宋体" w:hAnsi="宋体"/>
          <w:szCs w:val="21"/>
        </w:rPr>
      </w:pPr>
      <w:r>
        <w:rPr>
          <w:rFonts w:hint="eastAsia" w:ascii="宋体" w:hAnsi="宋体"/>
          <w:szCs w:val="21"/>
        </w:rPr>
        <w:t>实收资本：</w:t>
      </w:r>
    </w:p>
    <w:p w14:paraId="16DBB1DD">
      <w:pPr>
        <w:numPr>
          <w:ilvl w:val="0"/>
          <w:numId w:val="18"/>
        </w:numPr>
        <w:spacing w:line="360" w:lineRule="auto"/>
        <w:rPr>
          <w:rFonts w:ascii="宋体" w:hAnsi="宋体"/>
          <w:szCs w:val="21"/>
        </w:rPr>
      </w:pPr>
      <w:r>
        <w:rPr>
          <w:rFonts w:hint="eastAsia" w:ascii="宋体" w:hAnsi="宋体"/>
          <w:szCs w:val="21"/>
        </w:rPr>
        <w:t>近期资产负债表（到年月日止）</w:t>
      </w:r>
    </w:p>
    <w:p w14:paraId="797A2EC7">
      <w:pPr>
        <w:spacing w:line="360" w:lineRule="auto"/>
        <w:ind w:firstLine="420" w:firstLineChars="200"/>
        <w:rPr>
          <w:rFonts w:ascii="宋体" w:hAnsi="宋体"/>
          <w:szCs w:val="21"/>
        </w:rPr>
      </w:pPr>
      <w:r>
        <w:rPr>
          <w:rFonts w:ascii="宋体" w:hAnsi="宋体"/>
          <w:szCs w:val="21"/>
        </w:rPr>
        <w:tab/>
      </w:r>
      <w:r>
        <w:rPr>
          <w:rFonts w:ascii="宋体" w:hAnsi="宋体"/>
          <w:szCs w:val="21"/>
        </w:rPr>
        <w:t>1</w:t>
      </w:r>
      <w:r>
        <w:rPr>
          <w:rFonts w:hint="eastAsia" w:ascii="宋体" w:hAnsi="宋体"/>
          <w:szCs w:val="21"/>
        </w:rPr>
        <w:t>）固定资产：</w:t>
      </w:r>
    </w:p>
    <w:p w14:paraId="458C316E">
      <w:pPr>
        <w:spacing w:line="360" w:lineRule="auto"/>
        <w:ind w:firstLine="420" w:firstLineChars="200"/>
        <w:rPr>
          <w:rFonts w:ascii="宋体" w:hAnsi="宋体"/>
          <w:szCs w:val="21"/>
        </w:rPr>
      </w:pPr>
      <w:r>
        <w:rPr>
          <w:rFonts w:ascii="宋体" w:hAnsi="宋体"/>
          <w:szCs w:val="21"/>
        </w:rPr>
        <w:tab/>
      </w:r>
      <w:r>
        <w:rPr>
          <w:rFonts w:ascii="宋体" w:hAnsi="宋体"/>
          <w:szCs w:val="21"/>
        </w:rPr>
        <w:t>2</w:t>
      </w:r>
      <w:r>
        <w:rPr>
          <w:rFonts w:hint="eastAsia" w:ascii="宋体" w:hAnsi="宋体"/>
          <w:szCs w:val="21"/>
        </w:rPr>
        <w:t>）流动资产：</w:t>
      </w:r>
    </w:p>
    <w:p w14:paraId="5FA1C7A9">
      <w:pPr>
        <w:spacing w:line="360" w:lineRule="auto"/>
        <w:ind w:firstLine="420" w:firstLineChars="200"/>
        <w:rPr>
          <w:rFonts w:ascii="宋体" w:hAnsi="宋体"/>
          <w:szCs w:val="21"/>
        </w:rPr>
      </w:pPr>
      <w:r>
        <w:rPr>
          <w:rFonts w:ascii="宋体" w:hAnsi="宋体"/>
          <w:szCs w:val="21"/>
        </w:rPr>
        <w:tab/>
      </w:r>
      <w:r>
        <w:rPr>
          <w:rFonts w:ascii="宋体" w:hAnsi="宋体"/>
          <w:szCs w:val="21"/>
        </w:rPr>
        <w:t>3</w:t>
      </w:r>
      <w:r>
        <w:rPr>
          <w:rFonts w:hint="eastAsia" w:ascii="宋体" w:hAnsi="宋体"/>
          <w:szCs w:val="21"/>
        </w:rPr>
        <w:t>）长期负债：</w:t>
      </w:r>
    </w:p>
    <w:p w14:paraId="3E70F754">
      <w:pPr>
        <w:spacing w:line="360" w:lineRule="auto"/>
        <w:ind w:firstLine="420" w:firstLineChars="200"/>
        <w:rPr>
          <w:rFonts w:ascii="宋体" w:hAnsi="宋体"/>
          <w:szCs w:val="21"/>
        </w:rPr>
      </w:pPr>
      <w:r>
        <w:rPr>
          <w:rFonts w:ascii="宋体" w:hAnsi="宋体"/>
          <w:szCs w:val="21"/>
        </w:rPr>
        <w:tab/>
      </w:r>
      <w:r>
        <w:rPr>
          <w:rFonts w:ascii="宋体" w:hAnsi="宋体"/>
          <w:szCs w:val="21"/>
        </w:rPr>
        <w:t>4</w:t>
      </w:r>
      <w:r>
        <w:rPr>
          <w:rFonts w:hint="eastAsia" w:ascii="宋体" w:hAnsi="宋体"/>
          <w:szCs w:val="21"/>
        </w:rPr>
        <w:t>）流动负债：</w:t>
      </w:r>
    </w:p>
    <w:p w14:paraId="751310CD">
      <w:pPr>
        <w:spacing w:line="360" w:lineRule="auto"/>
        <w:ind w:firstLine="420" w:firstLineChars="200"/>
        <w:rPr>
          <w:rFonts w:ascii="宋体" w:hAnsi="宋体"/>
          <w:szCs w:val="21"/>
        </w:rPr>
      </w:pPr>
      <w:r>
        <w:rPr>
          <w:rFonts w:ascii="宋体" w:hAnsi="宋体"/>
          <w:szCs w:val="21"/>
        </w:rPr>
        <w:tab/>
      </w:r>
      <w:r>
        <w:rPr>
          <w:rFonts w:ascii="宋体" w:hAnsi="宋体"/>
          <w:szCs w:val="21"/>
        </w:rPr>
        <w:t>5</w:t>
      </w:r>
      <w:r>
        <w:rPr>
          <w:rFonts w:hint="eastAsia" w:ascii="宋体" w:hAnsi="宋体"/>
          <w:szCs w:val="21"/>
        </w:rPr>
        <w:t>）净值：</w:t>
      </w:r>
    </w:p>
    <w:p w14:paraId="6D141D86">
      <w:pPr>
        <w:numPr>
          <w:ilvl w:val="0"/>
          <w:numId w:val="18"/>
        </w:numPr>
        <w:spacing w:line="360" w:lineRule="auto"/>
        <w:rPr>
          <w:rFonts w:ascii="宋体" w:hAnsi="宋体"/>
          <w:szCs w:val="21"/>
          <w:u w:val="single"/>
        </w:rPr>
      </w:pPr>
      <w:r>
        <w:rPr>
          <w:rFonts w:hint="eastAsia" w:ascii="宋体" w:hAnsi="宋体"/>
          <w:szCs w:val="21"/>
        </w:rPr>
        <w:t>主要负责人姓名：（可选填）</w:t>
      </w:r>
    </w:p>
    <w:p w14:paraId="630EEF27">
      <w:pPr>
        <w:numPr>
          <w:ilvl w:val="0"/>
          <w:numId w:val="18"/>
        </w:numPr>
        <w:spacing w:line="360" w:lineRule="auto"/>
        <w:rPr>
          <w:rFonts w:ascii="宋体" w:hAnsi="宋体"/>
          <w:szCs w:val="21"/>
        </w:rPr>
      </w:pPr>
      <w:r>
        <w:rPr>
          <w:rFonts w:hint="eastAsia" w:ascii="宋体" w:hAnsi="宋体"/>
          <w:szCs w:val="21"/>
        </w:rPr>
        <w:t>供应商在中国的代表的姓名和地址：（可选填）</w:t>
      </w:r>
    </w:p>
    <w:p w14:paraId="3A184418">
      <w:pPr>
        <w:numPr>
          <w:ilvl w:val="0"/>
          <w:numId w:val="18"/>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14:paraId="35171CC7">
      <w:pPr>
        <w:numPr>
          <w:ilvl w:val="0"/>
          <w:numId w:val="18"/>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14:paraId="712B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4775C91D">
            <w:pPr>
              <w:tabs>
                <w:tab w:val="left" w:pos="930"/>
                <w:tab w:val="left" w:pos="8364"/>
              </w:tabs>
              <w:ind w:right="-58"/>
              <w:jc w:val="center"/>
              <w:rPr>
                <w:rFonts w:ascii="宋体" w:hAnsi="宋体"/>
                <w:spacing w:val="20"/>
                <w:szCs w:val="21"/>
              </w:rPr>
            </w:pPr>
            <w:r>
              <w:rPr>
                <w:rFonts w:hint="eastAsia" w:ascii="宋体" w:hAnsi="宋体"/>
                <w:spacing w:val="20"/>
                <w:szCs w:val="21"/>
              </w:rPr>
              <w:t>序号</w:t>
            </w:r>
          </w:p>
        </w:tc>
        <w:tc>
          <w:tcPr>
            <w:tcW w:w="1088" w:type="dxa"/>
          </w:tcPr>
          <w:p w14:paraId="01FA09DA">
            <w:pPr>
              <w:tabs>
                <w:tab w:val="left" w:pos="930"/>
                <w:tab w:val="left" w:pos="8364"/>
              </w:tabs>
              <w:ind w:right="-58"/>
              <w:rPr>
                <w:rFonts w:ascii="宋体" w:hAnsi="宋体"/>
                <w:spacing w:val="20"/>
                <w:szCs w:val="21"/>
              </w:rPr>
            </w:pPr>
            <w:r>
              <w:rPr>
                <w:rFonts w:hint="eastAsia" w:ascii="宋体" w:hAnsi="宋体"/>
                <w:spacing w:val="20"/>
                <w:szCs w:val="21"/>
              </w:rPr>
              <w:t>地区</w:t>
            </w:r>
          </w:p>
        </w:tc>
        <w:tc>
          <w:tcPr>
            <w:tcW w:w="3978" w:type="dxa"/>
          </w:tcPr>
          <w:p w14:paraId="599C7C47">
            <w:pPr>
              <w:tabs>
                <w:tab w:val="left" w:pos="930"/>
                <w:tab w:val="left" w:pos="8364"/>
              </w:tabs>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14:paraId="42F24DF5">
            <w:pPr>
              <w:tabs>
                <w:tab w:val="left" w:pos="930"/>
                <w:tab w:val="left" w:pos="8364"/>
              </w:tabs>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14:paraId="31DA650B">
            <w:pPr>
              <w:tabs>
                <w:tab w:val="left" w:pos="930"/>
                <w:tab w:val="left" w:pos="8364"/>
              </w:tabs>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14:paraId="4652AA6E">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14:paraId="47DEB15D">
            <w:pPr>
              <w:tabs>
                <w:tab w:val="left" w:pos="930"/>
                <w:tab w:val="left" w:pos="8364"/>
              </w:tabs>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14:paraId="4D2B7C08">
            <w:pPr>
              <w:tabs>
                <w:tab w:val="left" w:pos="930"/>
                <w:tab w:val="left" w:pos="8364"/>
              </w:tabs>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14:paraId="5ABA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7017B426">
            <w:pPr>
              <w:tabs>
                <w:tab w:val="left" w:pos="930"/>
                <w:tab w:val="left" w:pos="8364"/>
              </w:tabs>
              <w:ind w:right="-58"/>
              <w:jc w:val="center"/>
              <w:rPr>
                <w:rFonts w:ascii="宋体" w:hAnsi="宋体"/>
                <w:spacing w:val="20"/>
                <w:szCs w:val="21"/>
              </w:rPr>
            </w:pPr>
          </w:p>
        </w:tc>
        <w:tc>
          <w:tcPr>
            <w:tcW w:w="1088" w:type="dxa"/>
          </w:tcPr>
          <w:p w14:paraId="7EF292D2">
            <w:pPr>
              <w:tabs>
                <w:tab w:val="left" w:pos="930"/>
                <w:tab w:val="left" w:pos="8364"/>
              </w:tabs>
              <w:ind w:right="-58"/>
              <w:rPr>
                <w:rFonts w:ascii="宋体" w:hAnsi="宋体"/>
                <w:spacing w:val="20"/>
                <w:szCs w:val="21"/>
              </w:rPr>
            </w:pPr>
          </w:p>
        </w:tc>
        <w:tc>
          <w:tcPr>
            <w:tcW w:w="3978" w:type="dxa"/>
          </w:tcPr>
          <w:p w14:paraId="1E8CC4DF">
            <w:pPr>
              <w:tabs>
                <w:tab w:val="left" w:pos="930"/>
                <w:tab w:val="left" w:pos="8364"/>
              </w:tabs>
              <w:ind w:right="-58"/>
              <w:rPr>
                <w:rFonts w:ascii="宋体" w:hAnsi="宋体"/>
                <w:spacing w:val="20"/>
                <w:szCs w:val="21"/>
              </w:rPr>
            </w:pPr>
          </w:p>
        </w:tc>
        <w:tc>
          <w:tcPr>
            <w:tcW w:w="1155" w:type="dxa"/>
          </w:tcPr>
          <w:p w14:paraId="259F45F8">
            <w:pPr>
              <w:tabs>
                <w:tab w:val="left" w:pos="930"/>
                <w:tab w:val="left" w:pos="8364"/>
              </w:tabs>
              <w:ind w:right="-58"/>
              <w:rPr>
                <w:rFonts w:ascii="宋体" w:hAnsi="宋体"/>
                <w:spacing w:val="20"/>
                <w:szCs w:val="21"/>
              </w:rPr>
            </w:pPr>
          </w:p>
        </w:tc>
        <w:tc>
          <w:tcPr>
            <w:tcW w:w="1072" w:type="dxa"/>
          </w:tcPr>
          <w:p w14:paraId="019D5EC6">
            <w:pPr>
              <w:tabs>
                <w:tab w:val="left" w:pos="930"/>
                <w:tab w:val="left" w:pos="8364"/>
              </w:tabs>
              <w:ind w:right="-58"/>
              <w:rPr>
                <w:rFonts w:ascii="宋体" w:hAnsi="宋体"/>
                <w:spacing w:val="20"/>
                <w:szCs w:val="21"/>
              </w:rPr>
            </w:pPr>
          </w:p>
        </w:tc>
        <w:tc>
          <w:tcPr>
            <w:tcW w:w="1066" w:type="dxa"/>
          </w:tcPr>
          <w:p w14:paraId="71EC6584">
            <w:pPr>
              <w:tabs>
                <w:tab w:val="left" w:pos="930"/>
                <w:tab w:val="left" w:pos="8364"/>
              </w:tabs>
              <w:ind w:right="-58"/>
              <w:rPr>
                <w:rFonts w:ascii="宋体" w:hAnsi="宋体"/>
                <w:spacing w:val="20"/>
                <w:szCs w:val="21"/>
              </w:rPr>
            </w:pPr>
          </w:p>
        </w:tc>
      </w:tr>
      <w:tr w14:paraId="6DA63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5AF79E12">
            <w:pPr>
              <w:tabs>
                <w:tab w:val="left" w:pos="930"/>
                <w:tab w:val="left" w:pos="8364"/>
              </w:tabs>
              <w:ind w:right="-58"/>
              <w:jc w:val="center"/>
              <w:rPr>
                <w:rFonts w:ascii="宋体" w:hAnsi="宋体"/>
                <w:spacing w:val="20"/>
                <w:szCs w:val="21"/>
              </w:rPr>
            </w:pPr>
          </w:p>
        </w:tc>
        <w:tc>
          <w:tcPr>
            <w:tcW w:w="1088" w:type="dxa"/>
          </w:tcPr>
          <w:p w14:paraId="375DCBDE">
            <w:pPr>
              <w:tabs>
                <w:tab w:val="left" w:pos="930"/>
                <w:tab w:val="left" w:pos="8364"/>
              </w:tabs>
              <w:ind w:right="-58"/>
              <w:rPr>
                <w:rFonts w:ascii="宋体" w:hAnsi="宋体"/>
                <w:spacing w:val="20"/>
                <w:szCs w:val="21"/>
              </w:rPr>
            </w:pPr>
          </w:p>
        </w:tc>
        <w:tc>
          <w:tcPr>
            <w:tcW w:w="3978" w:type="dxa"/>
          </w:tcPr>
          <w:p w14:paraId="0CC34A61">
            <w:pPr>
              <w:tabs>
                <w:tab w:val="left" w:pos="930"/>
                <w:tab w:val="left" w:pos="8364"/>
              </w:tabs>
              <w:ind w:right="-58"/>
              <w:rPr>
                <w:rFonts w:ascii="宋体" w:hAnsi="宋体"/>
                <w:spacing w:val="20"/>
                <w:szCs w:val="21"/>
              </w:rPr>
            </w:pPr>
          </w:p>
        </w:tc>
        <w:tc>
          <w:tcPr>
            <w:tcW w:w="1155" w:type="dxa"/>
          </w:tcPr>
          <w:p w14:paraId="751911CA">
            <w:pPr>
              <w:tabs>
                <w:tab w:val="left" w:pos="930"/>
                <w:tab w:val="left" w:pos="8364"/>
              </w:tabs>
              <w:ind w:right="-58"/>
              <w:rPr>
                <w:rFonts w:ascii="宋体" w:hAnsi="宋体"/>
                <w:spacing w:val="20"/>
                <w:szCs w:val="21"/>
              </w:rPr>
            </w:pPr>
          </w:p>
        </w:tc>
        <w:tc>
          <w:tcPr>
            <w:tcW w:w="1072" w:type="dxa"/>
          </w:tcPr>
          <w:p w14:paraId="51EF2FFB">
            <w:pPr>
              <w:tabs>
                <w:tab w:val="left" w:pos="930"/>
                <w:tab w:val="left" w:pos="8364"/>
              </w:tabs>
              <w:ind w:right="-58"/>
              <w:rPr>
                <w:rFonts w:ascii="宋体" w:hAnsi="宋体"/>
                <w:spacing w:val="20"/>
                <w:szCs w:val="21"/>
              </w:rPr>
            </w:pPr>
          </w:p>
        </w:tc>
        <w:tc>
          <w:tcPr>
            <w:tcW w:w="1066" w:type="dxa"/>
          </w:tcPr>
          <w:p w14:paraId="089BEFE9">
            <w:pPr>
              <w:tabs>
                <w:tab w:val="left" w:pos="930"/>
                <w:tab w:val="left" w:pos="8364"/>
              </w:tabs>
              <w:ind w:right="-58"/>
              <w:rPr>
                <w:rFonts w:ascii="宋体" w:hAnsi="宋体"/>
                <w:spacing w:val="20"/>
                <w:szCs w:val="21"/>
              </w:rPr>
            </w:pPr>
          </w:p>
        </w:tc>
      </w:tr>
      <w:tr w14:paraId="60EE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14:paraId="5316121A">
            <w:pPr>
              <w:tabs>
                <w:tab w:val="left" w:pos="930"/>
                <w:tab w:val="left" w:pos="8364"/>
              </w:tabs>
              <w:ind w:right="-58"/>
              <w:jc w:val="center"/>
              <w:rPr>
                <w:rFonts w:ascii="宋体" w:hAnsi="宋体"/>
                <w:spacing w:val="20"/>
                <w:szCs w:val="21"/>
              </w:rPr>
            </w:pPr>
          </w:p>
        </w:tc>
        <w:tc>
          <w:tcPr>
            <w:tcW w:w="1088" w:type="dxa"/>
          </w:tcPr>
          <w:p w14:paraId="0471050B">
            <w:pPr>
              <w:tabs>
                <w:tab w:val="left" w:pos="930"/>
                <w:tab w:val="left" w:pos="8364"/>
              </w:tabs>
              <w:ind w:right="-58"/>
              <w:rPr>
                <w:rFonts w:ascii="宋体" w:hAnsi="宋体"/>
                <w:spacing w:val="20"/>
                <w:szCs w:val="21"/>
              </w:rPr>
            </w:pPr>
          </w:p>
        </w:tc>
        <w:tc>
          <w:tcPr>
            <w:tcW w:w="3978" w:type="dxa"/>
          </w:tcPr>
          <w:p w14:paraId="6CD965CE">
            <w:pPr>
              <w:tabs>
                <w:tab w:val="left" w:pos="930"/>
                <w:tab w:val="left" w:pos="8364"/>
              </w:tabs>
              <w:ind w:right="-58"/>
              <w:rPr>
                <w:rFonts w:ascii="宋体" w:hAnsi="宋体"/>
                <w:spacing w:val="20"/>
                <w:szCs w:val="21"/>
              </w:rPr>
            </w:pPr>
          </w:p>
        </w:tc>
        <w:tc>
          <w:tcPr>
            <w:tcW w:w="1155" w:type="dxa"/>
          </w:tcPr>
          <w:p w14:paraId="43D55F60">
            <w:pPr>
              <w:tabs>
                <w:tab w:val="left" w:pos="930"/>
                <w:tab w:val="left" w:pos="8364"/>
              </w:tabs>
              <w:ind w:right="-58"/>
              <w:rPr>
                <w:rFonts w:ascii="宋体" w:hAnsi="宋体"/>
                <w:spacing w:val="20"/>
                <w:szCs w:val="21"/>
              </w:rPr>
            </w:pPr>
          </w:p>
        </w:tc>
        <w:tc>
          <w:tcPr>
            <w:tcW w:w="1072" w:type="dxa"/>
          </w:tcPr>
          <w:p w14:paraId="20016E29">
            <w:pPr>
              <w:tabs>
                <w:tab w:val="left" w:pos="930"/>
                <w:tab w:val="left" w:pos="8364"/>
              </w:tabs>
              <w:ind w:right="-58"/>
              <w:rPr>
                <w:rFonts w:ascii="宋体" w:hAnsi="宋体"/>
                <w:spacing w:val="20"/>
                <w:szCs w:val="21"/>
              </w:rPr>
            </w:pPr>
          </w:p>
        </w:tc>
        <w:tc>
          <w:tcPr>
            <w:tcW w:w="1066" w:type="dxa"/>
          </w:tcPr>
          <w:p w14:paraId="4829D9BB">
            <w:pPr>
              <w:tabs>
                <w:tab w:val="left" w:pos="930"/>
                <w:tab w:val="left" w:pos="8364"/>
              </w:tabs>
              <w:ind w:right="-58"/>
              <w:rPr>
                <w:rFonts w:ascii="宋体" w:hAnsi="宋体"/>
                <w:spacing w:val="20"/>
                <w:szCs w:val="21"/>
              </w:rPr>
            </w:pPr>
          </w:p>
        </w:tc>
      </w:tr>
    </w:tbl>
    <w:p w14:paraId="1D2B65A8">
      <w:pPr>
        <w:numPr>
          <w:ilvl w:val="0"/>
          <w:numId w:val="18"/>
        </w:numPr>
        <w:spacing w:line="360" w:lineRule="auto"/>
        <w:rPr>
          <w:rFonts w:ascii="宋体" w:hAnsi="宋体"/>
          <w:szCs w:val="21"/>
        </w:rPr>
      </w:pPr>
      <w:r>
        <w:rPr>
          <w:rFonts w:hint="eastAsia" w:ascii="宋体" w:hAnsi="宋体"/>
          <w:szCs w:val="21"/>
        </w:rPr>
        <w:t>研发能力及人员配备：</w:t>
      </w:r>
    </w:p>
    <w:p w14:paraId="2BB30B1D">
      <w:pPr>
        <w:spacing w:line="360" w:lineRule="auto"/>
        <w:ind w:left="425"/>
        <w:rPr>
          <w:rFonts w:ascii="宋体" w:hAnsi="宋体"/>
          <w:szCs w:val="21"/>
        </w:rPr>
      </w:pPr>
    </w:p>
    <w:p w14:paraId="7D5B9695">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14:paraId="02C65A2A">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14:paraId="26FA5AAD">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14:paraId="2B9D3B29">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14:paraId="2322EBF2">
      <w:pPr>
        <w:spacing w:line="360" w:lineRule="auto"/>
        <w:rPr>
          <w:rFonts w:ascii="宋体" w:hAnsi="宋体"/>
          <w:szCs w:val="21"/>
        </w:rPr>
      </w:pPr>
    </w:p>
    <w:p w14:paraId="2395DB5A">
      <w:pPr>
        <w:spacing w:line="360" w:lineRule="auto"/>
        <w:rPr>
          <w:rFonts w:ascii="宋体" w:hAnsi="宋体"/>
          <w:szCs w:val="21"/>
        </w:rPr>
      </w:pPr>
      <w:r>
        <w:rPr>
          <w:rFonts w:hint="eastAsia" w:ascii="宋体" w:hAnsi="宋体"/>
          <w:szCs w:val="21"/>
        </w:rPr>
        <w:t>供应商名称（盖章）：</w:t>
      </w:r>
    </w:p>
    <w:p w14:paraId="6D92F5E6">
      <w:pPr>
        <w:spacing w:line="360" w:lineRule="auto"/>
        <w:rPr>
          <w:rFonts w:ascii="宋体" w:hAnsi="宋体"/>
          <w:szCs w:val="21"/>
        </w:rPr>
      </w:pPr>
      <w:r>
        <w:rPr>
          <w:rFonts w:hint="eastAsia" w:ascii="宋体" w:hAnsi="宋体"/>
          <w:szCs w:val="21"/>
        </w:rPr>
        <w:t>签字人姓名和职务：</w:t>
      </w:r>
    </w:p>
    <w:p w14:paraId="7F3DC0E4">
      <w:pPr>
        <w:spacing w:line="360" w:lineRule="auto"/>
        <w:rPr>
          <w:rFonts w:ascii="宋体" w:hAnsi="宋体"/>
          <w:szCs w:val="21"/>
        </w:rPr>
      </w:pPr>
      <w:r>
        <w:rPr>
          <w:rFonts w:hint="eastAsia" w:ascii="宋体" w:hAnsi="宋体"/>
          <w:szCs w:val="21"/>
        </w:rPr>
        <w:t>签字人签字：</w:t>
      </w:r>
    </w:p>
    <w:p w14:paraId="712A6D7A">
      <w:pPr>
        <w:spacing w:line="360" w:lineRule="auto"/>
        <w:rPr>
          <w:rFonts w:ascii="宋体" w:hAnsi="宋体"/>
          <w:szCs w:val="21"/>
        </w:rPr>
      </w:pPr>
      <w:r>
        <w:rPr>
          <w:rFonts w:hint="eastAsia" w:ascii="宋体" w:hAnsi="宋体"/>
          <w:szCs w:val="21"/>
        </w:rPr>
        <w:t>签字日期：</w:t>
      </w:r>
    </w:p>
    <w:p w14:paraId="6B50F07D">
      <w:pPr>
        <w:spacing w:line="360" w:lineRule="auto"/>
        <w:rPr>
          <w:rFonts w:ascii="宋体" w:hAnsi="宋体"/>
          <w:szCs w:val="21"/>
        </w:rPr>
      </w:pPr>
      <w:r>
        <w:rPr>
          <w:rFonts w:hint="eastAsia" w:ascii="宋体" w:hAnsi="宋体"/>
          <w:szCs w:val="21"/>
        </w:rPr>
        <w:t>传真：</w:t>
      </w:r>
    </w:p>
    <w:p w14:paraId="68E772B1">
      <w:pPr>
        <w:spacing w:line="360" w:lineRule="auto"/>
        <w:rPr>
          <w:rFonts w:ascii="宋体" w:hAnsi="宋体"/>
          <w:szCs w:val="21"/>
        </w:rPr>
      </w:pPr>
      <w:r>
        <w:rPr>
          <w:rFonts w:hint="eastAsia" w:ascii="宋体" w:hAnsi="宋体"/>
          <w:szCs w:val="21"/>
        </w:rPr>
        <w:t>电话：</w:t>
      </w:r>
    </w:p>
    <w:p w14:paraId="62C3C6EF">
      <w:pPr>
        <w:spacing w:line="360" w:lineRule="auto"/>
        <w:rPr>
          <w:rFonts w:ascii="宋体" w:hAnsi="宋体"/>
          <w:szCs w:val="21"/>
        </w:rPr>
      </w:pPr>
      <w:r>
        <w:rPr>
          <w:rFonts w:hint="eastAsia" w:ascii="宋体" w:hAnsi="宋体"/>
          <w:szCs w:val="21"/>
        </w:rPr>
        <w:t>电子函件：</w:t>
      </w:r>
    </w:p>
    <w:p w14:paraId="236568B1">
      <w:pPr>
        <w:rPr>
          <w:rFonts w:ascii="宋体" w:hAnsi="宋体"/>
          <w:szCs w:val="21"/>
        </w:rPr>
      </w:pPr>
      <w:r>
        <w:rPr>
          <w:rFonts w:hint="eastAsia" w:ascii="宋体" w:hAnsi="宋体"/>
          <w:szCs w:val="21"/>
        </w:rPr>
        <w:br w:type="page"/>
      </w:r>
    </w:p>
    <w:p w14:paraId="4C891488">
      <w:pPr>
        <w:pStyle w:val="7"/>
        <w:rPr>
          <w:rFonts w:ascii="黑体" w:eastAsia="黑体"/>
          <w:b/>
          <w:sz w:val="21"/>
          <w:szCs w:val="24"/>
        </w:rPr>
      </w:pPr>
      <w:r>
        <w:rPr>
          <w:rFonts w:hint="eastAsia" w:ascii="黑体" w:eastAsia="黑体"/>
          <w:b/>
          <w:sz w:val="21"/>
          <w:szCs w:val="24"/>
        </w:rPr>
        <w:t>7-3  资格要求证明材料</w:t>
      </w:r>
    </w:p>
    <w:p w14:paraId="787AFD74">
      <w:pPr>
        <w:snapToGrid w:val="0"/>
        <w:spacing w:beforeLines="100" w:afterLines="100"/>
        <w:ind w:left="210" w:leftChars="100" w:right="210" w:rightChars="100" w:firstLine="420" w:firstLineChars="200"/>
        <w:rPr>
          <w:rFonts w:ascii="宋体" w:hAnsi="宋体"/>
          <w:szCs w:val="21"/>
          <w:u w:val="single"/>
        </w:rPr>
      </w:pPr>
    </w:p>
    <w:bookmarkEnd w:id="47"/>
    <w:bookmarkEnd w:id="71"/>
    <w:bookmarkEnd w:id="72"/>
    <w:bookmarkEnd w:id="73"/>
    <w:p w14:paraId="4F8012B0">
      <w:r>
        <w:br w:type="page"/>
      </w:r>
    </w:p>
    <w:p w14:paraId="401D02EC">
      <w:pPr>
        <w:pStyle w:val="7"/>
      </w:pPr>
      <w:bookmarkStart w:id="93" w:name="_Toc19572"/>
      <w:r>
        <w:rPr>
          <w:rFonts w:hint="eastAsia" w:ascii="黑体" w:eastAsia="黑体"/>
          <w:b/>
          <w:sz w:val="21"/>
          <w:szCs w:val="24"/>
        </w:rPr>
        <w:t>7-4  供应商认为需要提供的其它证明材料</w:t>
      </w:r>
      <w:bookmarkEnd w:id="93"/>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crosoft JhengHei"/>
    <w:panose1 w:val="00000000000000000000"/>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22653">
    <w:pPr>
      <w:pStyle w:val="36"/>
      <w:jc w:val="center"/>
    </w:pPr>
    <w:r>
      <w:fldChar w:fldCharType="begin"/>
    </w:r>
    <w:r>
      <w:instrText xml:space="preserve">PAGE   \* MERGEFORMAT</w:instrText>
    </w:r>
    <w:r>
      <w:fldChar w:fldCharType="separate"/>
    </w:r>
    <w:r>
      <w:rPr>
        <w:lang w:val="zh-CN"/>
      </w:rPr>
      <w:t>47</w:t>
    </w:r>
    <w:r>
      <w:rPr>
        <w:lang w:val="zh-CN"/>
      </w:rPr>
      <w:fldChar w:fldCharType="end"/>
    </w:r>
  </w:p>
  <w:p w14:paraId="0E7D87A7">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0E9E3">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CD7FC">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7ABA5">
    <w:pPr>
      <w:pStyle w:val="36"/>
      <w:jc w:val="center"/>
    </w:pPr>
    <w:r>
      <w:fldChar w:fldCharType="begin"/>
    </w:r>
    <w:r>
      <w:rPr>
        <w:rStyle w:val="57"/>
      </w:rPr>
      <w:instrText xml:space="preserve"> PAGE </w:instrText>
    </w:r>
    <w:r>
      <w:fldChar w:fldCharType="separate"/>
    </w:r>
    <w:r>
      <w:rPr>
        <w:rStyle w:val="57"/>
      </w:rPr>
      <w:t>42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241EF">
    <w:pPr>
      <w:pStyle w:val="36"/>
      <w:jc w:val="center"/>
    </w:pPr>
    <w:r>
      <w:fldChar w:fldCharType="begin"/>
    </w:r>
    <w:r>
      <w:rPr>
        <w:rStyle w:val="57"/>
      </w:rPr>
      <w:instrText xml:space="preserve"> PAGE </w:instrText>
    </w:r>
    <w:r>
      <w:fldChar w:fldCharType="separate"/>
    </w:r>
    <w:r>
      <w:rPr>
        <w:rStyle w:val="57"/>
      </w:rPr>
      <w:t>56</w:t>
    </w:r>
    <w:r>
      <w:fldChar w:fldCharType="end"/>
    </w:r>
  </w:p>
  <w:p w14:paraId="61A050BE"/>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9D2B6">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F85A5">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91C42">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C045F">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AD00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DE53D"/>
    <w:multiLevelType w:val="multilevel"/>
    <w:tmpl w:val="99EDE53D"/>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0D"/>
    <w:multiLevelType w:val="multilevel"/>
    <w:tmpl w:val="0000000D"/>
    <w:lvl w:ilvl="0" w:tentative="0">
      <w:start w:val="1"/>
      <w:numFmt w:val="decimal"/>
      <w:lvlText w:val="%1."/>
      <w:lvlJc w:val="left"/>
      <w:pPr>
        <w:tabs>
          <w:tab w:val="left" w:pos="1155"/>
        </w:tabs>
        <w:ind w:left="1155" w:hanging="735"/>
      </w:pPr>
      <w:rPr>
        <w:rFonts w:hint="eastAsia" w:ascii="宋体" w:hAnsi="宋体" w:eastAsia="宋体"/>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0000019"/>
    <w:multiLevelType w:val="multilevel"/>
    <w:tmpl w:val="00000019"/>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E"/>
    <w:multiLevelType w:val="multilevel"/>
    <w:tmpl w:val="0000001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E"/>
    <w:multiLevelType w:val="multilevel"/>
    <w:tmpl w:val="0000002E"/>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8">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9">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0">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1">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3">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4">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5">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6">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7">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6"/>
  </w:num>
  <w:num w:numId="2">
    <w:abstractNumId w:val="14"/>
  </w:num>
  <w:num w:numId="3">
    <w:abstractNumId w:val="7"/>
  </w:num>
  <w:num w:numId="4">
    <w:abstractNumId w:val="3"/>
  </w:num>
  <w:num w:numId="5">
    <w:abstractNumId w:val="2"/>
  </w:num>
  <w:num w:numId="6">
    <w:abstractNumId w:val="1"/>
  </w:num>
  <w:num w:numId="7">
    <w:abstractNumId w:val="5"/>
  </w:num>
  <w:num w:numId="8">
    <w:abstractNumId w:val="6"/>
  </w:num>
  <w:num w:numId="9">
    <w:abstractNumId w:val="15"/>
  </w:num>
  <w:num w:numId="10">
    <w:abstractNumId w:val="4"/>
  </w:num>
  <w:num w:numId="11">
    <w:abstractNumId w:val="0"/>
  </w:num>
  <w:num w:numId="12">
    <w:abstractNumId w:val="9"/>
  </w:num>
  <w:num w:numId="13">
    <w:abstractNumId w:val="10"/>
  </w:num>
  <w:num w:numId="14">
    <w:abstractNumId w:val="8"/>
  </w:num>
  <w:num w:numId="15">
    <w:abstractNumId w:val="11"/>
  </w:num>
  <w:num w:numId="16">
    <w:abstractNumId w:val="12"/>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ZjQ5ZTU3YzNmNTVlM2M5N2YwMDRlMDhhOGM0MzQifQ=="/>
  </w:docVars>
  <w:rsids>
    <w:rsidRoot w:val="00C31D55"/>
    <w:rsid w:val="0000165B"/>
    <w:rsid w:val="00001D1B"/>
    <w:rsid w:val="00002668"/>
    <w:rsid w:val="00002D14"/>
    <w:rsid w:val="00003DF0"/>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2F00"/>
    <w:rsid w:val="00023E93"/>
    <w:rsid w:val="00023EF5"/>
    <w:rsid w:val="00024C77"/>
    <w:rsid w:val="00025EFB"/>
    <w:rsid w:val="000260D5"/>
    <w:rsid w:val="00030A9D"/>
    <w:rsid w:val="00031B2F"/>
    <w:rsid w:val="00031DEF"/>
    <w:rsid w:val="00031E87"/>
    <w:rsid w:val="00033EFE"/>
    <w:rsid w:val="00034705"/>
    <w:rsid w:val="0003496A"/>
    <w:rsid w:val="00035296"/>
    <w:rsid w:val="000352DD"/>
    <w:rsid w:val="000364F3"/>
    <w:rsid w:val="000365EA"/>
    <w:rsid w:val="00037097"/>
    <w:rsid w:val="00037954"/>
    <w:rsid w:val="00037AFD"/>
    <w:rsid w:val="0004037C"/>
    <w:rsid w:val="00040F17"/>
    <w:rsid w:val="00041779"/>
    <w:rsid w:val="00041E6E"/>
    <w:rsid w:val="00042019"/>
    <w:rsid w:val="0004206D"/>
    <w:rsid w:val="00042584"/>
    <w:rsid w:val="000438A5"/>
    <w:rsid w:val="00045744"/>
    <w:rsid w:val="00045A14"/>
    <w:rsid w:val="00050BFA"/>
    <w:rsid w:val="00051071"/>
    <w:rsid w:val="0005189A"/>
    <w:rsid w:val="00053058"/>
    <w:rsid w:val="00053A52"/>
    <w:rsid w:val="00053B14"/>
    <w:rsid w:val="00053E94"/>
    <w:rsid w:val="0005497F"/>
    <w:rsid w:val="0005620D"/>
    <w:rsid w:val="000567DC"/>
    <w:rsid w:val="00056C96"/>
    <w:rsid w:val="00056D8B"/>
    <w:rsid w:val="00056FD5"/>
    <w:rsid w:val="000577B3"/>
    <w:rsid w:val="000578CD"/>
    <w:rsid w:val="0005799E"/>
    <w:rsid w:val="0006099C"/>
    <w:rsid w:val="000618EA"/>
    <w:rsid w:val="00061F51"/>
    <w:rsid w:val="00062477"/>
    <w:rsid w:val="000631D6"/>
    <w:rsid w:val="00063CE1"/>
    <w:rsid w:val="00064583"/>
    <w:rsid w:val="00064913"/>
    <w:rsid w:val="00064FA3"/>
    <w:rsid w:val="00066324"/>
    <w:rsid w:val="000673C4"/>
    <w:rsid w:val="00067BFB"/>
    <w:rsid w:val="00067FDF"/>
    <w:rsid w:val="00070964"/>
    <w:rsid w:val="00071DBA"/>
    <w:rsid w:val="00072029"/>
    <w:rsid w:val="0007215F"/>
    <w:rsid w:val="000728EA"/>
    <w:rsid w:val="0007445B"/>
    <w:rsid w:val="000760C6"/>
    <w:rsid w:val="0007666E"/>
    <w:rsid w:val="00076700"/>
    <w:rsid w:val="00076D4E"/>
    <w:rsid w:val="00080C1A"/>
    <w:rsid w:val="00082069"/>
    <w:rsid w:val="00082160"/>
    <w:rsid w:val="00082D5D"/>
    <w:rsid w:val="00083045"/>
    <w:rsid w:val="000847F7"/>
    <w:rsid w:val="00084999"/>
    <w:rsid w:val="00084B08"/>
    <w:rsid w:val="00084E3F"/>
    <w:rsid w:val="00085413"/>
    <w:rsid w:val="00087025"/>
    <w:rsid w:val="00087E73"/>
    <w:rsid w:val="00090871"/>
    <w:rsid w:val="00091477"/>
    <w:rsid w:val="00092C2E"/>
    <w:rsid w:val="00093016"/>
    <w:rsid w:val="0009447A"/>
    <w:rsid w:val="00095F5C"/>
    <w:rsid w:val="00096080"/>
    <w:rsid w:val="00096339"/>
    <w:rsid w:val="00096778"/>
    <w:rsid w:val="00096B05"/>
    <w:rsid w:val="000A28DA"/>
    <w:rsid w:val="000A3669"/>
    <w:rsid w:val="000A3C2B"/>
    <w:rsid w:val="000A5155"/>
    <w:rsid w:val="000A55B6"/>
    <w:rsid w:val="000A60BC"/>
    <w:rsid w:val="000A6148"/>
    <w:rsid w:val="000A688C"/>
    <w:rsid w:val="000A7250"/>
    <w:rsid w:val="000A72D9"/>
    <w:rsid w:val="000A7D58"/>
    <w:rsid w:val="000B02BC"/>
    <w:rsid w:val="000B11A0"/>
    <w:rsid w:val="000B142B"/>
    <w:rsid w:val="000B26B7"/>
    <w:rsid w:val="000B4B80"/>
    <w:rsid w:val="000B4FAD"/>
    <w:rsid w:val="000B55EC"/>
    <w:rsid w:val="000B5724"/>
    <w:rsid w:val="000B58EA"/>
    <w:rsid w:val="000B6D7B"/>
    <w:rsid w:val="000C17AA"/>
    <w:rsid w:val="000C22C4"/>
    <w:rsid w:val="000C2639"/>
    <w:rsid w:val="000C29FA"/>
    <w:rsid w:val="000C352F"/>
    <w:rsid w:val="000C3B31"/>
    <w:rsid w:val="000C3D44"/>
    <w:rsid w:val="000C4853"/>
    <w:rsid w:val="000C489F"/>
    <w:rsid w:val="000C5934"/>
    <w:rsid w:val="000C63A7"/>
    <w:rsid w:val="000C6EF4"/>
    <w:rsid w:val="000C70D2"/>
    <w:rsid w:val="000C73F3"/>
    <w:rsid w:val="000D02BB"/>
    <w:rsid w:val="000D0905"/>
    <w:rsid w:val="000D3662"/>
    <w:rsid w:val="000D54F8"/>
    <w:rsid w:val="000D66A3"/>
    <w:rsid w:val="000D6E29"/>
    <w:rsid w:val="000D6FBE"/>
    <w:rsid w:val="000E0500"/>
    <w:rsid w:val="000E41E7"/>
    <w:rsid w:val="000E5C95"/>
    <w:rsid w:val="000E6277"/>
    <w:rsid w:val="000E7497"/>
    <w:rsid w:val="000E795C"/>
    <w:rsid w:val="000F1443"/>
    <w:rsid w:val="000F2D35"/>
    <w:rsid w:val="000F38BD"/>
    <w:rsid w:val="000F5FE5"/>
    <w:rsid w:val="000F6FE1"/>
    <w:rsid w:val="000F7CED"/>
    <w:rsid w:val="00100B22"/>
    <w:rsid w:val="001014D5"/>
    <w:rsid w:val="00102ACF"/>
    <w:rsid w:val="00103F6E"/>
    <w:rsid w:val="00105AA5"/>
    <w:rsid w:val="00105B57"/>
    <w:rsid w:val="001060EC"/>
    <w:rsid w:val="00106A2A"/>
    <w:rsid w:val="00106F9D"/>
    <w:rsid w:val="001077D6"/>
    <w:rsid w:val="00107D09"/>
    <w:rsid w:val="00110461"/>
    <w:rsid w:val="001111F3"/>
    <w:rsid w:val="0011219E"/>
    <w:rsid w:val="00112D23"/>
    <w:rsid w:val="00113255"/>
    <w:rsid w:val="00113435"/>
    <w:rsid w:val="001135CE"/>
    <w:rsid w:val="001136A7"/>
    <w:rsid w:val="001139A3"/>
    <w:rsid w:val="0011471E"/>
    <w:rsid w:val="00115AC1"/>
    <w:rsid w:val="00116F52"/>
    <w:rsid w:val="00117CA9"/>
    <w:rsid w:val="00120B3D"/>
    <w:rsid w:val="0012233A"/>
    <w:rsid w:val="00122DF7"/>
    <w:rsid w:val="00123B7D"/>
    <w:rsid w:val="00124678"/>
    <w:rsid w:val="001267E8"/>
    <w:rsid w:val="0012786A"/>
    <w:rsid w:val="0013034C"/>
    <w:rsid w:val="0013062F"/>
    <w:rsid w:val="001306F9"/>
    <w:rsid w:val="00130F8C"/>
    <w:rsid w:val="00131658"/>
    <w:rsid w:val="00133D00"/>
    <w:rsid w:val="00133D94"/>
    <w:rsid w:val="0013411C"/>
    <w:rsid w:val="001345BD"/>
    <w:rsid w:val="001350EA"/>
    <w:rsid w:val="001354DA"/>
    <w:rsid w:val="00136B87"/>
    <w:rsid w:val="0013763D"/>
    <w:rsid w:val="001404C4"/>
    <w:rsid w:val="00141AE1"/>
    <w:rsid w:val="00141DEE"/>
    <w:rsid w:val="00142363"/>
    <w:rsid w:val="001424F4"/>
    <w:rsid w:val="001437EE"/>
    <w:rsid w:val="001453C5"/>
    <w:rsid w:val="00147621"/>
    <w:rsid w:val="00147FB5"/>
    <w:rsid w:val="00150FE4"/>
    <w:rsid w:val="00151447"/>
    <w:rsid w:val="00151FAB"/>
    <w:rsid w:val="0015329D"/>
    <w:rsid w:val="00154AE8"/>
    <w:rsid w:val="00154B29"/>
    <w:rsid w:val="00154BF3"/>
    <w:rsid w:val="00154CBB"/>
    <w:rsid w:val="00155B47"/>
    <w:rsid w:val="00155F8E"/>
    <w:rsid w:val="00156879"/>
    <w:rsid w:val="0015708F"/>
    <w:rsid w:val="00157313"/>
    <w:rsid w:val="00157CF2"/>
    <w:rsid w:val="001609CF"/>
    <w:rsid w:val="001616D2"/>
    <w:rsid w:val="001618E3"/>
    <w:rsid w:val="00161FB9"/>
    <w:rsid w:val="00162412"/>
    <w:rsid w:val="00162672"/>
    <w:rsid w:val="00162D92"/>
    <w:rsid w:val="00163258"/>
    <w:rsid w:val="001636DE"/>
    <w:rsid w:val="0016388E"/>
    <w:rsid w:val="00163E91"/>
    <w:rsid w:val="001659CD"/>
    <w:rsid w:val="00167496"/>
    <w:rsid w:val="00167A90"/>
    <w:rsid w:val="001708C4"/>
    <w:rsid w:val="00170BE5"/>
    <w:rsid w:val="00170E5B"/>
    <w:rsid w:val="00171FDA"/>
    <w:rsid w:val="00172446"/>
    <w:rsid w:val="00172B39"/>
    <w:rsid w:val="001730DF"/>
    <w:rsid w:val="0017360F"/>
    <w:rsid w:val="001738F1"/>
    <w:rsid w:val="001759B2"/>
    <w:rsid w:val="00175A52"/>
    <w:rsid w:val="00176385"/>
    <w:rsid w:val="001764D0"/>
    <w:rsid w:val="00176D2C"/>
    <w:rsid w:val="00176FDB"/>
    <w:rsid w:val="00177676"/>
    <w:rsid w:val="0017789B"/>
    <w:rsid w:val="00177E3C"/>
    <w:rsid w:val="0018060A"/>
    <w:rsid w:val="00181462"/>
    <w:rsid w:val="0018189F"/>
    <w:rsid w:val="001839B6"/>
    <w:rsid w:val="0018438A"/>
    <w:rsid w:val="00185166"/>
    <w:rsid w:val="00185F93"/>
    <w:rsid w:val="001904CE"/>
    <w:rsid w:val="00191298"/>
    <w:rsid w:val="001920C1"/>
    <w:rsid w:val="00193181"/>
    <w:rsid w:val="00193956"/>
    <w:rsid w:val="00193B89"/>
    <w:rsid w:val="00193D2E"/>
    <w:rsid w:val="0019533E"/>
    <w:rsid w:val="001959D9"/>
    <w:rsid w:val="00195AC0"/>
    <w:rsid w:val="00195E9D"/>
    <w:rsid w:val="001962C0"/>
    <w:rsid w:val="0019635D"/>
    <w:rsid w:val="0019664C"/>
    <w:rsid w:val="00196E74"/>
    <w:rsid w:val="00197E17"/>
    <w:rsid w:val="001A090D"/>
    <w:rsid w:val="001A0B95"/>
    <w:rsid w:val="001A116E"/>
    <w:rsid w:val="001A1846"/>
    <w:rsid w:val="001A1988"/>
    <w:rsid w:val="001A1B66"/>
    <w:rsid w:val="001A22AA"/>
    <w:rsid w:val="001A256C"/>
    <w:rsid w:val="001A3223"/>
    <w:rsid w:val="001A3E12"/>
    <w:rsid w:val="001A5077"/>
    <w:rsid w:val="001A55B3"/>
    <w:rsid w:val="001A59E4"/>
    <w:rsid w:val="001A5F66"/>
    <w:rsid w:val="001A60DB"/>
    <w:rsid w:val="001A74D8"/>
    <w:rsid w:val="001A780A"/>
    <w:rsid w:val="001A7E15"/>
    <w:rsid w:val="001B1B6F"/>
    <w:rsid w:val="001B31A4"/>
    <w:rsid w:val="001B33FB"/>
    <w:rsid w:val="001B3C75"/>
    <w:rsid w:val="001B5AD8"/>
    <w:rsid w:val="001B5F1D"/>
    <w:rsid w:val="001B6AD9"/>
    <w:rsid w:val="001B761F"/>
    <w:rsid w:val="001C00DC"/>
    <w:rsid w:val="001C0AB0"/>
    <w:rsid w:val="001C100F"/>
    <w:rsid w:val="001C1382"/>
    <w:rsid w:val="001C2886"/>
    <w:rsid w:val="001C28DC"/>
    <w:rsid w:val="001C2D38"/>
    <w:rsid w:val="001C32A3"/>
    <w:rsid w:val="001C3919"/>
    <w:rsid w:val="001C4283"/>
    <w:rsid w:val="001C5180"/>
    <w:rsid w:val="001C598B"/>
    <w:rsid w:val="001C6E87"/>
    <w:rsid w:val="001C71DD"/>
    <w:rsid w:val="001C7286"/>
    <w:rsid w:val="001C7EA2"/>
    <w:rsid w:val="001C7F6E"/>
    <w:rsid w:val="001D0F65"/>
    <w:rsid w:val="001D1377"/>
    <w:rsid w:val="001D23D9"/>
    <w:rsid w:val="001D2705"/>
    <w:rsid w:val="001D34DC"/>
    <w:rsid w:val="001D375F"/>
    <w:rsid w:val="001D384F"/>
    <w:rsid w:val="001D415F"/>
    <w:rsid w:val="001D4EE6"/>
    <w:rsid w:val="001D6C53"/>
    <w:rsid w:val="001D73F4"/>
    <w:rsid w:val="001D742D"/>
    <w:rsid w:val="001D7B98"/>
    <w:rsid w:val="001E16C1"/>
    <w:rsid w:val="001E1CA8"/>
    <w:rsid w:val="001E371B"/>
    <w:rsid w:val="001E56B6"/>
    <w:rsid w:val="001E653F"/>
    <w:rsid w:val="001F0329"/>
    <w:rsid w:val="001F10B7"/>
    <w:rsid w:val="001F19AA"/>
    <w:rsid w:val="001F1C2F"/>
    <w:rsid w:val="001F2993"/>
    <w:rsid w:val="001F36D2"/>
    <w:rsid w:val="001F3B74"/>
    <w:rsid w:val="001F3D3C"/>
    <w:rsid w:val="001F4134"/>
    <w:rsid w:val="001F48E2"/>
    <w:rsid w:val="001F4E78"/>
    <w:rsid w:val="001F504F"/>
    <w:rsid w:val="001F7409"/>
    <w:rsid w:val="001F7C0B"/>
    <w:rsid w:val="001F7EA3"/>
    <w:rsid w:val="00200232"/>
    <w:rsid w:val="0020086F"/>
    <w:rsid w:val="00200BEA"/>
    <w:rsid w:val="00200E77"/>
    <w:rsid w:val="00204763"/>
    <w:rsid w:val="00206250"/>
    <w:rsid w:val="002065EB"/>
    <w:rsid w:val="00207266"/>
    <w:rsid w:val="00207358"/>
    <w:rsid w:val="00207DED"/>
    <w:rsid w:val="002100D6"/>
    <w:rsid w:val="00210532"/>
    <w:rsid w:val="00211523"/>
    <w:rsid w:val="00212106"/>
    <w:rsid w:val="002133FD"/>
    <w:rsid w:val="00213B1C"/>
    <w:rsid w:val="0021459D"/>
    <w:rsid w:val="00214AD6"/>
    <w:rsid w:val="00215E61"/>
    <w:rsid w:val="002166B5"/>
    <w:rsid w:val="00216B57"/>
    <w:rsid w:val="00217883"/>
    <w:rsid w:val="00217FE0"/>
    <w:rsid w:val="00220C69"/>
    <w:rsid w:val="0022136D"/>
    <w:rsid w:val="002225AD"/>
    <w:rsid w:val="00223502"/>
    <w:rsid w:val="002237FD"/>
    <w:rsid w:val="00223BB5"/>
    <w:rsid w:val="00224456"/>
    <w:rsid w:val="0022501D"/>
    <w:rsid w:val="00226F02"/>
    <w:rsid w:val="0022732E"/>
    <w:rsid w:val="002273BE"/>
    <w:rsid w:val="00227953"/>
    <w:rsid w:val="00227DB7"/>
    <w:rsid w:val="002322AB"/>
    <w:rsid w:val="002338C7"/>
    <w:rsid w:val="00233F18"/>
    <w:rsid w:val="00233F75"/>
    <w:rsid w:val="0023456B"/>
    <w:rsid w:val="002347CA"/>
    <w:rsid w:val="00235732"/>
    <w:rsid w:val="00235961"/>
    <w:rsid w:val="0023598F"/>
    <w:rsid w:val="00235C61"/>
    <w:rsid w:val="00236180"/>
    <w:rsid w:val="00237DAF"/>
    <w:rsid w:val="00237FA2"/>
    <w:rsid w:val="00240411"/>
    <w:rsid w:val="00240D7C"/>
    <w:rsid w:val="00240F58"/>
    <w:rsid w:val="002417C9"/>
    <w:rsid w:val="00241B08"/>
    <w:rsid w:val="00242670"/>
    <w:rsid w:val="00242D72"/>
    <w:rsid w:val="0024300F"/>
    <w:rsid w:val="002430DE"/>
    <w:rsid w:val="00243145"/>
    <w:rsid w:val="00243373"/>
    <w:rsid w:val="002438C1"/>
    <w:rsid w:val="00243C9E"/>
    <w:rsid w:val="0024425A"/>
    <w:rsid w:val="00244D52"/>
    <w:rsid w:val="0024521A"/>
    <w:rsid w:val="00246127"/>
    <w:rsid w:val="00247321"/>
    <w:rsid w:val="00247884"/>
    <w:rsid w:val="00247E4F"/>
    <w:rsid w:val="002500E7"/>
    <w:rsid w:val="002506EA"/>
    <w:rsid w:val="00251229"/>
    <w:rsid w:val="002517FA"/>
    <w:rsid w:val="00254724"/>
    <w:rsid w:val="002552AF"/>
    <w:rsid w:val="002556C1"/>
    <w:rsid w:val="00255DC9"/>
    <w:rsid w:val="00255F47"/>
    <w:rsid w:val="00256494"/>
    <w:rsid w:val="0025703A"/>
    <w:rsid w:val="00262084"/>
    <w:rsid w:val="002628B4"/>
    <w:rsid w:val="00263946"/>
    <w:rsid w:val="00263ECA"/>
    <w:rsid w:val="0026496B"/>
    <w:rsid w:val="00265008"/>
    <w:rsid w:val="0026539D"/>
    <w:rsid w:val="00266973"/>
    <w:rsid w:val="00267B75"/>
    <w:rsid w:val="00267C03"/>
    <w:rsid w:val="00270E79"/>
    <w:rsid w:val="002712AB"/>
    <w:rsid w:val="00273181"/>
    <w:rsid w:val="002735D8"/>
    <w:rsid w:val="00273970"/>
    <w:rsid w:val="0027507D"/>
    <w:rsid w:val="00275488"/>
    <w:rsid w:val="00275636"/>
    <w:rsid w:val="00276170"/>
    <w:rsid w:val="002769E4"/>
    <w:rsid w:val="00277361"/>
    <w:rsid w:val="00277F18"/>
    <w:rsid w:val="00280046"/>
    <w:rsid w:val="002808C2"/>
    <w:rsid w:val="002811C3"/>
    <w:rsid w:val="002816DE"/>
    <w:rsid w:val="00281895"/>
    <w:rsid w:val="00281974"/>
    <w:rsid w:val="00282C00"/>
    <w:rsid w:val="002842C2"/>
    <w:rsid w:val="002848E8"/>
    <w:rsid w:val="00285002"/>
    <w:rsid w:val="0028542B"/>
    <w:rsid w:val="002871C9"/>
    <w:rsid w:val="0028791B"/>
    <w:rsid w:val="00287CAA"/>
    <w:rsid w:val="00290E99"/>
    <w:rsid w:val="002912E5"/>
    <w:rsid w:val="00293B1A"/>
    <w:rsid w:val="00293EF5"/>
    <w:rsid w:val="00296281"/>
    <w:rsid w:val="00296FB0"/>
    <w:rsid w:val="002974FB"/>
    <w:rsid w:val="002977C3"/>
    <w:rsid w:val="002A09B2"/>
    <w:rsid w:val="002A1246"/>
    <w:rsid w:val="002A18B6"/>
    <w:rsid w:val="002A208E"/>
    <w:rsid w:val="002A20BE"/>
    <w:rsid w:val="002A31A6"/>
    <w:rsid w:val="002A35B3"/>
    <w:rsid w:val="002A398F"/>
    <w:rsid w:val="002A3CE6"/>
    <w:rsid w:val="002A51DC"/>
    <w:rsid w:val="002A57B4"/>
    <w:rsid w:val="002A63D6"/>
    <w:rsid w:val="002A6A43"/>
    <w:rsid w:val="002A6ADA"/>
    <w:rsid w:val="002A77CF"/>
    <w:rsid w:val="002B07CB"/>
    <w:rsid w:val="002B0F93"/>
    <w:rsid w:val="002B1357"/>
    <w:rsid w:val="002B271D"/>
    <w:rsid w:val="002B274E"/>
    <w:rsid w:val="002B30A8"/>
    <w:rsid w:val="002B3E52"/>
    <w:rsid w:val="002C0317"/>
    <w:rsid w:val="002C1A9F"/>
    <w:rsid w:val="002C1F7C"/>
    <w:rsid w:val="002C3731"/>
    <w:rsid w:val="002C3B37"/>
    <w:rsid w:val="002C4DE8"/>
    <w:rsid w:val="002C547D"/>
    <w:rsid w:val="002C607F"/>
    <w:rsid w:val="002C6F2C"/>
    <w:rsid w:val="002C7F8D"/>
    <w:rsid w:val="002D0673"/>
    <w:rsid w:val="002D0A8D"/>
    <w:rsid w:val="002D0B99"/>
    <w:rsid w:val="002D176E"/>
    <w:rsid w:val="002D24AE"/>
    <w:rsid w:val="002D2832"/>
    <w:rsid w:val="002D3C6B"/>
    <w:rsid w:val="002D3F7C"/>
    <w:rsid w:val="002D5AC3"/>
    <w:rsid w:val="002D706B"/>
    <w:rsid w:val="002E0999"/>
    <w:rsid w:val="002E1BA5"/>
    <w:rsid w:val="002E383A"/>
    <w:rsid w:val="002E48ED"/>
    <w:rsid w:val="002E4AAE"/>
    <w:rsid w:val="002E5A36"/>
    <w:rsid w:val="002E7F6B"/>
    <w:rsid w:val="002F0236"/>
    <w:rsid w:val="002F0F55"/>
    <w:rsid w:val="002F140F"/>
    <w:rsid w:val="002F24DB"/>
    <w:rsid w:val="002F30A4"/>
    <w:rsid w:val="002F3ECC"/>
    <w:rsid w:val="002F4C62"/>
    <w:rsid w:val="002F54D3"/>
    <w:rsid w:val="002F5548"/>
    <w:rsid w:val="002F5C10"/>
    <w:rsid w:val="002F6161"/>
    <w:rsid w:val="002F65C2"/>
    <w:rsid w:val="002F7F03"/>
    <w:rsid w:val="00300124"/>
    <w:rsid w:val="00300CA0"/>
    <w:rsid w:val="003018A3"/>
    <w:rsid w:val="003020BC"/>
    <w:rsid w:val="00302A91"/>
    <w:rsid w:val="00302EBB"/>
    <w:rsid w:val="0030349C"/>
    <w:rsid w:val="003035C2"/>
    <w:rsid w:val="003042F9"/>
    <w:rsid w:val="003044CF"/>
    <w:rsid w:val="00304BAC"/>
    <w:rsid w:val="00304D7F"/>
    <w:rsid w:val="0030539C"/>
    <w:rsid w:val="003054A2"/>
    <w:rsid w:val="003054B0"/>
    <w:rsid w:val="003066EF"/>
    <w:rsid w:val="0030688F"/>
    <w:rsid w:val="003109D7"/>
    <w:rsid w:val="00310C07"/>
    <w:rsid w:val="00311B3A"/>
    <w:rsid w:val="00311FBD"/>
    <w:rsid w:val="0031392C"/>
    <w:rsid w:val="003171A4"/>
    <w:rsid w:val="003179F8"/>
    <w:rsid w:val="00317C08"/>
    <w:rsid w:val="0032052D"/>
    <w:rsid w:val="0032063B"/>
    <w:rsid w:val="003225E3"/>
    <w:rsid w:val="00323914"/>
    <w:rsid w:val="00324A2F"/>
    <w:rsid w:val="00325CE2"/>
    <w:rsid w:val="00327EC4"/>
    <w:rsid w:val="00327EFD"/>
    <w:rsid w:val="003305F0"/>
    <w:rsid w:val="00331D34"/>
    <w:rsid w:val="00332EBF"/>
    <w:rsid w:val="003336F4"/>
    <w:rsid w:val="00334FC4"/>
    <w:rsid w:val="0033591B"/>
    <w:rsid w:val="00336DFE"/>
    <w:rsid w:val="003370FA"/>
    <w:rsid w:val="00337EAF"/>
    <w:rsid w:val="00340248"/>
    <w:rsid w:val="003411C2"/>
    <w:rsid w:val="00342032"/>
    <w:rsid w:val="003424B7"/>
    <w:rsid w:val="00342CA6"/>
    <w:rsid w:val="00343793"/>
    <w:rsid w:val="003438BA"/>
    <w:rsid w:val="0034452F"/>
    <w:rsid w:val="00344537"/>
    <w:rsid w:val="00345331"/>
    <w:rsid w:val="00345AA8"/>
    <w:rsid w:val="0034674C"/>
    <w:rsid w:val="0034677A"/>
    <w:rsid w:val="003506BB"/>
    <w:rsid w:val="00350958"/>
    <w:rsid w:val="00352C45"/>
    <w:rsid w:val="00352D6D"/>
    <w:rsid w:val="00352DC2"/>
    <w:rsid w:val="00354772"/>
    <w:rsid w:val="00354782"/>
    <w:rsid w:val="00355E15"/>
    <w:rsid w:val="0035600E"/>
    <w:rsid w:val="00356B6A"/>
    <w:rsid w:val="003574EF"/>
    <w:rsid w:val="00361CD2"/>
    <w:rsid w:val="003633EB"/>
    <w:rsid w:val="00363BAE"/>
    <w:rsid w:val="0036480C"/>
    <w:rsid w:val="003653EE"/>
    <w:rsid w:val="0036572F"/>
    <w:rsid w:val="003658F6"/>
    <w:rsid w:val="00367C42"/>
    <w:rsid w:val="00370088"/>
    <w:rsid w:val="003725E5"/>
    <w:rsid w:val="00372E2F"/>
    <w:rsid w:val="00373C5D"/>
    <w:rsid w:val="003741FE"/>
    <w:rsid w:val="003743A8"/>
    <w:rsid w:val="00374FD7"/>
    <w:rsid w:val="00375173"/>
    <w:rsid w:val="00375782"/>
    <w:rsid w:val="00380A80"/>
    <w:rsid w:val="00380E2D"/>
    <w:rsid w:val="0038135C"/>
    <w:rsid w:val="00381F8E"/>
    <w:rsid w:val="003823EC"/>
    <w:rsid w:val="003825FC"/>
    <w:rsid w:val="003827BD"/>
    <w:rsid w:val="0038337F"/>
    <w:rsid w:val="0038411E"/>
    <w:rsid w:val="00384CFA"/>
    <w:rsid w:val="00385258"/>
    <w:rsid w:val="00385698"/>
    <w:rsid w:val="00387449"/>
    <w:rsid w:val="00387BE1"/>
    <w:rsid w:val="003906FA"/>
    <w:rsid w:val="003949FF"/>
    <w:rsid w:val="00395628"/>
    <w:rsid w:val="003966A4"/>
    <w:rsid w:val="003A0269"/>
    <w:rsid w:val="003A1AF3"/>
    <w:rsid w:val="003A22F2"/>
    <w:rsid w:val="003A2964"/>
    <w:rsid w:val="003A39C8"/>
    <w:rsid w:val="003A3B3E"/>
    <w:rsid w:val="003A4129"/>
    <w:rsid w:val="003A5211"/>
    <w:rsid w:val="003A5B77"/>
    <w:rsid w:val="003A61A5"/>
    <w:rsid w:val="003A635B"/>
    <w:rsid w:val="003A79FB"/>
    <w:rsid w:val="003A7B17"/>
    <w:rsid w:val="003A7D33"/>
    <w:rsid w:val="003A7E10"/>
    <w:rsid w:val="003B0E45"/>
    <w:rsid w:val="003B2C64"/>
    <w:rsid w:val="003B3BED"/>
    <w:rsid w:val="003B3D55"/>
    <w:rsid w:val="003B4431"/>
    <w:rsid w:val="003B5210"/>
    <w:rsid w:val="003B5605"/>
    <w:rsid w:val="003B5EB6"/>
    <w:rsid w:val="003B6D44"/>
    <w:rsid w:val="003B7A81"/>
    <w:rsid w:val="003B7D49"/>
    <w:rsid w:val="003C04AD"/>
    <w:rsid w:val="003C16C9"/>
    <w:rsid w:val="003C1CA7"/>
    <w:rsid w:val="003C1F52"/>
    <w:rsid w:val="003C2093"/>
    <w:rsid w:val="003C58D8"/>
    <w:rsid w:val="003C5A76"/>
    <w:rsid w:val="003C61B1"/>
    <w:rsid w:val="003C61E9"/>
    <w:rsid w:val="003C7561"/>
    <w:rsid w:val="003C7928"/>
    <w:rsid w:val="003C7B0D"/>
    <w:rsid w:val="003C7C54"/>
    <w:rsid w:val="003D063B"/>
    <w:rsid w:val="003D0945"/>
    <w:rsid w:val="003D094F"/>
    <w:rsid w:val="003D1E0B"/>
    <w:rsid w:val="003D1EFA"/>
    <w:rsid w:val="003D2EF6"/>
    <w:rsid w:val="003D3DA9"/>
    <w:rsid w:val="003D41C8"/>
    <w:rsid w:val="003D4FE4"/>
    <w:rsid w:val="003D59A5"/>
    <w:rsid w:val="003D59E0"/>
    <w:rsid w:val="003D7647"/>
    <w:rsid w:val="003E08BA"/>
    <w:rsid w:val="003E10C1"/>
    <w:rsid w:val="003E183C"/>
    <w:rsid w:val="003E1BEF"/>
    <w:rsid w:val="003E3225"/>
    <w:rsid w:val="003E3BEC"/>
    <w:rsid w:val="003E5F22"/>
    <w:rsid w:val="003E6454"/>
    <w:rsid w:val="003E6A17"/>
    <w:rsid w:val="003E794B"/>
    <w:rsid w:val="003E7A69"/>
    <w:rsid w:val="003F0A93"/>
    <w:rsid w:val="003F0D93"/>
    <w:rsid w:val="003F216D"/>
    <w:rsid w:val="003F360C"/>
    <w:rsid w:val="003F4C7C"/>
    <w:rsid w:val="003F4E03"/>
    <w:rsid w:val="003F60F1"/>
    <w:rsid w:val="003F6412"/>
    <w:rsid w:val="003F6ED2"/>
    <w:rsid w:val="003F7EBD"/>
    <w:rsid w:val="00400138"/>
    <w:rsid w:val="00400873"/>
    <w:rsid w:val="004011D2"/>
    <w:rsid w:val="00401E02"/>
    <w:rsid w:val="004055F1"/>
    <w:rsid w:val="00405B38"/>
    <w:rsid w:val="00407A39"/>
    <w:rsid w:val="00407BD1"/>
    <w:rsid w:val="00407EEE"/>
    <w:rsid w:val="0041014B"/>
    <w:rsid w:val="00410A41"/>
    <w:rsid w:val="0041267C"/>
    <w:rsid w:val="00412855"/>
    <w:rsid w:val="0041299D"/>
    <w:rsid w:val="00414098"/>
    <w:rsid w:val="00414316"/>
    <w:rsid w:val="00414C51"/>
    <w:rsid w:val="004151B4"/>
    <w:rsid w:val="004166D8"/>
    <w:rsid w:val="00417B6B"/>
    <w:rsid w:val="00417B75"/>
    <w:rsid w:val="00420F53"/>
    <w:rsid w:val="00421886"/>
    <w:rsid w:val="00421DB2"/>
    <w:rsid w:val="00421DBE"/>
    <w:rsid w:val="004223E1"/>
    <w:rsid w:val="004226C7"/>
    <w:rsid w:val="00423970"/>
    <w:rsid w:val="00424449"/>
    <w:rsid w:val="00426010"/>
    <w:rsid w:val="00426B96"/>
    <w:rsid w:val="00427AF2"/>
    <w:rsid w:val="0043002B"/>
    <w:rsid w:val="00432A3D"/>
    <w:rsid w:val="00434AAE"/>
    <w:rsid w:val="00434DEA"/>
    <w:rsid w:val="00436153"/>
    <w:rsid w:val="004369D4"/>
    <w:rsid w:val="00436D27"/>
    <w:rsid w:val="00440AA3"/>
    <w:rsid w:val="004416B7"/>
    <w:rsid w:val="00441BA6"/>
    <w:rsid w:val="00443066"/>
    <w:rsid w:val="004447F8"/>
    <w:rsid w:val="004454EF"/>
    <w:rsid w:val="00445BE7"/>
    <w:rsid w:val="00445C0A"/>
    <w:rsid w:val="004463F2"/>
    <w:rsid w:val="00446B22"/>
    <w:rsid w:val="004472C3"/>
    <w:rsid w:val="00447811"/>
    <w:rsid w:val="00447855"/>
    <w:rsid w:val="00447A8B"/>
    <w:rsid w:val="0045026C"/>
    <w:rsid w:val="00453075"/>
    <w:rsid w:val="00453AF0"/>
    <w:rsid w:val="00453CED"/>
    <w:rsid w:val="00454923"/>
    <w:rsid w:val="004568A8"/>
    <w:rsid w:val="00457347"/>
    <w:rsid w:val="00457459"/>
    <w:rsid w:val="00460414"/>
    <w:rsid w:val="004607C3"/>
    <w:rsid w:val="00460838"/>
    <w:rsid w:val="004611AD"/>
    <w:rsid w:val="0046132D"/>
    <w:rsid w:val="00461606"/>
    <w:rsid w:val="00461F3C"/>
    <w:rsid w:val="00462868"/>
    <w:rsid w:val="00463598"/>
    <w:rsid w:val="00463956"/>
    <w:rsid w:val="0046498B"/>
    <w:rsid w:val="004663B1"/>
    <w:rsid w:val="00466DB6"/>
    <w:rsid w:val="004670F6"/>
    <w:rsid w:val="00467E2B"/>
    <w:rsid w:val="00467FDA"/>
    <w:rsid w:val="00470024"/>
    <w:rsid w:val="00470730"/>
    <w:rsid w:val="00473658"/>
    <w:rsid w:val="00473742"/>
    <w:rsid w:val="004744B7"/>
    <w:rsid w:val="00477C96"/>
    <w:rsid w:val="00477EF6"/>
    <w:rsid w:val="004809A0"/>
    <w:rsid w:val="00480CC2"/>
    <w:rsid w:val="004821CC"/>
    <w:rsid w:val="00482693"/>
    <w:rsid w:val="00483653"/>
    <w:rsid w:val="00484086"/>
    <w:rsid w:val="004854F3"/>
    <w:rsid w:val="004860BC"/>
    <w:rsid w:val="0048667A"/>
    <w:rsid w:val="00487996"/>
    <w:rsid w:val="004917CD"/>
    <w:rsid w:val="00491C96"/>
    <w:rsid w:val="0049216E"/>
    <w:rsid w:val="00492A51"/>
    <w:rsid w:val="00492CA0"/>
    <w:rsid w:val="00492EF4"/>
    <w:rsid w:val="00493168"/>
    <w:rsid w:val="0049373E"/>
    <w:rsid w:val="00493BD2"/>
    <w:rsid w:val="00494435"/>
    <w:rsid w:val="00494AEA"/>
    <w:rsid w:val="00495459"/>
    <w:rsid w:val="0049606A"/>
    <w:rsid w:val="0049659C"/>
    <w:rsid w:val="004968D2"/>
    <w:rsid w:val="00497C79"/>
    <w:rsid w:val="004A0AAD"/>
    <w:rsid w:val="004A2717"/>
    <w:rsid w:val="004A2DF6"/>
    <w:rsid w:val="004A330D"/>
    <w:rsid w:val="004A4E12"/>
    <w:rsid w:val="004A51B2"/>
    <w:rsid w:val="004A5E4E"/>
    <w:rsid w:val="004A6A4D"/>
    <w:rsid w:val="004B00FD"/>
    <w:rsid w:val="004B19C9"/>
    <w:rsid w:val="004B1AF0"/>
    <w:rsid w:val="004B3224"/>
    <w:rsid w:val="004B3E69"/>
    <w:rsid w:val="004B445F"/>
    <w:rsid w:val="004B4B2C"/>
    <w:rsid w:val="004B525E"/>
    <w:rsid w:val="004B598A"/>
    <w:rsid w:val="004B5BF2"/>
    <w:rsid w:val="004B763C"/>
    <w:rsid w:val="004C04D7"/>
    <w:rsid w:val="004C04FC"/>
    <w:rsid w:val="004C0A14"/>
    <w:rsid w:val="004C0D34"/>
    <w:rsid w:val="004C1307"/>
    <w:rsid w:val="004C180A"/>
    <w:rsid w:val="004C281F"/>
    <w:rsid w:val="004C3243"/>
    <w:rsid w:val="004C3602"/>
    <w:rsid w:val="004C48F0"/>
    <w:rsid w:val="004C5137"/>
    <w:rsid w:val="004C6542"/>
    <w:rsid w:val="004C7B89"/>
    <w:rsid w:val="004D0B16"/>
    <w:rsid w:val="004D0C03"/>
    <w:rsid w:val="004D0CCF"/>
    <w:rsid w:val="004D0FD1"/>
    <w:rsid w:val="004D1790"/>
    <w:rsid w:val="004D19CF"/>
    <w:rsid w:val="004D1F26"/>
    <w:rsid w:val="004D2528"/>
    <w:rsid w:val="004D28EA"/>
    <w:rsid w:val="004D2E87"/>
    <w:rsid w:val="004D3099"/>
    <w:rsid w:val="004D38A6"/>
    <w:rsid w:val="004D39FE"/>
    <w:rsid w:val="004D3A64"/>
    <w:rsid w:val="004D408D"/>
    <w:rsid w:val="004D46CB"/>
    <w:rsid w:val="004D4E05"/>
    <w:rsid w:val="004D5644"/>
    <w:rsid w:val="004D6DFE"/>
    <w:rsid w:val="004D7389"/>
    <w:rsid w:val="004D7421"/>
    <w:rsid w:val="004E3392"/>
    <w:rsid w:val="004E484D"/>
    <w:rsid w:val="004E486F"/>
    <w:rsid w:val="004E645E"/>
    <w:rsid w:val="004E6761"/>
    <w:rsid w:val="004E75CF"/>
    <w:rsid w:val="004F0E0C"/>
    <w:rsid w:val="004F14FA"/>
    <w:rsid w:val="004F1E70"/>
    <w:rsid w:val="004F266B"/>
    <w:rsid w:val="004F2CA5"/>
    <w:rsid w:val="004F3C3B"/>
    <w:rsid w:val="004F3DD9"/>
    <w:rsid w:val="004F4697"/>
    <w:rsid w:val="004F53EA"/>
    <w:rsid w:val="004F77F2"/>
    <w:rsid w:val="004F7979"/>
    <w:rsid w:val="005018B4"/>
    <w:rsid w:val="00501BCD"/>
    <w:rsid w:val="00502B81"/>
    <w:rsid w:val="00502E90"/>
    <w:rsid w:val="005038A0"/>
    <w:rsid w:val="005043A5"/>
    <w:rsid w:val="00504567"/>
    <w:rsid w:val="005058EC"/>
    <w:rsid w:val="0050609C"/>
    <w:rsid w:val="00506423"/>
    <w:rsid w:val="00507076"/>
    <w:rsid w:val="00510D2F"/>
    <w:rsid w:val="005116B7"/>
    <w:rsid w:val="00511842"/>
    <w:rsid w:val="00511F5D"/>
    <w:rsid w:val="00512BEF"/>
    <w:rsid w:val="00513F36"/>
    <w:rsid w:val="00514518"/>
    <w:rsid w:val="00514C8C"/>
    <w:rsid w:val="00515427"/>
    <w:rsid w:val="00516300"/>
    <w:rsid w:val="00516A5B"/>
    <w:rsid w:val="00516F8D"/>
    <w:rsid w:val="00517D26"/>
    <w:rsid w:val="00520903"/>
    <w:rsid w:val="00520A0D"/>
    <w:rsid w:val="00520B2D"/>
    <w:rsid w:val="0052102C"/>
    <w:rsid w:val="00522632"/>
    <w:rsid w:val="00523030"/>
    <w:rsid w:val="00524463"/>
    <w:rsid w:val="00524B92"/>
    <w:rsid w:val="005253A2"/>
    <w:rsid w:val="00525620"/>
    <w:rsid w:val="00525AB8"/>
    <w:rsid w:val="00525EE9"/>
    <w:rsid w:val="00527AC8"/>
    <w:rsid w:val="00527ED3"/>
    <w:rsid w:val="005311D5"/>
    <w:rsid w:val="00531929"/>
    <w:rsid w:val="00531FB3"/>
    <w:rsid w:val="00532A82"/>
    <w:rsid w:val="00532CA9"/>
    <w:rsid w:val="00532F29"/>
    <w:rsid w:val="00533254"/>
    <w:rsid w:val="00533607"/>
    <w:rsid w:val="0053395D"/>
    <w:rsid w:val="0053413A"/>
    <w:rsid w:val="00534146"/>
    <w:rsid w:val="0053541D"/>
    <w:rsid w:val="00535BF7"/>
    <w:rsid w:val="005374CA"/>
    <w:rsid w:val="005410CB"/>
    <w:rsid w:val="00541901"/>
    <w:rsid w:val="00541945"/>
    <w:rsid w:val="00544133"/>
    <w:rsid w:val="005444AC"/>
    <w:rsid w:val="00544513"/>
    <w:rsid w:val="0054467D"/>
    <w:rsid w:val="00546042"/>
    <w:rsid w:val="00546886"/>
    <w:rsid w:val="00547F78"/>
    <w:rsid w:val="00550136"/>
    <w:rsid w:val="005505A9"/>
    <w:rsid w:val="00550949"/>
    <w:rsid w:val="00550BF4"/>
    <w:rsid w:val="00550E49"/>
    <w:rsid w:val="00552F38"/>
    <w:rsid w:val="00553F1D"/>
    <w:rsid w:val="0055501B"/>
    <w:rsid w:val="00555AB6"/>
    <w:rsid w:val="0056014B"/>
    <w:rsid w:val="00560349"/>
    <w:rsid w:val="0056075F"/>
    <w:rsid w:val="00560B57"/>
    <w:rsid w:val="005611D3"/>
    <w:rsid w:val="00561407"/>
    <w:rsid w:val="00562135"/>
    <w:rsid w:val="00562158"/>
    <w:rsid w:val="005628ED"/>
    <w:rsid w:val="005630C9"/>
    <w:rsid w:val="00563240"/>
    <w:rsid w:val="005637E0"/>
    <w:rsid w:val="00566416"/>
    <w:rsid w:val="00566566"/>
    <w:rsid w:val="0057081A"/>
    <w:rsid w:val="00570E6B"/>
    <w:rsid w:val="0057148D"/>
    <w:rsid w:val="00571A6D"/>
    <w:rsid w:val="00573302"/>
    <w:rsid w:val="00573B44"/>
    <w:rsid w:val="00573CF4"/>
    <w:rsid w:val="00573DFD"/>
    <w:rsid w:val="00575725"/>
    <w:rsid w:val="00575A46"/>
    <w:rsid w:val="00576C22"/>
    <w:rsid w:val="005774B5"/>
    <w:rsid w:val="00581791"/>
    <w:rsid w:val="00581B38"/>
    <w:rsid w:val="00582A36"/>
    <w:rsid w:val="00584BE8"/>
    <w:rsid w:val="0058566D"/>
    <w:rsid w:val="00585713"/>
    <w:rsid w:val="00585F0B"/>
    <w:rsid w:val="00586787"/>
    <w:rsid w:val="00587B7E"/>
    <w:rsid w:val="00590759"/>
    <w:rsid w:val="005909E6"/>
    <w:rsid w:val="00591493"/>
    <w:rsid w:val="00592E90"/>
    <w:rsid w:val="0059326F"/>
    <w:rsid w:val="005943C3"/>
    <w:rsid w:val="00596569"/>
    <w:rsid w:val="0059660B"/>
    <w:rsid w:val="00596A81"/>
    <w:rsid w:val="005975BA"/>
    <w:rsid w:val="005A04F9"/>
    <w:rsid w:val="005A0EB9"/>
    <w:rsid w:val="005A3404"/>
    <w:rsid w:val="005A41CF"/>
    <w:rsid w:val="005A48EB"/>
    <w:rsid w:val="005A53F6"/>
    <w:rsid w:val="005A6F6C"/>
    <w:rsid w:val="005A732E"/>
    <w:rsid w:val="005B0720"/>
    <w:rsid w:val="005B1A74"/>
    <w:rsid w:val="005B2074"/>
    <w:rsid w:val="005B2427"/>
    <w:rsid w:val="005B2D76"/>
    <w:rsid w:val="005B33DF"/>
    <w:rsid w:val="005B4B70"/>
    <w:rsid w:val="005B5E53"/>
    <w:rsid w:val="005B7080"/>
    <w:rsid w:val="005B729A"/>
    <w:rsid w:val="005B7341"/>
    <w:rsid w:val="005B7B3C"/>
    <w:rsid w:val="005B7E05"/>
    <w:rsid w:val="005C0188"/>
    <w:rsid w:val="005C157C"/>
    <w:rsid w:val="005C1A0E"/>
    <w:rsid w:val="005C2992"/>
    <w:rsid w:val="005C33AD"/>
    <w:rsid w:val="005C3F69"/>
    <w:rsid w:val="005C52B4"/>
    <w:rsid w:val="005C6A07"/>
    <w:rsid w:val="005C6C09"/>
    <w:rsid w:val="005C7808"/>
    <w:rsid w:val="005D0D2A"/>
    <w:rsid w:val="005D25EE"/>
    <w:rsid w:val="005D7701"/>
    <w:rsid w:val="005D7D9C"/>
    <w:rsid w:val="005E0D66"/>
    <w:rsid w:val="005E1371"/>
    <w:rsid w:val="005E1417"/>
    <w:rsid w:val="005E1BAA"/>
    <w:rsid w:val="005E1FD8"/>
    <w:rsid w:val="005E2701"/>
    <w:rsid w:val="005E30A9"/>
    <w:rsid w:val="005E42DC"/>
    <w:rsid w:val="005E447F"/>
    <w:rsid w:val="005E4B3B"/>
    <w:rsid w:val="005E503E"/>
    <w:rsid w:val="005E5E03"/>
    <w:rsid w:val="005E66F2"/>
    <w:rsid w:val="005E69F1"/>
    <w:rsid w:val="005E739F"/>
    <w:rsid w:val="005E7520"/>
    <w:rsid w:val="005F0CAB"/>
    <w:rsid w:val="005F0D66"/>
    <w:rsid w:val="005F0E61"/>
    <w:rsid w:val="005F11B0"/>
    <w:rsid w:val="005F17D9"/>
    <w:rsid w:val="005F1861"/>
    <w:rsid w:val="005F2B9A"/>
    <w:rsid w:val="005F2BD7"/>
    <w:rsid w:val="005F3181"/>
    <w:rsid w:val="005F37E9"/>
    <w:rsid w:val="005F4163"/>
    <w:rsid w:val="005F4849"/>
    <w:rsid w:val="005F7575"/>
    <w:rsid w:val="005F7CC2"/>
    <w:rsid w:val="006000DA"/>
    <w:rsid w:val="00600577"/>
    <w:rsid w:val="00601605"/>
    <w:rsid w:val="00603B48"/>
    <w:rsid w:val="00603EB7"/>
    <w:rsid w:val="00604197"/>
    <w:rsid w:val="00604E93"/>
    <w:rsid w:val="00605734"/>
    <w:rsid w:val="00606721"/>
    <w:rsid w:val="00606B8F"/>
    <w:rsid w:val="00607FDA"/>
    <w:rsid w:val="00610CDC"/>
    <w:rsid w:val="006111E1"/>
    <w:rsid w:val="0061130D"/>
    <w:rsid w:val="00611644"/>
    <w:rsid w:val="00611704"/>
    <w:rsid w:val="00612445"/>
    <w:rsid w:val="0061248D"/>
    <w:rsid w:val="006124B3"/>
    <w:rsid w:val="0061368D"/>
    <w:rsid w:val="00613AF8"/>
    <w:rsid w:val="00613BB9"/>
    <w:rsid w:val="00614B61"/>
    <w:rsid w:val="00614BEA"/>
    <w:rsid w:val="00615413"/>
    <w:rsid w:val="0061556D"/>
    <w:rsid w:val="00616317"/>
    <w:rsid w:val="00616D44"/>
    <w:rsid w:val="00616F6D"/>
    <w:rsid w:val="00617335"/>
    <w:rsid w:val="00620370"/>
    <w:rsid w:val="00620ABA"/>
    <w:rsid w:val="0062180D"/>
    <w:rsid w:val="00621A2C"/>
    <w:rsid w:val="0062236E"/>
    <w:rsid w:val="00622D0E"/>
    <w:rsid w:val="00623C23"/>
    <w:rsid w:val="00624CD7"/>
    <w:rsid w:val="00625082"/>
    <w:rsid w:val="00625892"/>
    <w:rsid w:val="0062665F"/>
    <w:rsid w:val="0062722B"/>
    <w:rsid w:val="006272D3"/>
    <w:rsid w:val="006277CE"/>
    <w:rsid w:val="00627A32"/>
    <w:rsid w:val="00627C51"/>
    <w:rsid w:val="00630099"/>
    <w:rsid w:val="00630BBC"/>
    <w:rsid w:val="00631D27"/>
    <w:rsid w:val="00632E9C"/>
    <w:rsid w:val="006334C8"/>
    <w:rsid w:val="006336BB"/>
    <w:rsid w:val="00633F49"/>
    <w:rsid w:val="00634457"/>
    <w:rsid w:val="00634607"/>
    <w:rsid w:val="00634CE0"/>
    <w:rsid w:val="00635FEF"/>
    <w:rsid w:val="00636808"/>
    <w:rsid w:val="00636CFC"/>
    <w:rsid w:val="006373B9"/>
    <w:rsid w:val="0063797F"/>
    <w:rsid w:val="006416E7"/>
    <w:rsid w:val="006432A5"/>
    <w:rsid w:val="00644070"/>
    <w:rsid w:val="0064427B"/>
    <w:rsid w:val="00646026"/>
    <w:rsid w:val="00646477"/>
    <w:rsid w:val="006469B1"/>
    <w:rsid w:val="006471D1"/>
    <w:rsid w:val="006502F4"/>
    <w:rsid w:val="00650384"/>
    <w:rsid w:val="0065174F"/>
    <w:rsid w:val="00652DE7"/>
    <w:rsid w:val="00654E77"/>
    <w:rsid w:val="0065606C"/>
    <w:rsid w:val="00656628"/>
    <w:rsid w:val="006609AE"/>
    <w:rsid w:val="006617C2"/>
    <w:rsid w:val="00661C51"/>
    <w:rsid w:val="006620D5"/>
    <w:rsid w:val="006623F5"/>
    <w:rsid w:val="00662A9F"/>
    <w:rsid w:val="00663485"/>
    <w:rsid w:val="006644E5"/>
    <w:rsid w:val="006648EB"/>
    <w:rsid w:val="00664E16"/>
    <w:rsid w:val="00665858"/>
    <w:rsid w:val="00665C66"/>
    <w:rsid w:val="006663B5"/>
    <w:rsid w:val="00666502"/>
    <w:rsid w:val="00667BCB"/>
    <w:rsid w:val="00671145"/>
    <w:rsid w:val="00674D19"/>
    <w:rsid w:val="006753BA"/>
    <w:rsid w:val="006755DF"/>
    <w:rsid w:val="00676907"/>
    <w:rsid w:val="00676D41"/>
    <w:rsid w:val="00676DE5"/>
    <w:rsid w:val="00676FA1"/>
    <w:rsid w:val="006770F5"/>
    <w:rsid w:val="00677C88"/>
    <w:rsid w:val="006803D5"/>
    <w:rsid w:val="00680A2A"/>
    <w:rsid w:val="00681090"/>
    <w:rsid w:val="006818AA"/>
    <w:rsid w:val="006820E0"/>
    <w:rsid w:val="00682901"/>
    <w:rsid w:val="006829BB"/>
    <w:rsid w:val="006830E4"/>
    <w:rsid w:val="006834D0"/>
    <w:rsid w:val="00684532"/>
    <w:rsid w:val="00685F82"/>
    <w:rsid w:val="006864AC"/>
    <w:rsid w:val="00687D68"/>
    <w:rsid w:val="00687ED7"/>
    <w:rsid w:val="006906EF"/>
    <w:rsid w:val="00690B82"/>
    <w:rsid w:val="0069139D"/>
    <w:rsid w:val="006913B6"/>
    <w:rsid w:val="00691BDE"/>
    <w:rsid w:val="006929B2"/>
    <w:rsid w:val="00695D8D"/>
    <w:rsid w:val="00696195"/>
    <w:rsid w:val="00696B7F"/>
    <w:rsid w:val="0069737B"/>
    <w:rsid w:val="0069750C"/>
    <w:rsid w:val="006A00AF"/>
    <w:rsid w:val="006A0495"/>
    <w:rsid w:val="006A0780"/>
    <w:rsid w:val="006A0950"/>
    <w:rsid w:val="006A0B45"/>
    <w:rsid w:val="006A1D26"/>
    <w:rsid w:val="006A2849"/>
    <w:rsid w:val="006A30FA"/>
    <w:rsid w:val="006A3295"/>
    <w:rsid w:val="006A3DFE"/>
    <w:rsid w:val="006A4BE9"/>
    <w:rsid w:val="006A5AE4"/>
    <w:rsid w:val="006A70F0"/>
    <w:rsid w:val="006A7278"/>
    <w:rsid w:val="006A76DE"/>
    <w:rsid w:val="006A799F"/>
    <w:rsid w:val="006B03D2"/>
    <w:rsid w:val="006B087B"/>
    <w:rsid w:val="006B0BCF"/>
    <w:rsid w:val="006B17CB"/>
    <w:rsid w:val="006B1C3A"/>
    <w:rsid w:val="006B1D23"/>
    <w:rsid w:val="006B1F4B"/>
    <w:rsid w:val="006B201B"/>
    <w:rsid w:val="006B2EB5"/>
    <w:rsid w:val="006B43BB"/>
    <w:rsid w:val="006B47D2"/>
    <w:rsid w:val="006B4F22"/>
    <w:rsid w:val="006B59B6"/>
    <w:rsid w:val="006B5A2F"/>
    <w:rsid w:val="006B7742"/>
    <w:rsid w:val="006B7E51"/>
    <w:rsid w:val="006C236D"/>
    <w:rsid w:val="006C25CE"/>
    <w:rsid w:val="006C3531"/>
    <w:rsid w:val="006C4C64"/>
    <w:rsid w:val="006C5446"/>
    <w:rsid w:val="006C5828"/>
    <w:rsid w:val="006C6482"/>
    <w:rsid w:val="006C65C2"/>
    <w:rsid w:val="006C75C7"/>
    <w:rsid w:val="006C7D48"/>
    <w:rsid w:val="006D0F80"/>
    <w:rsid w:val="006D1139"/>
    <w:rsid w:val="006D11FE"/>
    <w:rsid w:val="006D13F5"/>
    <w:rsid w:val="006D13F8"/>
    <w:rsid w:val="006D15BA"/>
    <w:rsid w:val="006D16E4"/>
    <w:rsid w:val="006D19BC"/>
    <w:rsid w:val="006D22B8"/>
    <w:rsid w:val="006D410F"/>
    <w:rsid w:val="006D66F4"/>
    <w:rsid w:val="006D7210"/>
    <w:rsid w:val="006E06C0"/>
    <w:rsid w:val="006E230F"/>
    <w:rsid w:val="006E32DB"/>
    <w:rsid w:val="006E38B9"/>
    <w:rsid w:val="006E3B74"/>
    <w:rsid w:val="006E43A2"/>
    <w:rsid w:val="006E5842"/>
    <w:rsid w:val="006E7BEF"/>
    <w:rsid w:val="006E7D5D"/>
    <w:rsid w:val="006F0B9C"/>
    <w:rsid w:val="006F0D0A"/>
    <w:rsid w:val="006F196C"/>
    <w:rsid w:val="006F2EB0"/>
    <w:rsid w:val="006F34DE"/>
    <w:rsid w:val="006F4C31"/>
    <w:rsid w:val="006F5004"/>
    <w:rsid w:val="006F53E7"/>
    <w:rsid w:val="006F7226"/>
    <w:rsid w:val="006F7AB0"/>
    <w:rsid w:val="00700BFB"/>
    <w:rsid w:val="00701C14"/>
    <w:rsid w:val="007021A9"/>
    <w:rsid w:val="0070276D"/>
    <w:rsid w:val="00703C3A"/>
    <w:rsid w:val="00703FD6"/>
    <w:rsid w:val="0070439D"/>
    <w:rsid w:val="00704623"/>
    <w:rsid w:val="007051C7"/>
    <w:rsid w:val="00706982"/>
    <w:rsid w:val="00706B3A"/>
    <w:rsid w:val="00707598"/>
    <w:rsid w:val="007100DB"/>
    <w:rsid w:val="00710285"/>
    <w:rsid w:val="007107C6"/>
    <w:rsid w:val="007116E6"/>
    <w:rsid w:val="00711CFB"/>
    <w:rsid w:val="007127F8"/>
    <w:rsid w:val="00712EF0"/>
    <w:rsid w:val="007132E7"/>
    <w:rsid w:val="00714276"/>
    <w:rsid w:val="007150CD"/>
    <w:rsid w:val="0071650C"/>
    <w:rsid w:val="00716D73"/>
    <w:rsid w:val="00717FCC"/>
    <w:rsid w:val="00720DE9"/>
    <w:rsid w:val="00721317"/>
    <w:rsid w:val="007218A2"/>
    <w:rsid w:val="00721AFA"/>
    <w:rsid w:val="0072259C"/>
    <w:rsid w:val="007238D5"/>
    <w:rsid w:val="00723B29"/>
    <w:rsid w:val="00726076"/>
    <w:rsid w:val="00727269"/>
    <w:rsid w:val="007275F8"/>
    <w:rsid w:val="00727962"/>
    <w:rsid w:val="00727BC4"/>
    <w:rsid w:val="00727BFE"/>
    <w:rsid w:val="007301DC"/>
    <w:rsid w:val="007306FC"/>
    <w:rsid w:val="00730EEF"/>
    <w:rsid w:val="0073257C"/>
    <w:rsid w:val="007333EB"/>
    <w:rsid w:val="007349E8"/>
    <w:rsid w:val="00735EAD"/>
    <w:rsid w:val="007365B8"/>
    <w:rsid w:val="00736CC6"/>
    <w:rsid w:val="00736D87"/>
    <w:rsid w:val="007374F6"/>
    <w:rsid w:val="00737C7F"/>
    <w:rsid w:val="00737CB1"/>
    <w:rsid w:val="00740C3E"/>
    <w:rsid w:val="00740DA3"/>
    <w:rsid w:val="0074209F"/>
    <w:rsid w:val="0074255B"/>
    <w:rsid w:val="007431B7"/>
    <w:rsid w:val="00744032"/>
    <w:rsid w:val="007447DD"/>
    <w:rsid w:val="007462FA"/>
    <w:rsid w:val="007474E1"/>
    <w:rsid w:val="00747804"/>
    <w:rsid w:val="00747907"/>
    <w:rsid w:val="007522AE"/>
    <w:rsid w:val="00752A47"/>
    <w:rsid w:val="007537A3"/>
    <w:rsid w:val="00753B98"/>
    <w:rsid w:val="0075419E"/>
    <w:rsid w:val="007554FA"/>
    <w:rsid w:val="00755A5D"/>
    <w:rsid w:val="00756FD6"/>
    <w:rsid w:val="007571D2"/>
    <w:rsid w:val="00762DA6"/>
    <w:rsid w:val="007632BA"/>
    <w:rsid w:val="00764923"/>
    <w:rsid w:val="00765DD7"/>
    <w:rsid w:val="007661E3"/>
    <w:rsid w:val="0077014F"/>
    <w:rsid w:val="00770312"/>
    <w:rsid w:val="007707C0"/>
    <w:rsid w:val="00770E3A"/>
    <w:rsid w:val="007721F5"/>
    <w:rsid w:val="00772D68"/>
    <w:rsid w:val="00774A4B"/>
    <w:rsid w:val="00775140"/>
    <w:rsid w:val="0077591D"/>
    <w:rsid w:val="00776526"/>
    <w:rsid w:val="007766B9"/>
    <w:rsid w:val="00777E84"/>
    <w:rsid w:val="007801B9"/>
    <w:rsid w:val="0078061D"/>
    <w:rsid w:val="007819BB"/>
    <w:rsid w:val="00781B4D"/>
    <w:rsid w:val="00782301"/>
    <w:rsid w:val="00782861"/>
    <w:rsid w:val="007830C5"/>
    <w:rsid w:val="00783197"/>
    <w:rsid w:val="00783925"/>
    <w:rsid w:val="00783A8A"/>
    <w:rsid w:val="007842B2"/>
    <w:rsid w:val="007853CA"/>
    <w:rsid w:val="00786912"/>
    <w:rsid w:val="00786AEF"/>
    <w:rsid w:val="00786CD3"/>
    <w:rsid w:val="00786CF4"/>
    <w:rsid w:val="00786E0B"/>
    <w:rsid w:val="00787E47"/>
    <w:rsid w:val="00787F31"/>
    <w:rsid w:val="00790301"/>
    <w:rsid w:val="00791C53"/>
    <w:rsid w:val="0079203C"/>
    <w:rsid w:val="007924EF"/>
    <w:rsid w:val="007925BE"/>
    <w:rsid w:val="00793ADF"/>
    <w:rsid w:val="00793DC1"/>
    <w:rsid w:val="00793EA0"/>
    <w:rsid w:val="00793ECA"/>
    <w:rsid w:val="00794E01"/>
    <w:rsid w:val="00796145"/>
    <w:rsid w:val="00796FB3"/>
    <w:rsid w:val="007977A5"/>
    <w:rsid w:val="00797849"/>
    <w:rsid w:val="007A0B2F"/>
    <w:rsid w:val="007A1357"/>
    <w:rsid w:val="007A198B"/>
    <w:rsid w:val="007A1F68"/>
    <w:rsid w:val="007A23B5"/>
    <w:rsid w:val="007A29EC"/>
    <w:rsid w:val="007A2CC8"/>
    <w:rsid w:val="007A3BE3"/>
    <w:rsid w:val="007A415D"/>
    <w:rsid w:val="007A4915"/>
    <w:rsid w:val="007B09ED"/>
    <w:rsid w:val="007B09F9"/>
    <w:rsid w:val="007B0CB5"/>
    <w:rsid w:val="007B17F8"/>
    <w:rsid w:val="007B2A3A"/>
    <w:rsid w:val="007B3937"/>
    <w:rsid w:val="007B3C00"/>
    <w:rsid w:val="007B714C"/>
    <w:rsid w:val="007C12AF"/>
    <w:rsid w:val="007C2A0A"/>
    <w:rsid w:val="007C31AF"/>
    <w:rsid w:val="007C33BF"/>
    <w:rsid w:val="007C356F"/>
    <w:rsid w:val="007C369C"/>
    <w:rsid w:val="007C489B"/>
    <w:rsid w:val="007C4B99"/>
    <w:rsid w:val="007C5342"/>
    <w:rsid w:val="007C5B87"/>
    <w:rsid w:val="007C5C75"/>
    <w:rsid w:val="007C73A6"/>
    <w:rsid w:val="007C7554"/>
    <w:rsid w:val="007C7834"/>
    <w:rsid w:val="007C7918"/>
    <w:rsid w:val="007C7A8D"/>
    <w:rsid w:val="007D205A"/>
    <w:rsid w:val="007D23AD"/>
    <w:rsid w:val="007D5BCD"/>
    <w:rsid w:val="007D67FF"/>
    <w:rsid w:val="007D6890"/>
    <w:rsid w:val="007E0E71"/>
    <w:rsid w:val="007E1C82"/>
    <w:rsid w:val="007E1CAC"/>
    <w:rsid w:val="007E1D38"/>
    <w:rsid w:val="007E22DC"/>
    <w:rsid w:val="007E2972"/>
    <w:rsid w:val="007E2FC6"/>
    <w:rsid w:val="007E3ED2"/>
    <w:rsid w:val="007E482B"/>
    <w:rsid w:val="007E7526"/>
    <w:rsid w:val="007E7DC1"/>
    <w:rsid w:val="007F1E33"/>
    <w:rsid w:val="007F2162"/>
    <w:rsid w:val="007F219C"/>
    <w:rsid w:val="007F326D"/>
    <w:rsid w:val="007F3FB7"/>
    <w:rsid w:val="007F46C4"/>
    <w:rsid w:val="007F4BE5"/>
    <w:rsid w:val="007F4CA1"/>
    <w:rsid w:val="007F5258"/>
    <w:rsid w:val="007F5506"/>
    <w:rsid w:val="007F64F5"/>
    <w:rsid w:val="007F68CE"/>
    <w:rsid w:val="007F6A3D"/>
    <w:rsid w:val="007F75F7"/>
    <w:rsid w:val="007F7BFC"/>
    <w:rsid w:val="007F7D95"/>
    <w:rsid w:val="00800EE5"/>
    <w:rsid w:val="00801CFD"/>
    <w:rsid w:val="00802070"/>
    <w:rsid w:val="0080260E"/>
    <w:rsid w:val="008048CB"/>
    <w:rsid w:val="00804E62"/>
    <w:rsid w:val="008054E6"/>
    <w:rsid w:val="008058B8"/>
    <w:rsid w:val="00805E9B"/>
    <w:rsid w:val="008070FF"/>
    <w:rsid w:val="008107DB"/>
    <w:rsid w:val="00810D8F"/>
    <w:rsid w:val="008120B6"/>
    <w:rsid w:val="008128A7"/>
    <w:rsid w:val="00812920"/>
    <w:rsid w:val="00812C19"/>
    <w:rsid w:val="00812F69"/>
    <w:rsid w:val="008144DF"/>
    <w:rsid w:val="008147CE"/>
    <w:rsid w:val="00815478"/>
    <w:rsid w:val="00817423"/>
    <w:rsid w:val="0082056C"/>
    <w:rsid w:val="00820819"/>
    <w:rsid w:val="008208DC"/>
    <w:rsid w:val="008208E5"/>
    <w:rsid w:val="00820E95"/>
    <w:rsid w:val="0082104F"/>
    <w:rsid w:val="00821191"/>
    <w:rsid w:val="0082123D"/>
    <w:rsid w:val="00821445"/>
    <w:rsid w:val="00821D94"/>
    <w:rsid w:val="00821FA4"/>
    <w:rsid w:val="00826F7D"/>
    <w:rsid w:val="0083009A"/>
    <w:rsid w:val="00830949"/>
    <w:rsid w:val="00831D23"/>
    <w:rsid w:val="008324F1"/>
    <w:rsid w:val="00832831"/>
    <w:rsid w:val="008333E3"/>
    <w:rsid w:val="00833841"/>
    <w:rsid w:val="00834E70"/>
    <w:rsid w:val="008351F9"/>
    <w:rsid w:val="00835214"/>
    <w:rsid w:val="00835AFA"/>
    <w:rsid w:val="00836263"/>
    <w:rsid w:val="0083646C"/>
    <w:rsid w:val="008366A6"/>
    <w:rsid w:val="008403F7"/>
    <w:rsid w:val="00840502"/>
    <w:rsid w:val="00841DCC"/>
    <w:rsid w:val="008436EC"/>
    <w:rsid w:val="00843D33"/>
    <w:rsid w:val="00844C6E"/>
    <w:rsid w:val="00845EAA"/>
    <w:rsid w:val="00846CEF"/>
    <w:rsid w:val="00846E3D"/>
    <w:rsid w:val="00847B72"/>
    <w:rsid w:val="00850E67"/>
    <w:rsid w:val="008512C3"/>
    <w:rsid w:val="00852D1F"/>
    <w:rsid w:val="00855024"/>
    <w:rsid w:val="00855112"/>
    <w:rsid w:val="00860306"/>
    <w:rsid w:val="00860559"/>
    <w:rsid w:val="00860683"/>
    <w:rsid w:val="00860871"/>
    <w:rsid w:val="008612F0"/>
    <w:rsid w:val="00862F88"/>
    <w:rsid w:val="008638A2"/>
    <w:rsid w:val="00864775"/>
    <w:rsid w:val="0086550A"/>
    <w:rsid w:val="0086583E"/>
    <w:rsid w:val="00865B2F"/>
    <w:rsid w:val="00866B6D"/>
    <w:rsid w:val="00867A18"/>
    <w:rsid w:val="00870253"/>
    <w:rsid w:val="008703F6"/>
    <w:rsid w:val="0087089F"/>
    <w:rsid w:val="00871AB9"/>
    <w:rsid w:val="00872C9F"/>
    <w:rsid w:val="00873411"/>
    <w:rsid w:val="0087432F"/>
    <w:rsid w:val="008743A0"/>
    <w:rsid w:val="00874CD3"/>
    <w:rsid w:val="008759DE"/>
    <w:rsid w:val="00877089"/>
    <w:rsid w:val="00877316"/>
    <w:rsid w:val="00877F6A"/>
    <w:rsid w:val="008820DD"/>
    <w:rsid w:val="0088273E"/>
    <w:rsid w:val="00883A60"/>
    <w:rsid w:val="00883E90"/>
    <w:rsid w:val="00883F0F"/>
    <w:rsid w:val="0088434A"/>
    <w:rsid w:val="008845F6"/>
    <w:rsid w:val="0088504D"/>
    <w:rsid w:val="0088577C"/>
    <w:rsid w:val="008861C5"/>
    <w:rsid w:val="008862AB"/>
    <w:rsid w:val="00886703"/>
    <w:rsid w:val="00892B6D"/>
    <w:rsid w:val="0089322E"/>
    <w:rsid w:val="00893D17"/>
    <w:rsid w:val="00893DF8"/>
    <w:rsid w:val="008947A2"/>
    <w:rsid w:val="008968CC"/>
    <w:rsid w:val="00896CDF"/>
    <w:rsid w:val="008974DB"/>
    <w:rsid w:val="008A0A27"/>
    <w:rsid w:val="008A1DA2"/>
    <w:rsid w:val="008A2996"/>
    <w:rsid w:val="008A3020"/>
    <w:rsid w:val="008A315D"/>
    <w:rsid w:val="008A3B1B"/>
    <w:rsid w:val="008A4020"/>
    <w:rsid w:val="008A4346"/>
    <w:rsid w:val="008A4A45"/>
    <w:rsid w:val="008A5CCB"/>
    <w:rsid w:val="008A5E0D"/>
    <w:rsid w:val="008A63DF"/>
    <w:rsid w:val="008A64FB"/>
    <w:rsid w:val="008A6678"/>
    <w:rsid w:val="008A687B"/>
    <w:rsid w:val="008A7101"/>
    <w:rsid w:val="008A78FF"/>
    <w:rsid w:val="008B016E"/>
    <w:rsid w:val="008B081C"/>
    <w:rsid w:val="008B0D09"/>
    <w:rsid w:val="008B16A1"/>
    <w:rsid w:val="008B1FE0"/>
    <w:rsid w:val="008B240E"/>
    <w:rsid w:val="008B28E3"/>
    <w:rsid w:val="008B3C50"/>
    <w:rsid w:val="008B3E16"/>
    <w:rsid w:val="008B63C3"/>
    <w:rsid w:val="008B791B"/>
    <w:rsid w:val="008C02A0"/>
    <w:rsid w:val="008C0F60"/>
    <w:rsid w:val="008C34D2"/>
    <w:rsid w:val="008C41AE"/>
    <w:rsid w:val="008C6358"/>
    <w:rsid w:val="008C6CB4"/>
    <w:rsid w:val="008C7458"/>
    <w:rsid w:val="008D1089"/>
    <w:rsid w:val="008D123E"/>
    <w:rsid w:val="008D16B7"/>
    <w:rsid w:val="008D1D1D"/>
    <w:rsid w:val="008D32F6"/>
    <w:rsid w:val="008D5892"/>
    <w:rsid w:val="008D68B3"/>
    <w:rsid w:val="008D6BF3"/>
    <w:rsid w:val="008D7264"/>
    <w:rsid w:val="008E0285"/>
    <w:rsid w:val="008E18CA"/>
    <w:rsid w:val="008E22E5"/>
    <w:rsid w:val="008E2B17"/>
    <w:rsid w:val="008E30E6"/>
    <w:rsid w:val="008E40DA"/>
    <w:rsid w:val="008E4215"/>
    <w:rsid w:val="008E5067"/>
    <w:rsid w:val="008E65A4"/>
    <w:rsid w:val="008F0E2E"/>
    <w:rsid w:val="008F1C28"/>
    <w:rsid w:val="008F49E2"/>
    <w:rsid w:val="008F66D6"/>
    <w:rsid w:val="008F6F63"/>
    <w:rsid w:val="008F753B"/>
    <w:rsid w:val="008F7F90"/>
    <w:rsid w:val="0090066A"/>
    <w:rsid w:val="00900D75"/>
    <w:rsid w:val="00900FD8"/>
    <w:rsid w:val="0090118F"/>
    <w:rsid w:val="009011AF"/>
    <w:rsid w:val="00901489"/>
    <w:rsid w:val="00903353"/>
    <w:rsid w:val="00903A91"/>
    <w:rsid w:val="009046D8"/>
    <w:rsid w:val="00904E8A"/>
    <w:rsid w:val="0090784E"/>
    <w:rsid w:val="00907876"/>
    <w:rsid w:val="00907A35"/>
    <w:rsid w:val="009122C0"/>
    <w:rsid w:val="00912E94"/>
    <w:rsid w:val="009140F3"/>
    <w:rsid w:val="0091504C"/>
    <w:rsid w:val="00915FF9"/>
    <w:rsid w:val="00916C72"/>
    <w:rsid w:val="009176A5"/>
    <w:rsid w:val="00917752"/>
    <w:rsid w:val="00917C14"/>
    <w:rsid w:val="00917F72"/>
    <w:rsid w:val="009205A1"/>
    <w:rsid w:val="00920676"/>
    <w:rsid w:val="00920899"/>
    <w:rsid w:val="009212B4"/>
    <w:rsid w:val="00922B6D"/>
    <w:rsid w:val="0092483B"/>
    <w:rsid w:val="00925670"/>
    <w:rsid w:val="009262AA"/>
    <w:rsid w:val="0092654B"/>
    <w:rsid w:val="009273D6"/>
    <w:rsid w:val="00927495"/>
    <w:rsid w:val="0092762C"/>
    <w:rsid w:val="0093012C"/>
    <w:rsid w:val="009311E9"/>
    <w:rsid w:val="009312CF"/>
    <w:rsid w:val="00931D8A"/>
    <w:rsid w:val="009320C1"/>
    <w:rsid w:val="009323C2"/>
    <w:rsid w:val="009325B2"/>
    <w:rsid w:val="0093280B"/>
    <w:rsid w:val="00933946"/>
    <w:rsid w:val="009349CA"/>
    <w:rsid w:val="00935613"/>
    <w:rsid w:val="00935787"/>
    <w:rsid w:val="009357AA"/>
    <w:rsid w:val="00936262"/>
    <w:rsid w:val="00936E90"/>
    <w:rsid w:val="00936ED2"/>
    <w:rsid w:val="00937316"/>
    <w:rsid w:val="00941771"/>
    <w:rsid w:val="00941881"/>
    <w:rsid w:val="00941966"/>
    <w:rsid w:val="00941E41"/>
    <w:rsid w:val="00942A0B"/>
    <w:rsid w:val="009430D5"/>
    <w:rsid w:val="00943675"/>
    <w:rsid w:val="00943C0D"/>
    <w:rsid w:val="009440A6"/>
    <w:rsid w:val="009442CC"/>
    <w:rsid w:val="00944AF3"/>
    <w:rsid w:val="00944B37"/>
    <w:rsid w:val="009458F8"/>
    <w:rsid w:val="00945997"/>
    <w:rsid w:val="00946E81"/>
    <w:rsid w:val="009470BE"/>
    <w:rsid w:val="00947D8F"/>
    <w:rsid w:val="009505BC"/>
    <w:rsid w:val="00951880"/>
    <w:rsid w:val="00952C53"/>
    <w:rsid w:val="009540B2"/>
    <w:rsid w:val="0095523A"/>
    <w:rsid w:val="009565F7"/>
    <w:rsid w:val="009577FB"/>
    <w:rsid w:val="00957944"/>
    <w:rsid w:val="00960216"/>
    <w:rsid w:val="00960257"/>
    <w:rsid w:val="009603FE"/>
    <w:rsid w:val="00961795"/>
    <w:rsid w:val="00962378"/>
    <w:rsid w:val="00962CB4"/>
    <w:rsid w:val="00962E0C"/>
    <w:rsid w:val="00963201"/>
    <w:rsid w:val="00963D0F"/>
    <w:rsid w:val="00963DEF"/>
    <w:rsid w:val="00964107"/>
    <w:rsid w:val="00964591"/>
    <w:rsid w:val="0096551F"/>
    <w:rsid w:val="0096591F"/>
    <w:rsid w:val="0096693D"/>
    <w:rsid w:val="009707EF"/>
    <w:rsid w:val="0097126D"/>
    <w:rsid w:val="00971644"/>
    <w:rsid w:val="00971F61"/>
    <w:rsid w:val="0097290F"/>
    <w:rsid w:val="009732CC"/>
    <w:rsid w:val="0097335B"/>
    <w:rsid w:val="00973A50"/>
    <w:rsid w:val="00974409"/>
    <w:rsid w:val="00974A07"/>
    <w:rsid w:val="00975573"/>
    <w:rsid w:val="00975F28"/>
    <w:rsid w:val="009770E2"/>
    <w:rsid w:val="0097735E"/>
    <w:rsid w:val="00981266"/>
    <w:rsid w:val="0098194E"/>
    <w:rsid w:val="0098288F"/>
    <w:rsid w:val="009832FC"/>
    <w:rsid w:val="00983EB1"/>
    <w:rsid w:val="00984AFC"/>
    <w:rsid w:val="00985023"/>
    <w:rsid w:val="00986761"/>
    <w:rsid w:val="00987456"/>
    <w:rsid w:val="00987F44"/>
    <w:rsid w:val="009907B1"/>
    <w:rsid w:val="00991B5D"/>
    <w:rsid w:val="00992F53"/>
    <w:rsid w:val="00993093"/>
    <w:rsid w:val="009933A4"/>
    <w:rsid w:val="00994BC6"/>
    <w:rsid w:val="009952A4"/>
    <w:rsid w:val="00995CC5"/>
    <w:rsid w:val="00996E52"/>
    <w:rsid w:val="00997D2F"/>
    <w:rsid w:val="00997DD8"/>
    <w:rsid w:val="00997EB4"/>
    <w:rsid w:val="009A1670"/>
    <w:rsid w:val="009A2077"/>
    <w:rsid w:val="009A256B"/>
    <w:rsid w:val="009A3C5C"/>
    <w:rsid w:val="009A4605"/>
    <w:rsid w:val="009A4828"/>
    <w:rsid w:val="009A486D"/>
    <w:rsid w:val="009A4E50"/>
    <w:rsid w:val="009A5C3E"/>
    <w:rsid w:val="009A7F27"/>
    <w:rsid w:val="009B0BC3"/>
    <w:rsid w:val="009B16F9"/>
    <w:rsid w:val="009B1AA2"/>
    <w:rsid w:val="009B2CC9"/>
    <w:rsid w:val="009B2E27"/>
    <w:rsid w:val="009B57C8"/>
    <w:rsid w:val="009B5F0E"/>
    <w:rsid w:val="009C01D5"/>
    <w:rsid w:val="009C02BF"/>
    <w:rsid w:val="009C02FA"/>
    <w:rsid w:val="009C08A1"/>
    <w:rsid w:val="009C0F6A"/>
    <w:rsid w:val="009C1119"/>
    <w:rsid w:val="009C1A8B"/>
    <w:rsid w:val="009C1EAD"/>
    <w:rsid w:val="009C3607"/>
    <w:rsid w:val="009C37F0"/>
    <w:rsid w:val="009C3D7A"/>
    <w:rsid w:val="009C3EEB"/>
    <w:rsid w:val="009C4F5A"/>
    <w:rsid w:val="009C56BD"/>
    <w:rsid w:val="009C60B7"/>
    <w:rsid w:val="009C6B36"/>
    <w:rsid w:val="009C70B0"/>
    <w:rsid w:val="009D14B4"/>
    <w:rsid w:val="009D2126"/>
    <w:rsid w:val="009D23A2"/>
    <w:rsid w:val="009D28C8"/>
    <w:rsid w:val="009D30D8"/>
    <w:rsid w:val="009D39E8"/>
    <w:rsid w:val="009D4494"/>
    <w:rsid w:val="009D5C0C"/>
    <w:rsid w:val="009D6A68"/>
    <w:rsid w:val="009D7CF9"/>
    <w:rsid w:val="009D7D0A"/>
    <w:rsid w:val="009E013E"/>
    <w:rsid w:val="009E19FE"/>
    <w:rsid w:val="009E29A7"/>
    <w:rsid w:val="009E2F42"/>
    <w:rsid w:val="009E4AB8"/>
    <w:rsid w:val="009E5409"/>
    <w:rsid w:val="009E699C"/>
    <w:rsid w:val="009E731F"/>
    <w:rsid w:val="009E7AC5"/>
    <w:rsid w:val="009F076F"/>
    <w:rsid w:val="009F0A77"/>
    <w:rsid w:val="009F116E"/>
    <w:rsid w:val="009F2CC5"/>
    <w:rsid w:val="009F3A67"/>
    <w:rsid w:val="009F43EF"/>
    <w:rsid w:val="009F4EC8"/>
    <w:rsid w:val="009F509A"/>
    <w:rsid w:val="009F658C"/>
    <w:rsid w:val="009F6C22"/>
    <w:rsid w:val="009F6D84"/>
    <w:rsid w:val="009F6F02"/>
    <w:rsid w:val="009F7966"/>
    <w:rsid w:val="009F7DFE"/>
    <w:rsid w:val="00A0071E"/>
    <w:rsid w:val="00A008C4"/>
    <w:rsid w:val="00A01341"/>
    <w:rsid w:val="00A02C8E"/>
    <w:rsid w:val="00A03185"/>
    <w:rsid w:val="00A03361"/>
    <w:rsid w:val="00A0349B"/>
    <w:rsid w:val="00A03B76"/>
    <w:rsid w:val="00A03EDC"/>
    <w:rsid w:val="00A05147"/>
    <w:rsid w:val="00A05B26"/>
    <w:rsid w:val="00A05E4C"/>
    <w:rsid w:val="00A06AF7"/>
    <w:rsid w:val="00A06D58"/>
    <w:rsid w:val="00A07AAC"/>
    <w:rsid w:val="00A104A6"/>
    <w:rsid w:val="00A12A9D"/>
    <w:rsid w:val="00A136FF"/>
    <w:rsid w:val="00A14670"/>
    <w:rsid w:val="00A14ED5"/>
    <w:rsid w:val="00A1588D"/>
    <w:rsid w:val="00A15A52"/>
    <w:rsid w:val="00A15B5C"/>
    <w:rsid w:val="00A17446"/>
    <w:rsid w:val="00A2162A"/>
    <w:rsid w:val="00A221CB"/>
    <w:rsid w:val="00A222DA"/>
    <w:rsid w:val="00A223D3"/>
    <w:rsid w:val="00A22F88"/>
    <w:rsid w:val="00A2305E"/>
    <w:rsid w:val="00A242D4"/>
    <w:rsid w:val="00A24522"/>
    <w:rsid w:val="00A24F8D"/>
    <w:rsid w:val="00A25B94"/>
    <w:rsid w:val="00A30538"/>
    <w:rsid w:val="00A305E5"/>
    <w:rsid w:val="00A3205F"/>
    <w:rsid w:val="00A320B6"/>
    <w:rsid w:val="00A32ABB"/>
    <w:rsid w:val="00A33AD0"/>
    <w:rsid w:val="00A33D1D"/>
    <w:rsid w:val="00A35453"/>
    <w:rsid w:val="00A359B8"/>
    <w:rsid w:val="00A361C9"/>
    <w:rsid w:val="00A379FF"/>
    <w:rsid w:val="00A40251"/>
    <w:rsid w:val="00A415A7"/>
    <w:rsid w:val="00A4235A"/>
    <w:rsid w:val="00A42A27"/>
    <w:rsid w:val="00A42A68"/>
    <w:rsid w:val="00A42EC4"/>
    <w:rsid w:val="00A43A60"/>
    <w:rsid w:val="00A448CA"/>
    <w:rsid w:val="00A44DA7"/>
    <w:rsid w:val="00A46AFB"/>
    <w:rsid w:val="00A50397"/>
    <w:rsid w:val="00A50D1D"/>
    <w:rsid w:val="00A517F4"/>
    <w:rsid w:val="00A518D5"/>
    <w:rsid w:val="00A54E9E"/>
    <w:rsid w:val="00A5616B"/>
    <w:rsid w:val="00A5683C"/>
    <w:rsid w:val="00A57914"/>
    <w:rsid w:val="00A60395"/>
    <w:rsid w:val="00A6086E"/>
    <w:rsid w:val="00A62733"/>
    <w:rsid w:val="00A62E39"/>
    <w:rsid w:val="00A63A54"/>
    <w:rsid w:val="00A6438F"/>
    <w:rsid w:val="00A64620"/>
    <w:rsid w:val="00A65340"/>
    <w:rsid w:val="00A656CC"/>
    <w:rsid w:val="00A65FEE"/>
    <w:rsid w:val="00A6644B"/>
    <w:rsid w:val="00A664AB"/>
    <w:rsid w:val="00A66604"/>
    <w:rsid w:val="00A66D95"/>
    <w:rsid w:val="00A66FA9"/>
    <w:rsid w:val="00A67F8A"/>
    <w:rsid w:val="00A7000B"/>
    <w:rsid w:val="00A720E0"/>
    <w:rsid w:val="00A729CB"/>
    <w:rsid w:val="00A73208"/>
    <w:rsid w:val="00A74D6D"/>
    <w:rsid w:val="00A75BB6"/>
    <w:rsid w:val="00A75C4E"/>
    <w:rsid w:val="00A75E3C"/>
    <w:rsid w:val="00A76790"/>
    <w:rsid w:val="00A76F00"/>
    <w:rsid w:val="00A7766D"/>
    <w:rsid w:val="00A77688"/>
    <w:rsid w:val="00A80D48"/>
    <w:rsid w:val="00A80E24"/>
    <w:rsid w:val="00A8109B"/>
    <w:rsid w:val="00A81F65"/>
    <w:rsid w:val="00A82D1F"/>
    <w:rsid w:val="00A8386D"/>
    <w:rsid w:val="00A83C65"/>
    <w:rsid w:val="00A84AAE"/>
    <w:rsid w:val="00A84C7F"/>
    <w:rsid w:val="00A8537F"/>
    <w:rsid w:val="00A858F3"/>
    <w:rsid w:val="00A86517"/>
    <w:rsid w:val="00A86F7F"/>
    <w:rsid w:val="00A90116"/>
    <w:rsid w:val="00A90FA3"/>
    <w:rsid w:val="00A91266"/>
    <w:rsid w:val="00A9230E"/>
    <w:rsid w:val="00A93DD0"/>
    <w:rsid w:val="00A94DAA"/>
    <w:rsid w:val="00A95655"/>
    <w:rsid w:val="00A95D80"/>
    <w:rsid w:val="00A96736"/>
    <w:rsid w:val="00A96C60"/>
    <w:rsid w:val="00A97216"/>
    <w:rsid w:val="00AA18BE"/>
    <w:rsid w:val="00AA2E42"/>
    <w:rsid w:val="00AA4DD6"/>
    <w:rsid w:val="00AA5311"/>
    <w:rsid w:val="00AA64DA"/>
    <w:rsid w:val="00AA69E1"/>
    <w:rsid w:val="00AA7BA6"/>
    <w:rsid w:val="00AA7FF7"/>
    <w:rsid w:val="00AB2CAB"/>
    <w:rsid w:val="00AB34C0"/>
    <w:rsid w:val="00AB3874"/>
    <w:rsid w:val="00AB3E9A"/>
    <w:rsid w:val="00AB4640"/>
    <w:rsid w:val="00AB4A16"/>
    <w:rsid w:val="00AB4EBB"/>
    <w:rsid w:val="00AB6417"/>
    <w:rsid w:val="00AB71B3"/>
    <w:rsid w:val="00AB7849"/>
    <w:rsid w:val="00AB7E56"/>
    <w:rsid w:val="00AC0C97"/>
    <w:rsid w:val="00AC294F"/>
    <w:rsid w:val="00AC2985"/>
    <w:rsid w:val="00AC4805"/>
    <w:rsid w:val="00AC52E0"/>
    <w:rsid w:val="00AC533C"/>
    <w:rsid w:val="00AC59DB"/>
    <w:rsid w:val="00AC6A2F"/>
    <w:rsid w:val="00AC6A3E"/>
    <w:rsid w:val="00AC7378"/>
    <w:rsid w:val="00AC7DDB"/>
    <w:rsid w:val="00AD12F9"/>
    <w:rsid w:val="00AD1D21"/>
    <w:rsid w:val="00AD2E07"/>
    <w:rsid w:val="00AD347F"/>
    <w:rsid w:val="00AD362D"/>
    <w:rsid w:val="00AD456C"/>
    <w:rsid w:val="00AD4820"/>
    <w:rsid w:val="00AD4838"/>
    <w:rsid w:val="00AD58B6"/>
    <w:rsid w:val="00AD5C89"/>
    <w:rsid w:val="00AD6445"/>
    <w:rsid w:val="00AD648C"/>
    <w:rsid w:val="00AD6C2E"/>
    <w:rsid w:val="00AD6CA1"/>
    <w:rsid w:val="00AD73AD"/>
    <w:rsid w:val="00AD7801"/>
    <w:rsid w:val="00AD7C3E"/>
    <w:rsid w:val="00AE15DA"/>
    <w:rsid w:val="00AE1C08"/>
    <w:rsid w:val="00AE2473"/>
    <w:rsid w:val="00AE3253"/>
    <w:rsid w:val="00AE40A1"/>
    <w:rsid w:val="00AE44D5"/>
    <w:rsid w:val="00AE5086"/>
    <w:rsid w:val="00AE513B"/>
    <w:rsid w:val="00AE550A"/>
    <w:rsid w:val="00AE5BE2"/>
    <w:rsid w:val="00AE6186"/>
    <w:rsid w:val="00AE633D"/>
    <w:rsid w:val="00AE6AD7"/>
    <w:rsid w:val="00AE74DF"/>
    <w:rsid w:val="00AE792E"/>
    <w:rsid w:val="00AE7976"/>
    <w:rsid w:val="00AF0425"/>
    <w:rsid w:val="00AF0B9B"/>
    <w:rsid w:val="00AF0F41"/>
    <w:rsid w:val="00AF1CFE"/>
    <w:rsid w:val="00AF221A"/>
    <w:rsid w:val="00AF2714"/>
    <w:rsid w:val="00AF3341"/>
    <w:rsid w:val="00AF340F"/>
    <w:rsid w:val="00AF46FC"/>
    <w:rsid w:val="00AF4A6E"/>
    <w:rsid w:val="00AF6727"/>
    <w:rsid w:val="00AF7E7E"/>
    <w:rsid w:val="00B006DC"/>
    <w:rsid w:val="00B00D17"/>
    <w:rsid w:val="00B01D29"/>
    <w:rsid w:val="00B02181"/>
    <w:rsid w:val="00B0250F"/>
    <w:rsid w:val="00B03DC7"/>
    <w:rsid w:val="00B040A0"/>
    <w:rsid w:val="00B046F6"/>
    <w:rsid w:val="00B05276"/>
    <w:rsid w:val="00B05CCB"/>
    <w:rsid w:val="00B0606D"/>
    <w:rsid w:val="00B07369"/>
    <w:rsid w:val="00B07CF5"/>
    <w:rsid w:val="00B106AB"/>
    <w:rsid w:val="00B11143"/>
    <w:rsid w:val="00B11D22"/>
    <w:rsid w:val="00B11EF8"/>
    <w:rsid w:val="00B144F4"/>
    <w:rsid w:val="00B14A6E"/>
    <w:rsid w:val="00B16837"/>
    <w:rsid w:val="00B17968"/>
    <w:rsid w:val="00B203C6"/>
    <w:rsid w:val="00B20651"/>
    <w:rsid w:val="00B20AFF"/>
    <w:rsid w:val="00B21C02"/>
    <w:rsid w:val="00B223B8"/>
    <w:rsid w:val="00B2259D"/>
    <w:rsid w:val="00B232C2"/>
    <w:rsid w:val="00B2441C"/>
    <w:rsid w:val="00B2443F"/>
    <w:rsid w:val="00B2664F"/>
    <w:rsid w:val="00B26D12"/>
    <w:rsid w:val="00B27055"/>
    <w:rsid w:val="00B27F15"/>
    <w:rsid w:val="00B3059B"/>
    <w:rsid w:val="00B32917"/>
    <w:rsid w:val="00B32C50"/>
    <w:rsid w:val="00B3314B"/>
    <w:rsid w:val="00B34CBE"/>
    <w:rsid w:val="00B36610"/>
    <w:rsid w:val="00B36A21"/>
    <w:rsid w:val="00B37CF6"/>
    <w:rsid w:val="00B412A6"/>
    <w:rsid w:val="00B42520"/>
    <w:rsid w:val="00B43956"/>
    <w:rsid w:val="00B4510D"/>
    <w:rsid w:val="00B45B79"/>
    <w:rsid w:val="00B45EDF"/>
    <w:rsid w:val="00B47E12"/>
    <w:rsid w:val="00B51D10"/>
    <w:rsid w:val="00B51D89"/>
    <w:rsid w:val="00B51F3B"/>
    <w:rsid w:val="00B526AF"/>
    <w:rsid w:val="00B52A9B"/>
    <w:rsid w:val="00B52EB5"/>
    <w:rsid w:val="00B53070"/>
    <w:rsid w:val="00B53E0C"/>
    <w:rsid w:val="00B53F08"/>
    <w:rsid w:val="00B540D6"/>
    <w:rsid w:val="00B54B12"/>
    <w:rsid w:val="00B554C6"/>
    <w:rsid w:val="00B55B59"/>
    <w:rsid w:val="00B55DFC"/>
    <w:rsid w:val="00B55FB6"/>
    <w:rsid w:val="00B576E9"/>
    <w:rsid w:val="00B60C2D"/>
    <w:rsid w:val="00B61AB1"/>
    <w:rsid w:val="00B61FFF"/>
    <w:rsid w:val="00B63DCC"/>
    <w:rsid w:val="00B6456C"/>
    <w:rsid w:val="00B6640B"/>
    <w:rsid w:val="00B6699F"/>
    <w:rsid w:val="00B6701C"/>
    <w:rsid w:val="00B6744E"/>
    <w:rsid w:val="00B6749F"/>
    <w:rsid w:val="00B67BC4"/>
    <w:rsid w:val="00B706D9"/>
    <w:rsid w:val="00B7110B"/>
    <w:rsid w:val="00B71668"/>
    <w:rsid w:val="00B71A2D"/>
    <w:rsid w:val="00B73931"/>
    <w:rsid w:val="00B764D5"/>
    <w:rsid w:val="00B76C86"/>
    <w:rsid w:val="00B76E1B"/>
    <w:rsid w:val="00B770A1"/>
    <w:rsid w:val="00B77704"/>
    <w:rsid w:val="00B80ED8"/>
    <w:rsid w:val="00B82CCF"/>
    <w:rsid w:val="00B836A4"/>
    <w:rsid w:val="00B83CA9"/>
    <w:rsid w:val="00B83FEC"/>
    <w:rsid w:val="00B8428C"/>
    <w:rsid w:val="00B85EB6"/>
    <w:rsid w:val="00B863BC"/>
    <w:rsid w:val="00B8656B"/>
    <w:rsid w:val="00B8670C"/>
    <w:rsid w:val="00B87727"/>
    <w:rsid w:val="00B879F1"/>
    <w:rsid w:val="00B900BE"/>
    <w:rsid w:val="00B91B0D"/>
    <w:rsid w:val="00B9281A"/>
    <w:rsid w:val="00B9283A"/>
    <w:rsid w:val="00B92C50"/>
    <w:rsid w:val="00B9360A"/>
    <w:rsid w:val="00B93CE5"/>
    <w:rsid w:val="00B93E25"/>
    <w:rsid w:val="00B94251"/>
    <w:rsid w:val="00B942FF"/>
    <w:rsid w:val="00B9479E"/>
    <w:rsid w:val="00B956F6"/>
    <w:rsid w:val="00B95DA9"/>
    <w:rsid w:val="00B972CC"/>
    <w:rsid w:val="00BA0A62"/>
    <w:rsid w:val="00BA0DBC"/>
    <w:rsid w:val="00BA1AF5"/>
    <w:rsid w:val="00BA1F61"/>
    <w:rsid w:val="00BA264B"/>
    <w:rsid w:val="00BA29E5"/>
    <w:rsid w:val="00BA35E5"/>
    <w:rsid w:val="00BA37E5"/>
    <w:rsid w:val="00BA387B"/>
    <w:rsid w:val="00BA3B18"/>
    <w:rsid w:val="00BA41D2"/>
    <w:rsid w:val="00BA4C3D"/>
    <w:rsid w:val="00BA588C"/>
    <w:rsid w:val="00BA5D56"/>
    <w:rsid w:val="00BA5E52"/>
    <w:rsid w:val="00BA6504"/>
    <w:rsid w:val="00BA6704"/>
    <w:rsid w:val="00BA7E01"/>
    <w:rsid w:val="00BB0E67"/>
    <w:rsid w:val="00BB0F2C"/>
    <w:rsid w:val="00BB1F45"/>
    <w:rsid w:val="00BB277B"/>
    <w:rsid w:val="00BB2984"/>
    <w:rsid w:val="00BB31FD"/>
    <w:rsid w:val="00BB3869"/>
    <w:rsid w:val="00BB4751"/>
    <w:rsid w:val="00BB47D2"/>
    <w:rsid w:val="00BB59D1"/>
    <w:rsid w:val="00BB7F10"/>
    <w:rsid w:val="00BC09E9"/>
    <w:rsid w:val="00BC1A5C"/>
    <w:rsid w:val="00BC2E72"/>
    <w:rsid w:val="00BC4446"/>
    <w:rsid w:val="00BC466B"/>
    <w:rsid w:val="00BC49E8"/>
    <w:rsid w:val="00BC4AE2"/>
    <w:rsid w:val="00BC5C6F"/>
    <w:rsid w:val="00BC6A5E"/>
    <w:rsid w:val="00BC7C5E"/>
    <w:rsid w:val="00BD0F12"/>
    <w:rsid w:val="00BD1FFC"/>
    <w:rsid w:val="00BD2278"/>
    <w:rsid w:val="00BD2A29"/>
    <w:rsid w:val="00BD417A"/>
    <w:rsid w:val="00BD5182"/>
    <w:rsid w:val="00BD54A2"/>
    <w:rsid w:val="00BD6268"/>
    <w:rsid w:val="00BD76E7"/>
    <w:rsid w:val="00BD7807"/>
    <w:rsid w:val="00BD7C48"/>
    <w:rsid w:val="00BE04FA"/>
    <w:rsid w:val="00BE0576"/>
    <w:rsid w:val="00BE1F4B"/>
    <w:rsid w:val="00BE2111"/>
    <w:rsid w:val="00BE286C"/>
    <w:rsid w:val="00BE3108"/>
    <w:rsid w:val="00BE320A"/>
    <w:rsid w:val="00BE3C86"/>
    <w:rsid w:val="00BE4332"/>
    <w:rsid w:val="00BE5398"/>
    <w:rsid w:val="00BE6786"/>
    <w:rsid w:val="00BE7242"/>
    <w:rsid w:val="00BE7CA2"/>
    <w:rsid w:val="00BF2ABC"/>
    <w:rsid w:val="00BF2B82"/>
    <w:rsid w:val="00BF3BCA"/>
    <w:rsid w:val="00BF55D9"/>
    <w:rsid w:val="00BF6253"/>
    <w:rsid w:val="00BF6277"/>
    <w:rsid w:val="00BF6BC2"/>
    <w:rsid w:val="00BF72E6"/>
    <w:rsid w:val="00BF77DD"/>
    <w:rsid w:val="00C022FB"/>
    <w:rsid w:val="00C02B8C"/>
    <w:rsid w:val="00C047F6"/>
    <w:rsid w:val="00C04EE3"/>
    <w:rsid w:val="00C04F9E"/>
    <w:rsid w:val="00C05160"/>
    <w:rsid w:val="00C06549"/>
    <w:rsid w:val="00C06CB7"/>
    <w:rsid w:val="00C1241A"/>
    <w:rsid w:val="00C12D5A"/>
    <w:rsid w:val="00C130B9"/>
    <w:rsid w:val="00C138E9"/>
    <w:rsid w:val="00C146C1"/>
    <w:rsid w:val="00C149FD"/>
    <w:rsid w:val="00C14BF7"/>
    <w:rsid w:val="00C15465"/>
    <w:rsid w:val="00C15FE5"/>
    <w:rsid w:val="00C16045"/>
    <w:rsid w:val="00C16A75"/>
    <w:rsid w:val="00C16C91"/>
    <w:rsid w:val="00C17333"/>
    <w:rsid w:val="00C173FD"/>
    <w:rsid w:val="00C17624"/>
    <w:rsid w:val="00C17849"/>
    <w:rsid w:val="00C202D9"/>
    <w:rsid w:val="00C22026"/>
    <w:rsid w:val="00C24064"/>
    <w:rsid w:val="00C24A21"/>
    <w:rsid w:val="00C24D92"/>
    <w:rsid w:val="00C24E3C"/>
    <w:rsid w:val="00C2521A"/>
    <w:rsid w:val="00C2549C"/>
    <w:rsid w:val="00C25E69"/>
    <w:rsid w:val="00C2637A"/>
    <w:rsid w:val="00C2650E"/>
    <w:rsid w:val="00C27EE7"/>
    <w:rsid w:val="00C30495"/>
    <w:rsid w:val="00C30A9F"/>
    <w:rsid w:val="00C312EE"/>
    <w:rsid w:val="00C31D55"/>
    <w:rsid w:val="00C31FBD"/>
    <w:rsid w:val="00C3280E"/>
    <w:rsid w:val="00C32B48"/>
    <w:rsid w:val="00C349D3"/>
    <w:rsid w:val="00C35435"/>
    <w:rsid w:val="00C35578"/>
    <w:rsid w:val="00C37080"/>
    <w:rsid w:val="00C37364"/>
    <w:rsid w:val="00C3740E"/>
    <w:rsid w:val="00C377A2"/>
    <w:rsid w:val="00C3799C"/>
    <w:rsid w:val="00C403E4"/>
    <w:rsid w:val="00C4048F"/>
    <w:rsid w:val="00C40669"/>
    <w:rsid w:val="00C41496"/>
    <w:rsid w:val="00C41848"/>
    <w:rsid w:val="00C441A4"/>
    <w:rsid w:val="00C4551F"/>
    <w:rsid w:val="00C46EB3"/>
    <w:rsid w:val="00C50739"/>
    <w:rsid w:val="00C50B98"/>
    <w:rsid w:val="00C516A2"/>
    <w:rsid w:val="00C51861"/>
    <w:rsid w:val="00C52197"/>
    <w:rsid w:val="00C5222B"/>
    <w:rsid w:val="00C527C1"/>
    <w:rsid w:val="00C52B66"/>
    <w:rsid w:val="00C53915"/>
    <w:rsid w:val="00C55DE7"/>
    <w:rsid w:val="00C55F2D"/>
    <w:rsid w:val="00C56740"/>
    <w:rsid w:val="00C577AE"/>
    <w:rsid w:val="00C61B66"/>
    <w:rsid w:val="00C61CF0"/>
    <w:rsid w:val="00C625CB"/>
    <w:rsid w:val="00C654BF"/>
    <w:rsid w:val="00C65931"/>
    <w:rsid w:val="00C670CA"/>
    <w:rsid w:val="00C67F73"/>
    <w:rsid w:val="00C67FD0"/>
    <w:rsid w:val="00C703FE"/>
    <w:rsid w:val="00C70483"/>
    <w:rsid w:val="00C7065B"/>
    <w:rsid w:val="00C708FB"/>
    <w:rsid w:val="00C70D43"/>
    <w:rsid w:val="00C70DBB"/>
    <w:rsid w:val="00C71196"/>
    <w:rsid w:val="00C745A7"/>
    <w:rsid w:val="00C7472D"/>
    <w:rsid w:val="00C74BF9"/>
    <w:rsid w:val="00C77881"/>
    <w:rsid w:val="00C77DD1"/>
    <w:rsid w:val="00C77E1E"/>
    <w:rsid w:val="00C809F7"/>
    <w:rsid w:val="00C80BD4"/>
    <w:rsid w:val="00C822CE"/>
    <w:rsid w:val="00C833BA"/>
    <w:rsid w:val="00C83A12"/>
    <w:rsid w:val="00C83C63"/>
    <w:rsid w:val="00C84C1D"/>
    <w:rsid w:val="00C85E2D"/>
    <w:rsid w:val="00C86304"/>
    <w:rsid w:val="00C86678"/>
    <w:rsid w:val="00C90494"/>
    <w:rsid w:val="00C9053F"/>
    <w:rsid w:val="00C90996"/>
    <w:rsid w:val="00C919D4"/>
    <w:rsid w:val="00C927E2"/>
    <w:rsid w:val="00C92F2E"/>
    <w:rsid w:val="00C93169"/>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4C1"/>
    <w:rsid w:val="00CA35B0"/>
    <w:rsid w:val="00CA38E6"/>
    <w:rsid w:val="00CA3A2C"/>
    <w:rsid w:val="00CA4A09"/>
    <w:rsid w:val="00CA5324"/>
    <w:rsid w:val="00CA55DB"/>
    <w:rsid w:val="00CA5686"/>
    <w:rsid w:val="00CA5910"/>
    <w:rsid w:val="00CA5BCC"/>
    <w:rsid w:val="00CA5EAD"/>
    <w:rsid w:val="00CA6026"/>
    <w:rsid w:val="00CA63EE"/>
    <w:rsid w:val="00CA7859"/>
    <w:rsid w:val="00CA78E7"/>
    <w:rsid w:val="00CB117D"/>
    <w:rsid w:val="00CB1BA9"/>
    <w:rsid w:val="00CB286E"/>
    <w:rsid w:val="00CB4F1F"/>
    <w:rsid w:val="00CB4F3D"/>
    <w:rsid w:val="00CB509A"/>
    <w:rsid w:val="00CB5236"/>
    <w:rsid w:val="00CB58D2"/>
    <w:rsid w:val="00CB5A1D"/>
    <w:rsid w:val="00CB677D"/>
    <w:rsid w:val="00CB6A6A"/>
    <w:rsid w:val="00CB6A7B"/>
    <w:rsid w:val="00CB7499"/>
    <w:rsid w:val="00CB76AF"/>
    <w:rsid w:val="00CB7FF6"/>
    <w:rsid w:val="00CC0024"/>
    <w:rsid w:val="00CC2048"/>
    <w:rsid w:val="00CC2C14"/>
    <w:rsid w:val="00CC2D28"/>
    <w:rsid w:val="00CC2E48"/>
    <w:rsid w:val="00CC42C8"/>
    <w:rsid w:val="00CC463F"/>
    <w:rsid w:val="00CC4951"/>
    <w:rsid w:val="00CC4B7B"/>
    <w:rsid w:val="00CC51A6"/>
    <w:rsid w:val="00CC584B"/>
    <w:rsid w:val="00CC5F44"/>
    <w:rsid w:val="00CC6B9A"/>
    <w:rsid w:val="00CC6EE0"/>
    <w:rsid w:val="00CD00E5"/>
    <w:rsid w:val="00CD06F8"/>
    <w:rsid w:val="00CD0C6E"/>
    <w:rsid w:val="00CD10C9"/>
    <w:rsid w:val="00CD1496"/>
    <w:rsid w:val="00CD250D"/>
    <w:rsid w:val="00CD25DC"/>
    <w:rsid w:val="00CD2F7A"/>
    <w:rsid w:val="00CD40F3"/>
    <w:rsid w:val="00CD41B4"/>
    <w:rsid w:val="00CD46EC"/>
    <w:rsid w:val="00CD4C16"/>
    <w:rsid w:val="00CD4C3F"/>
    <w:rsid w:val="00CD53E3"/>
    <w:rsid w:val="00CD568B"/>
    <w:rsid w:val="00CD5827"/>
    <w:rsid w:val="00CD6018"/>
    <w:rsid w:val="00CE1C95"/>
    <w:rsid w:val="00CE1DC1"/>
    <w:rsid w:val="00CE2706"/>
    <w:rsid w:val="00CE4BF6"/>
    <w:rsid w:val="00CE6037"/>
    <w:rsid w:val="00CE7AFD"/>
    <w:rsid w:val="00CE7CF5"/>
    <w:rsid w:val="00CE7E45"/>
    <w:rsid w:val="00CF07B2"/>
    <w:rsid w:val="00CF0C6F"/>
    <w:rsid w:val="00CF1EC5"/>
    <w:rsid w:val="00CF20CE"/>
    <w:rsid w:val="00CF3811"/>
    <w:rsid w:val="00CF4298"/>
    <w:rsid w:val="00CF5520"/>
    <w:rsid w:val="00CF56F8"/>
    <w:rsid w:val="00CF7939"/>
    <w:rsid w:val="00D008B9"/>
    <w:rsid w:val="00D00CA3"/>
    <w:rsid w:val="00D00FC4"/>
    <w:rsid w:val="00D025BD"/>
    <w:rsid w:val="00D02603"/>
    <w:rsid w:val="00D02C3D"/>
    <w:rsid w:val="00D0309F"/>
    <w:rsid w:val="00D03278"/>
    <w:rsid w:val="00D03FDD"/>
    <w:rsid w:val="00D047DF"/>
    <w:rsid w:val="00D04C3C"/>
    <w:rsid w:val="00D052EF"/>
    <w:rsid w:val="00D053D1"/>
    <w:rsid w:val="00D05524"/>
    <w:rsid w:val="00D057C9"/>
    <w:rsid w:val="00D074A9"/>
    <w:rsid w:val="00D07829"/>
    <w:rsid w:val="00D105A9"/>
    <w:rsid w:val="00D10B5E"/>
    <w:rsid w:val="00D117CD"/>
    <w:rsid w:val="00D11A91"/>
    <w:rsid w:val="00D12634"/>
    <w:rsid w:val="00D1299D"/>
    <w:rsid w:val="00D138B5"/>
    <w:rsid w:val="00D146D4"/>
    <w:rsid w:val="00D1621C"/>
    <w:rsid w:val="00D1664D"/>
    <w:rsid w:val="00D16CE6"/>
    <w:rsid w:val="00D173B5"/>
    <w:rsid w:val="00D1767A"/>
    <w:rsid w:val="00D17DDB"/>
    <w:rsid w:val="00D2110B"/>
    <w:rsid w:val="00D21C45"/>
    <w:rsid w:val="00D222D5"/>
    <w:rsid w:val="00D224F1"/>
    <w:rsid w:val="00D22BC7"/>
    <w:rsid w:val="00D232EF"/>
    <w:rsid w:val="00D25888"/>
    <w:rsid w:val="00D25C84"/>
    <w:rsid w:val="00D27163"/>
    <w:rsid w:val="00D27234"/>
    <w:rsid w:val="00D27A1C"/>
    <w:rsid w:val="00D30C17"/>
    <w:rsid w:val="00D30FD0"/>
    <w:rsid w:val="00D31255"/>
    <w:rsid w:val="00D312F9"/>
    <w:rsid w:val="00D31621"/>
    <w:rsid w:val="00D31CB2"/>
    <w:rsid w:val="00D32232"/>
    <w:rsid w:val="00D32800"/>
    <w:rsid w:val="00D32FCF"/>
    <w:rsid w:val="00D330BF"/>
    <w:rsid w:val="00D33C4C"/>
    <w:rsid w:val="00D33EA9"/>
    <w:rsid w:val="00D33F5A"/>
    <w:rsid w:val="00D34440"/>
    <w:rsid w:val="00D3580C"/>
    <w:rsid w:val="00D365FA"/>
    <w:rsid w:val="00D36935"/>
    <w:rsid w:val="00D37042"/>
    <w:rsid w:val="00D37AD1"/>
    <w:rsid w:val="00D37C30"/>
    <w:rsid w:val="00D37EA4"/>
    <w:rsid w:val="00D407A4"/>
    <w:rsid w:val="00D408BE"/>
    <w:rsid w:val="00D40D1E"/>
    <w:rsid w:val="00D4298C"/>
    <w:rsid w:val="00D43B38"/>
    <w:rsid w:val="00D44113"/>
    <w:rsid w:val="00D44ABC"/>
    <w:rsid w:val="00D44E72"/>
    <w:rsid w:val="00D459AB"/>
    <w:rsid w:val="00D462BE"/>
    <w:rsid w:val="00D463CB"/>
    <w:rsid w:val="00D464B4"/>
    <w:rsid w:val="00D46D54"/>
    <w:rsid w:val="00D4771C"/>
    <w:rsid w:val="00D5023E"/>
    <w:rsid w:val="00D505DE"/>
    <w:rsid w:val="00D510B0"/>
    <w:rsid w:val="00D52934"/>
    <w:rsid w:val="00D53759"/>
    <w:rsid w:val="00D53D6C"/>
    <w:rsid w:val="00D54631"/>
    <w:rsid w:val="00D54BB0"/>
    <w:rsid w:val="00D554FA"/>
    <w:rsid w:val="00D558A8"/>
    <w:rsid w:val="00D558F1"/>
    <w:rsid w:val="00D56B38"/>
    <w:rsid w:val="00D56E99"/>
    <w:rsid w:val="00D570C2"/>
    <w:rsid w:val="00D57369"/>
    <w:rsid w:val="00D6018C"/>
    <w:rsid w:val="00D6117B"/>
    <w:rsid w:val="00D61564"/>
    <w:rsid w:val="00D615DB"/>
    <w:rsid w:val="00D63548"/>
    <w:rsid w:val="00D6391A"/>
    <w:rsid w:val="00D63C2F"/>
    <w:rsid w:val="00D644A2"/>
    <w:rsid w:val="00D64661"/>
    <w:rsid w:val="00D64F9C"/>
    <w:rsid w:val="00D65A9D"/>
    <w:rsid w:val="00D66A6A"/>
    <w:rsid w:val="00D6740E"/>
    <w:rsid w:val="00D70334"/>
    <w:rsid w:val="00D71243"/>
    <w:rsid w:val="00D717AD"/>
    <w:rsid w:val="00D71EA3"/>
    <w:rsid w:val="00D7241D"/>
    <w:rsid w:val="00D7291E"/>
    <w:rsid w:val="00D72C36"/>
    <w:rsid w:val="00D73CA4"/>
    <w:rsid w:val="00D75196"/>
    <w:rsid w:val="00D753B9"/>
    <w:rsid w:val="00D75500"/>
    <w:rsid w:val="00D75587"/>
    <w:rsid w:val="00D755AE"/>
    <w:rsid w:val="00D7649E"/>
    <w:rsid w:val="00D77668"/>
    <w:rsid w:val="00D80026"/>
    <w:rsid w:val="00D8044A"/>
    <w:rsid w:val="00D80C34"/>
    <w:rsid w:val="00D827EF"/>
    <w:rsid w:val="00D837D6"/>
    <w:rsid w:val="00D83E47"/>
    <w:rsid w:val="00D85ECE"/>
    <w:rsid w:val="00D85F49"/>
    <w:rsid w:val="00D8653D"/>
    <w:rsid w:val="00D86A7E"/>
    <w:rsid w:val="00D86EB9"/>
    <w:rsid w:val="00D87450"/>
    <w:rsid w:val="00D87A3B"/>
    <w:rsid w:val="00D87D63"/>
    <w:rsid w:val="00D90D1E"/>
    <w:rsid w:val="00D91AD5"/>
    <w:rsid w:val="00D92BB1"/>
    <w:rsid w:val="00D92CDF"/>
    <w:rsid w:val="00D93431"/>
    <w:rsid w:val="00D93F9F"/>
    <w:rsid w:val="00D94AC3"/>
    <w:rsid w:val="00D94CF7"/>
    <w:rsid w:val="00D95A5F"/>
    <w:rsid w:val="00D95F7A"/>
    <w:rsid w:val="00D968E9"/>
    <w:rsid w:val="00D96BB7"/>
    <w:rsid w:val="00D97AA1"/>
    <w:rsid w:val="00DA0308"/>
    <w:rsid w:val="00DA06C2"/>
    <w:rsid w:val="00DA0999"/>
    <w:rsid w:val="00DA13CB"/>
    <w:rsid w:val="00DA16D9"/>
    <w:rsid w:val="00DA2E3B"/>
    <w:rsid w:val="00DA3826"/>
    <w:rsid w:val="00DA3CAD"/>
    <w:rsid w:val="00DA43E9"/>
    <w:rsid w:val="00DA534F"/>
    <w:rsid w:val="00DA5837"/>
    <w:rsid w:val="00DA628D"/>
    <w:rsid w:val="00DA6A64"/>
    <w:rsid w:val="00DA78A1"/>
    <w:rsid w:val="00DA7920"/>
    <w:rsid w:val="00DB02F5"/>
    <w:rsid w:val="00DB0585"/>
    <w:rsid w:val="00DB090B"/>
    <w:rsid w:val="00DB0BC6"/>
    <w:rsid w:val="00DB16AC"/>
    <w:rsid w:val="00DB20DD"/>
    <w:rsid w:val="00DB27CE"/>
    <w:rsid w:val="00DB35C9"/>
    <w:rsid w:val="00DB3BDD"/>
    <w:rsid w:val="00DB4858"/>
    <w:rsid w:val="00DB486F"/>
    <w:rsid w:val="00DB4CC3"/>
    <w:rsid w:val="00DB5DBD"/>
    <w:rsid w:val="00DB7734"/>
    <w:rsid w:val="00DB7F30"/>
    <w:rsid w:val="00DB7FEE"/>
    <w:rsid w:val="00DC0377"/>
    <w:rsid w:val="00DC0991"/>
    <w:rsid w:val="00DC1118"/>
    <w:rsid w:val="00DC2336"/>
    <w:rsid w:val="00DC23BA"/>
    <w:rsid w:val="00DC4387"/>
    <w:rsid w:val="00DC43FA"/>
    <w:rsid w:val="00DC46C7"/>
    <w:rsid w:val="00DC4E7C"/>
    <w:rsid w:val="00DC6922"/>
    <w:rsid w:val="00DC7389"/>
    <w:rsid w:val="00DD000F"/>
    <w:rsid w:val="00DD131F"/>
    <w:rsid w:val="00DD238F"/>
    <w:rsid w:val="00DD245F"/>
    <w:rsid w:val="00DD2CAA"/>
    <w:rsid w:val="00DD46B7"/>
    <w:rsid w:val="00DD4C53"/>
    <w:rsid w:val="00DD57F7"/>
    <w:rsid w:val="00DD6636"/>
    <w:rsid w:val="00DD6D50"/>
    <w:rsid w:val="00DD71A7"/>
    <w:rsid w:val="00DE031C"/>
    <w:rsid w:val="00DE089E"/>
    <w:rsid w:val="00DE167A"/>
    <w:rsid w:val="00DE29DE"/>
    <w:rsid w:val="00DE3152"/>
    <w:rsid w:val="00DE33CC"/>
    <w:rsid w:val="00DE362D"/>
    <w:rsid w:val="00DE48E7"/>
    <w:rsid w:val="00DE60E3"/>
    <w:rsid w:val="00DE7E55"/>
    <w:rsid w:val="00DF0382"/>
    <w:rsid w:val="00DF058D"/>
    <w:rsid w:val="00DF1CE1"/>
    <w:rsid w:val="00DF1E16"/>
    <w:rsid w:val="00DF225D"/>
    <w:rsid w:val="00DF280B"/>
    <w:rsid w:val="00DF2D6F"/>
    <w:rsid w:val="00DF44A0"/>
    <w:rsid w:val="00DF4831"/>
    <w:rsid w:val="00DF492D"/>
    <w:rsid w:val="00DF5778"/>
    <w:rsid w:val="00DF641A"/>
    <w:rsid w:val="00DF6E78"/>
    <w:rsid w:val="00DF6F1C"/>
    <w:rsid w:val="00DF7D53"/>
    <w:rsid w:val="00E0027D"/>
    <w:rsid w:val="00E002DD"/>
    <w:rsid w:val="00E00DC3"/>
    <w:rsid w:val="00E01356"/>
    <w:rsid w:val="00E01973"/>
    <w:rsid w:val="00E03B30"/>
    <w:rsid w:val="00E0417B"/>
    <w:rsid w:val="00E04413"/>
    <w:rsid w:val="00E04DB8"/>
    <w:rsid w:val="00E05BD4"/>
    <w:rsid w:val="00E067E5"/>
    <w:rsid w:val="00E0771B"/>
    <w:rsid w:val="00E07C23"/>
    <w:rsid w:val="00E07D76"/>
    <w:rsid w:val="00E10022"/>
    <w:rsid w:val="00E10D0A"/>
    <w:rsid w:val="00E1125B"/>
    <w:rsid w:val="00E1166D"/>
    <w:rsid w:val="00E14AD1"/>
    <w:rsid w:val="00E15550"/>
    <w:rsid w:val="00E1571D"/>
    <w:rsid w:val="00E1640C"/>
    <w:rsid w:val="00E16457"/>
    <w:rsid w:val="00E170FE"/>
    <w:rsid w:val="00E17B85"/>
    <w:rsid w:val="00E17DA9"/>
    <w:rsid w:val="00E2250E"/>
    <w:rsid w:val="00E22DA1"/>
    <w:rsid w:val="00E23018"/>
    <w:rsid w:val="00E235F5"/>
    <w:rsid w:val="00E24A83"/>
    <w:rsid w:val="00E24ACA"/>
    <w:rsid w:val="00E25E95"/>
    <w:rsid w:val="00E26369"/>
    <w:rsid w:val="00E263F8"/>
    <w:rsid w:val="00E2655D"/>
    <w:rsid w:val="00E2658D"/>
    <w:rsid w:val="00E26656"/>
    <w:rsid w:val="00E2674B"/>
    <w:rsid w:val="00E2699F"/>
    <w:rsid w:val="00E26B54"/>
    <w:rsid w:val="00E27233"/>
    <w:rsid w:val="00E2733B"/>
    <w:rsid w:val="00E3011B"/>
    <w:rsid w:val="00E303DD"/>
    <w:rsid w:val="00E32BEC"/>
    <w:rsid w:val="00E33FF5"/>
    <w:rsid w:val="00E34C21"/>
    <w:rsid w:val="00E34C3C"/>
    <w:rsid w:val="00E35BD2"/>
    <w:rsid w:val="00E35FCC"/>
    <w:rsid w:val="00E3624B"/>
    <w:rsid w:val="00E36E69"/>
    <w:rsid w:val="00E375F6"/>
    <w:rsid w:val="00E37704"/>
    <w:rsid w:val="00E40DC8"/>
    <w:rsid w:val="00E41013"/>
    <w:rsid w:val="00E426F5"/>
    <w:rsid w:val="00E42C6A"/>
    <w:rsid w:val="00E42F1A"/>
    <w:rsid w:val="00E4367B"/>
    <w:rsid w:val="00E43BBA"/>
    <w:rsid w:val="00E43DCF"/>
    <w:rsid w:val="00E45573"/>
    <w:rsid w:val="00E45E63"/>
    <w:rsid w:val="00E46A32"/>
    <w:rsid w:val="00E46CD7"/>
    <w:rsid w:val="00E46F8F"/>
    <w:rsid w:val="00E47E5B"/>
    <w:rsid w:val="00E50E8E"/>
    <w:rsid w:val="00E515A9"/>
    <w:rsid w:val="00E51658"/>
    <w:rsid w:val="00E525D7"/>
    <w:rsid w:val="00E52B33"/>
    <w:rsid w:val="00E52B56"/>
    <w:rsid w:val="00E535AF"/>
    <w:rsid w:val="00E53E8D"/>
    <w:rsid w:val="00E555EC"/>
    <w:rsid w:val="00E55E07"/>
    <w:rsid w:val="00E56AE2"/>
    <w:rsid w:val="00E57115"/>
    <w:rsid w:val="00E5738A"/>
    <w:rsid w:val="00E57ADB"/>
    <w:rsid w:val="00E60E9C"/>
    <w:rsid w:val="00E6188E"/>
    <w:rsid w:val="00E61CF3"/>
    <w:rsid w:val="00E6204E"/>
    <w:rsid w:val="00E6322C"/>
    <w:rsid w:val="00E63619"/>
    <w:rsid w:val="00E63A3B"/>
    <w:rsid w:val="00E64C94"/>
    <w:rsid w:val="00E64D91"/>
    <w:rsid w:val="00E65065"/>
    <w:rsid w:val="00E66AF8"/>
    <w:rsid w:val="00E66B82"/>
    <w:rsid w:val="00E722D9"/>
    <w:rsid w:val="00E733CB"/>
    <w:rsid w:val="00E73A1F"/>
    <w:rsid w:val="00E74A3D"/>
    <w:rsid w:val="00E74BA8"/>
    <w:rsid w:val="00E74BEF"/>
    <w:rsid w:val="00E7560C"/>
    <w:rsid w:val="00E7636A"/>
    <w:rsid w:val="00E7720D"/>
    <w:rsid w:val="00E77AAB"/>
    <w:rsid w:val="00E80DBD"/>
    <w:rsid w:val="00E80F8D"/>
    <w:rsid w:val="00E812AD"/>
    <w:rsid w:val="00E8141E"/>
    <w:rsid w:val="00E82926"/>
    <w:rsid w:val="00E83625"/>
    <w:rsid w:val="00E83F34"/>
    <w:rsid w:val="00E85390"/>
    <w:rsid w:val="00E86197"/>
    <w:rsid w:val="00E87323"/>
    <w:rsid w:val="00E87961"/>
    <w:rsid w:val="00E9130A"/>
    <w:rsid w:val="00E91F10"/>
    <w:rsid w:val="00E93F11"/>
    <w:rsid w:val="00E94D41"/>
    <w:rsid w:val="00E95FD1"/>
    <w:rsid w:val="00E96B92"/>
    <w:rsid w:val="00E97B2C"/>
    <w:rsid w:val="00E97D4B"/>
    <w:rsid w:val="00EA0A39"/>
    <w:rsid w:val="00EA2D80"/>
    <w:rsid w:val="00EA3CE5"/>
    <w:rsid w:val="00EA3D8F"/>
    <w:rsid w:val="00EA43C9"/>
    <w:rsid w:val="00EA4D4A"/>
    <w:rsid w:val="00EA5073"/>
    <w:rsid w:val="00EA6825"/>
    <w:rsid w:val="00EA710C"/>
    <w:rsid w:val="00EA7789"/>
    <w:rsid w:val="00EB00EA"/>
    <w:rsid w:val="00EB078B"/>
    <w:rsid w:val="00EB1B51"/>
    <w:rsid w:val="00EB1DE7"/>
    <w:rsid w:val="00EB2758"/>
    <w:rsid w:val="00EB2CF2"/>
    <w:rsid w:val="00EB3206"/>
    <w:rsid w:val="00EB3F26"/>
    <w:rsid w:val="00EB41CF"/>
    <w:rsid w:val="00EB4252"/>
    <w:rsid w:val="00EB461F"/>
    <w:rsid w:val="00EB4C92"/>
    <w:rsid w:val="00EB4F66"/>
    <w:rsid w:val="00EB5899"/>
    <w:rsid w:val="00EB5BA1"/>
    <w:rsid w:val="00EB6B05"/>
    <w:rsid w:val="00EB6E95"/>
    <w:rsid w:val="00EC0260"/>
    <w:rsid w:val="00EC0AE8"/>
    <w:rsid w:val="00EC0CE4"/>
    <w:rsid w:val="00EC0FDB"/>
    <w:rsid w:val="00EC293D"/>
    <w:rsid w:val="00EC3AF0"/>
    <w:rsid w:val="00EC6646"/>
    <w:rsid w:val="00EC6A7F"/>
    <w:rsid w:val="00EC7634"/>
    <w:rsid w:val="00EC77D4"/>
    <w:rsid w:val="00ED0F26"/>
    <w:rsid w:val="00ED17DC"/>
    <w:rsid w:val="00ED1D17"/>
    <w:rsid w:val="00ED1D3A"/>
    <w:rsid w:val="00ED5134"/>
    <w:rsid w:val="00ED630B"/>
    <w:rsid w:val="00ED650D"/>
    <w:rsid w:val="00ED72FC"/>
    <w:rsid w:val="00ED7D0D"/>
    <w:rsid w:val="00EE0996"/>
    <w:rsid w:val="00EE0EFD"/>
    <w:rsid w:val="00EE13DE"/>
    <w:rsid w:val="00EE1743"/>
    <w:rsid w:val="00EE1811"/>
    <w:rsid w:val="00EE1B55"/>
    <w:rsid w:val="00EE1BC5"/>
    <w:rsid w:val="00EE1D0B"/>
    <w:rsid w:val="00EE21B0"/>
    <w:rsid w:val="00EE2C34"/>
    <w:rsid w:val="00EE2F6D"/>
    <w:rsid w:val="00EE30DF"/>
    <w:rsid w:val="00EE3667"/>
    <w:rsid w:val="00EE39D5"/>
    <w:rsid w:val="00EE3D6E"/>
    <w:rsid w:val="00EE42A7"/>
    <w:rsid w:val="00EE6E7D"/>
    <w:rsid w:val="00EE7A62"/>
    <w:rsid w:val="00EF120D"/>
    <w:rsid w:val="00EF240A"/>
    <w:rsid w:val="00EF55FF"/>
    <w:rsid w:val="00EF6109"/>
    <w:rsid w:val="00EF730B"/>
    <w:rsid w:val="00EF7CCB"/>
    <w:rsid w:val="00F00C1E"/>
    <w:rsid w:val="00F01F59"/>
    <w:rsid w:val="00F0520D"/>
    <w:rsid w:val="00F05C38"/>
    <w:rsid w:val="00F061EE"/>
    <w:rsid w:val="00F06EC0"/>
    <w:rsid w:val="00F071B5"/>
    <w:rsid w:val="00F074D7"/>
    <w:rsid w:val="00F07870"/>
    <w:rsid w:val="00F07A56"/>
    <w:rsid w:val="00F11ABF"/>
    <w:rsid w:val="00F1214A"/>
    <w:rsid w:val="00F12320"/>
    <w:rsid w:val="00F139BE"/>
    <w:rsid w:val="00F13DB7"/>
    <w:rsid w:val="00F145CA"/>
    <w:rsid w:val="00F14A21"/>
    <w:rsid w:val="00F15E87"/>
    <w:rsid w:val="00F15F34"/>
    <w:rsid w:val="00F1711B"/>
    <w:rsid w:val="00F17547"/>
    <w:rsid w:val="00F17645"/>
    <w:rsid w:val="00F17736"/>
    <w:rsid w:val="00F17A2A"/>
    <w:rsid w:val="00F17D57"/>
    <w:rsid w:val="00F21662"/>
    <w:rsid w:val="00F2195D"/>
    <w:rsid w:val="00F22E26"/>
    <w:rsid w:val="00F23FFA"/>
    <w:rsid w:val="00F240C7"/>
    <w:rsid w:val="00F249BF"/>
    <w:rsid w:val="00F25613"/>
    <w:rsid w:val="00F25AE6"/>
    <w:rsid w:val="00F26E49"/>
    <w:rsid w:val="00F30966"/>
    <w:rsid w:val="00F30BAE"/>
    <w:rsid w:val="00F30F1F"/>
    <w:rsid w:val="00F31777"/>
    <w:rsid w:val="00F31C86"/>
    <w:rsid w:val="00F3224A"/>
    <w:rsid w:val="00F3362F"/>
    <w:rsid w:val="00F3377A"/>
    <w:rsid w:val="00F3464E"/>
    <w:rsid w:val="00F348CA"/>
    <w:rsid w:val="00F34CDD"/>
    <w:rsid w:val="00F34F61"/>
    <w:rsid w:val="00F3567F"/>
    <w:rsid w:val="00F3594E"/>
    <w:rsid w:val="00F36602"/>
    <w:rsid w:val="00F36FB1"/>
    <w:rsid w:val="00F403BA"/>
    <w:rsid w:val="00F410A7"/>
    <w:rsid w:val="00F41573"/>
    <w:rsid w:val="00F4185A"/>
    <w:rsid w:val="00F42AE8"/>
    <w:rsid w:val="00F42D72"/>
    <w:rsid w:val="00F42E25"/>
    <w:rsid w:val="00F44A2B"/>
    <w:rsid w:val="00F45016"/>
    <w:rsid w:val="00F45F2E"/>
    <w:rsid w:val="00F47EA3"/>
    <w:rsid w:val="00F50015"/>
    <w:rsid w:val="00F50753"/>
    <w:rsid w:val="00F536FA"/>
    <w:rsid w:val="00F53A17"/>
    <w:rsid w:val="00F53DCD"/>
    <w:rsid w:val="00F54937"/>
    <w:rsid w:val="00F5494B"/>
    <w:rsid w:val="00F55965"/>
    <w:rsid w:val="00F55ECB"/>
    <w:rsid w:val="00F56591"/>
    <w:rsid w:val="00F567A2"/>
    <w:rsid w:val="00F56AA2"/>
    <w:rsid w:val="00F57CA9"/>
    <w:rsid w:val="00F6016A"/>
    <w:rsid w:val="00F60BB8"/>
    <w:rsid w:val="00F610A3"/>
    <w:rsid w:val="00F618C5"/>
    <w:rsid w:val="00F61C94"/>
    <w:rsid w:val="00F6202F"/>
    <w:rsid w:val="00F6237D"/>
    <w:rsid w:val="00F62834"/>
    <w:rsid w:val="00F62AE2"/>
    <w:rsid w:val="00F644EC"/>
    <w:rsid w:val="00F645E8"/>
    <w:rsid w:val="00F645F7"/>
    <w:rsid w:val="00F646C5"/>
    <w:rsid w:val="00F648B2"/>
    <w:rsid w:val="00F64ABD"/>
    <w:rsid w:val="00F64DA0"/>
    <w:rsid w:val="00F65CC2"/>
    <w:rsid w:val="00F673BB"/>
    <w:rsid w:val="00F67CFF"/>
    <w:rsid w:val="00F704B3"/>
    <w:rsid w:val="00F70EFF"/>
    <w:rsid w:val="00F71578"/>
    <w:rsid w:val="00F71698"/>
    <w:rsid w:val="00F71905"/>
    <w:rsid w:val="00F71F8F"/>
    <w:rsid w:val="00F72153"/>
    <w:rsid w:val="00F72335"/>
    <w:rsid w:val="00F733A7"/>
    <w:rsid w:val="00F738F7"/>
    <w:rsid w:val="00F73E63"/>
    <w:rsid w:val="00F74819"/>
    <w:rsid w:val="00F74852"/>
    <w:rsid w:val="00F7512B"/>
    <w:rsid w:val="00F76A45"/>
    <w:rsid w:val="00F76CAA"/>
    <w:rsid w:val="00F76E95"/>
    <w:rsid w:val="00F77B8A"/>
    <w:rsid w:val="00F77FC8"/>
    <w:rsid w:val="00F80261"/>
    <w:rsid w:val="00F8107C"/>
    <w:rsid w:val="00F813E2"/>
    <w:rsid w:val="00F8151A"/>
    <w:rsid w:val="00F81FC3"/>
    <w:rsid w:val="00F82E42"/>
    <w:rsid w:val="00F84335"/>
    <w:rsid w:val="00F84B59"/>
    <w:rsid w:val="00F84F8C"/>
    <w:rsid w:val="00F85DBB"/>
    <w:rsid w:val="00F8669F"/>
    <w:rsid w:val="00F87A5B"/>
    <w:rsid w:val="00F909A0"/>
    <w:rsid w:val="00F90DAF"/>
    <w:rsid w:val="00F91A09"/>
    <w:rsid w:val="00F92C62"/>
    <w:rsid w:val="00F932D5"/>
    <w:rsid w:val="00F9330E"/>
    <w:rsid w:val="00F941DD"/>
    <w:rsid w:val="00F94372"/>
    <w:rsid w:val="00F9473C"/>
    <w:rsid w:val="00F94968"/>
    <w:rsid w:val="00F94F35"/>
    <w:rsid w:val="00F9509E"/>
    <w:rsid w:val="00F950D4"/>
    <w:rsid w:val="00F95A09"/>
    <w:rsid w:val="00F96782"/>
    <w:rsid w:val="00F972C1"/>
    <w:rsid w:val="00FA0074"/>
    <w:rsid w:val="00FA1553"/>
    <w:rsid w:val="00FA2F6A"/>
    <w:rsid w:val="00FA3CF1"/>
    <w:rsid w:val="00FA3CF7"/>
    <w:rsid w:val="00FA3F6E"/>
    <w:rsid w:val="00FA55E5"/>
    <w:rsid w:val="00FA5A55"/>
    <w:rsid w:val="00FA7232"/>
    <w:rsid w:val="00FB0122"/>
    <w:rsid w:val="00FB220A"/>
    <w:rsid w:val="00FB29A7"/>
    <w:rsid w:val="00FB2E48"/>
    <w:rsid w:val="00FB5555"/>
    <w:rsid w:val="00FB6124"/>
    <w:rsid w:val="00FB61C8"/>
    <w:rsid w:val="00FB635A"/>
    <w:rsid w:val="00FB64F3"/>
    <w:rsid w:val="00FB7291"/>
    <w:rsid w:val="00FB789E"/>
    <w:rsid w:val="00FB7960"/>
    <w:rsid w:val="00FB7CF8"/>
    <w:rsid w:val="00FC08EC"/>
    <w:rsid w:val="00FC0A5C"/>
    <w:rsid w:val="00FC0C0B"/>
    <w:rsid w:val="00FC10C9"/>
    <w:rsid w:val="00FC14BC"/>
    <w:rsid w:val="00FC19CE"/>
    <w:rsid w:val="00FC2236"/>
    <w:rsid w:val="00FC26CF"/>
    <w:rsid w:val="00FC402B"/>
    <w:rsid w:val="00FC4270"/>
    <w:rsid w:val="00FC4999"/>
    <w:rsid w:val="00FC572B"/>
    <w:rsid w:val="00FC6743"/>
    <w:rsid w:val="00FC6786"/>
    <w:rsid w:val="00FC6E2A"/>
    <w:rsid w:val="00FC7E62"/>
    <w:rsid w:val="00FD00B5"/>
    <w:rsid w:val="00FD0295"/>
    <w:rsid w:val="00FD0338"/>
    <w:rsid w:val="00FD1088"/>
    <w:rsid w:val="00FD1D90"/>
    <w:rsid w:val="00FD3D5C"/>
    <w:rsid w:val="00FD3DA7"/>
    <w:rsid w:val="00FD4D6F"/>
    <w:rsid w:val="00FD50A0"/>
    <w:rsid w:val="00FD5524"/>
    <w:rsid w:val="00FD5DD3"/>
    <w:rsid w:val="00FD68C2"/>
    <w:rsid w:val="00FD7AE2"/>
    <w:rsid w:val="00FE1761"/>
    <w:rsid w:val="00FE2225"/>
    <w:rsid w:val="00FE2E59"/>
    <w:rsid w:val="00FE3332"/>
    <w:rsid w:val="00FE37EF"/>
    <w:rsid w:val="00FE4346"/>
    <w:rsid w:val="00FE455A"/>
    <w:rsid w:val="00FE4EB5"/>
    <w:rsid w:val="00FE6915"/>
    <w:rsid w:val="00FE7FB0"/>
    <w:rsid w:val="00FF0E59"/>
    <w:rsid w:val="00FF1096"/>
    <w:rsid w:val="00FF6C26"/>
    <w:rsid w:val="00FF6E9B"/>
    <w:rsid w:val="00FF7AC6"/>
    <w:rsid w:val="018F1A08"/>
    <w:rsid w:val="033F683B"/>
    <w:rsid w:val="043013E0"/>
    <w:rsid w:val="05304BAC"/>
    <w:rsid w:val="05765502"/>
    <w:rsid w:val="061C0CA8"/>
    <w:rsid w:val="062C280A"/>
    <w:rsid w:val="06D67825"/>
    <w:rsid w:val="07215040"/>
    <w:rsid w:val="07285B25"/>
    <w:rsid w:val="07BB05D6"/>
    <w:rsid w:val="07C0798B"/>
    <w:rsid w:val="08417FA7"/>
    <w:rsid w:val="0942292F"/>
    <w:rsid w:val="0A632019"/>
    <w:rsid w:val="0AAE62EE"/>
    <w:rsid w:val="0B306A87"/>
    <w:rsid w:val="0B4F7A0A"/>
    <w:rsid w:val="0C2627C8"/>
    <w:rsid w:val="0D2701B4"/>
    <w:rsid w:val="0D527F09"/>
    <w:rsid w:val="0DDC3A66"/>
    <w:rsid w:val="0DEB1627"/>
    <w:rsid w:val="0DFE385A"/>
    <w:rsid w:val="0E846E29"/>
    <w:rsid w:val="0EC360FD"/>
    <w:rsid w:val="0F202505"/>
    <w:rsid w:val="0F3F675E"/>
    <w:rsid w:val="0F4933A8"/>
    <w:rsid w:val="0FA5118C"/>
    <w:rsid w:val="101F3294"/>
    <w:rsid w:val="10554E67"/>
    <w:rsid w:val="10756CB1"/>
    <w:rsid w:val="109C4CD3"/>
    <w:rsid w:val="10A03A77"/>
    <w:rsid w:val="11364558"/>
    <w:rsid w:val="11473D3D"/>
    <w:rsid w:val="11B8588C"/>
    <w:rsid w:val="11F62ADD"/>
    <w:rsid w:val="121438CE"/>
    <w:rsid w:val="136F5E09"/>
    <w:rsid w:val="13E1581F"/>
    <w:rsid w:val="140756CA"/>
    <w:rsid w:val="14135CE9"/>
    <w:rsid w:val="14292D22"/>
    <w:rsid w:val="143F7994"/>
    <w:rsid w:val="14556E24"/>
    <w:rsid w:val="145C09B6"/>
    <w:rsid w:val="1534197E"/>
    <w:rsid w:val="15445FB3"/>
    <w:rsid w:val="15AC68D1"/>
    <w:rsid w:val="15C06233"/>
    <w:rsid w:val="15E564DA"/>
    <w:rsid w:val="16B54D41"/>
    <w:rsid w:val="19107E5B"/>
    <w:rsid w:val="196938FF"/>
    <w:rsid w:val="19DA1C88"/>
    <w:rsid w:val="1A09059C"/>
    <w:rsid w:val="1A1B1771"/>
    <w:rsid w:val="1A595A62"/>
    <w:rsid w:val="1B574A59"/>
    <w:rsid w:val="1C8C3FCD"/>
    <w:rsid w:val="1D8F18A8"/>
    <w:rsid w:val="1E4578B6"/>
    <w:rsid w:val="1F3A0188"/>
    <w:rsid w:val="200D34F7"/>
    <w:rsid w:val="228639D1"/>
    <w:rsid w:val="22BD3DDC"/>
    <w:rsid w:val="2368442E"/>
    <w:rsid w:val="237A6685"/>
    <w:rsid w:val="23A50732"/>
    <w:rsid w:val="24180599"/>
    <w:rsid w:val="24D470B2"/>
    <w:rsid w:val="25592D3B"/>
    <w:rsid w:val="25714518"/>
    <w:rsid w:val="25AD64F9"/>
    <w:rsid w:val="25F25922"/>
    <w:rsid w:val="26D959CA"/>
    <w:rsid w:val="272D10FC"/>
    <w:rsid w:val="277245D4"/>
    <w:rsid w:val="28114720"/>
    <w:rsid w:val="28CF63F4"/>
    <w:rsid w:val="29326DC7"/>
    <w:rsid w:val="29497F97"/>
    <w:rsid w:val="296A57B2"/>
    <w:rsid w:val="29790544"/>
    <w:rsid w:val="29F26F2A"/>
    <w:rsid w:val="2A144AD2"/>
    <w:rsid w:val="2B4179B6"/>
    <w:rsid w:val="2BC16C32"/>
    <w:rsid w:val="2C85746B"/>
    <w:rsid w:val="2CC855D1"/>
    <w:rsid w:val="2D9B2332"/>
    <w:rsid w:val="2DCC06F5"/>
    <w:rsid w:val="2DDD422B"/>
    <w:rsid w:val="2E3D6939"/>
    <w:rsid w:val="2E84548B"/>
    <w:rsid w:val="2F2B1A5B"/>
    <w:rsid w:val="2FC54E5F"/>
    <w:rsid w:val="2FC9681B"/>
    <w:rsid w:val="31014D28"/>
    <w:rsid w:val="31CC7623"/>
    <w:rsid w:val="32F84944"/>
    <w:rsid w:val="333F17C2"/>
    <w:rsid w:val="34B250B0"/>
    <w:rsid w:val="34E62D8C"/>
    <w:rsid w:val="35FB623F"/>
    <w:rsid w:val="366E3B3C"/>
    <w:rsid w:val="370F0BCD"/>
    <w:rsid w:val="3715098A"/>
    <w:rsid w:val="377C6EFA"/>
    <w:rsid w:val="38CA4224"/>
    <w:rsid w:val="38E47094"/>
    <w:rsid w:val="39157688"/>
    <w:rsid w:val="39322FCA"/>
    <w:rsid w:val="3A1844F4"/>
    <w:rsid w:val="3A315C33"/>
    <w:rsid w:val="3A6D3B0C"/>
    <w:rsid w:val="3A922B1F"/>
    <w:rsid w:val="3B1209F3"/>
    <w:rsid w:val="3B144638"/>
    <w:rsid w:val="3B410E79"/>
    <w:rsid w:val="3B5878C5"/>
    <w:rsid w:val="3BA011E5"/>
    <w:rsid w:val="3BE22C01"/>
    <w:rsid w:val="3C547501"/>
    <w:rsid w:val="3C5C5F5C"/>
    <w:rsid w:val="3CA66F12"/>
    <w:rsid w:val="3E596370"/>
    <w:rsid w:val="3EF913BF"/>
    <w:rsid w:val="3FBC6BAA"/>
    <w:rsid w:val="3FE80AD9"/>
    <w:rsid w:val="40865941"/>
    <w:rsid w:val="416318D4"/>
    <w:rsid w:val="417F239B"/>
    <w:rsid w:val="41F25792"/>
    <w:rsid w:val="42974085"/>
    <w:rsid w:val="444F3EA9"/>
    <w:rsid w:val="452B5932"/>
    <w:rsid w:val="45497D2B"/>
    <w:rsid w:val="45820476"/>
    <w:rsid w:val="45C11FF3"/>
    <w:rsid w:val="47775AD7"/>
    <w:rsid w:val="47B916EB"/>
    <w:rsid w:val="4933142E"/>
    <w:rsid w:val="49A773FE"/>
    <w:rsid w:val="4A1F4764"/>
    <w:rsid w:val="4A441B1A"/>
    <w:rsid w:val="4B0D67DA"/>
    <w:rsid w:val="4B104729"/>
    <w:rsid w:val="4B561588"/>
    <w:rsid w:val="4B5A2526"/>
    <w:rsid w:val="4B99588D"/>
    <w:rsid w:val="4C556343"/>
    <w:rsid w:val="4CAC01DB"/>
    <w:rsid w:val="4CBA6D83"/>
    <w:rsid w:val="4EA24A37"/>
    <w:rsid w:val="4EBF1908"/>
    <w:rsid w:val="50BE485B"/>
    <w:rsid w:val="50EF21DE"/>
    <w:rsid w:val="50FC6397"/>
    <w:rsid w:val="513C4424"/>
    <w:rsid w:val="51CE7479"/>
    <w:rsid w:val="522D2509"/>
    <w:rsid w:val="524C78DF"/>
    <w:rsid w:val="52FE5AB1"/>
    <w:rsid w:val="53DA317B"/>
    <w:rsid w:val="54103AAC"/>
    <w:rsid w:val="54455AEF"/>
    <w:rsid w:val="5482205B"/>
    <w:rsid w:val="549A5B63"/>
    <w:rsid w:val="54C50A10"/>
    <w:rsid w:val="55190490"/>
    <w:rsid w:val="554C03ED"/>
    <w:rsid w:val="55A7171D"/>
    <w:rsid w:val="55DB13C7"/>
    <w:rsid w:val="56A01764"/>
    <w:rsid w:val="57096E9F"/>
    <w:rsid w:val="57CD7FAB"/>
    <w:rsid w:val="57D5394B"/>
    <w:rsid w:val="59125B5B"/>
    <w:rsid w:val="5A5B099B"/>
    <w:rsid w:val="5B5D0625"/>
    <w:rsid w:val="5B5D3146"/>
    <w:rsid w:val="5E653E57"/>
    <w:rsid w:val="5EDC31F2"/>
    <w:rsid w:val="5F6B5569"/>
    <w:rsid w:val="5FD6799D"/>
    <w:rsid w:val="60915A2A"/>
    <w:rsid w:val="60F8252D"/>
    <w:rsid w:val="621E6BB3"/>
    <w:rsid w:val="62350B41"/>
    <w:rsid w:val="629F59D2"/>
    <w:rsid w:val="630D7589"/>
    <w:rsid w:val="63C64EB3"/>
    <w:rsid w:val="648D0D03"/>
    <w:rsid w:val="65035E40"/>
    <w:rsid w:val="66C24EF1"/>
    <w:rsid w:val="66CC0AAD"/>
    <w:rsid w:val="67A41618"/>
    <w:rsid w:val="689A3E47"/>
    <w:rsid w:val="689F1CB4"/>
    <w:rsid w:val="68AE5B14"/>
    <w:rsid w:val="691014D3"/>
    <w:rsid w:val="697A70E8"/>
    <w:rsid w:val="6A4B47BB"/>
    <w:rsid w:val="6AB96073"/>
    <w:rsid w:val="6B0845B4"/>
    <w:rsid w:val="6B912F3A"/>
    <w:rsid w:val="6BCC359A"/>
    <w:rsid w:val="6D515C31"/>
    <w:rsid w:val="6D870C0C"/>
    <w:rsid w:val="6EA339BF"/>
    <w:rsid w:val="6F207AEE"/>
    <w:rsid w:val="6F9D1206"/>
    <w:rsid w:val="70495C48"/>
    <w:rsid w:val="70550787"/>
    <w:rsid w:val="7086429A"/>
    <w:rsid w:val="70C03EA1"/>
    <w:rsid w:val="710A6D7C"/>
    <w:rsid w:val="72147D8C"/>
    <w:rsid w:val="721C1710"/>
    <w:rsid w:val="72684F31"/>
    <w:rsid w:val="72C735DA"/>
    <w:rsid w:val="73573553"/>
    <w:rsid w:val="73AF3213"/>
    <w:rsid w:val="74171020"/>
    <w:rsid w:val="7461635C"/>
    <w:rsid w:val="74FF083E"/>
    <w:rsid w:val="75033A86"/>
    <w:rsid w:val="75AD133B"/>
    <w:rsid w:val="75D557EB"/>
    <w:rsid w:val="760333B2"/>
    <w:rsid w:val="76D6569E"/>
    <w:rsid w:val="77106AAF"/>
    <w:rsid w:val="7722680D"/>
    <w:rsid w:val="777D0D1B"/>
    <w:rsid w:val="77F730CE"/>
    <w:rsid w:val="78204054"/>
    <w:rsid w:val="78254F2C"/>
    <w:rsid w:val="789E1E5D"/>
    <w:rsid w:val="7A5114CD"/>
    <w:rsid w:val="7AE24C58"/>
    <w:rsid w:val="7BC62B6D"/>
    <w:rsid w:val="7CF56221"/>
    <w:rsid w:val="7D353CCF"/>
    <w:rsid w:val="7EB65FCC"/>
    <w:rsid w:val="7F99647A"/>
    <w:rsid w:val="7F9A2311"/>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autoRedefine/>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autoRedefine/>
    <w:qFormat/>
    <w:uiPriority w:val="99"/>
    <w:pPr>
      <w:keepNext/>
      <w:keepLines/>
      <w:snapToGrid w:val="0"/>
      <w:spacing w:beforeLines="100" w:afterLines="100" w:line="416" w:lineRule="auto"/>
      <w:ind w:right="210" w:rightChars="100"/>
      <w:outlineLvl w:val="1"/>
    </w:pPr>
    <w:rPr>
      <w:rFonts w:ascii="Arial" w:hAnsi="宋体" w:eastAsia="黑体"/>
      <w:bCs/>
      <w:sz w:val="24"/>
    </w:rPr>
  </w:style>
  <w:style w:type="paragraph" w:styleId="5">
    <w:name w:val="heading 3"/>
    <w:basedOn w:val="1"/>
    <w:next w:val="6"/>
    <w:link w:val="66"/>
    <w:autoRedefine/>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7">
    <w:name w:val="heading 4"/>
    <w:basedOn w:val="1"/>
    <w:next w:val="1"/>
    <w:autoRedefine/>
    <w:qFormat/>
    <w:uiPriority w:val="0"/>
    <w:pPr>
      <w:keepNext/>
      <w:outlineLvl w:val="3"/>
    </w:pPr>
    <w:rPr>
      <w:sz w:val="28"/>
      <w:szCs w:val="20"/>
    </w:rPr>
  </w:style>
  <w:style w:type="paragraph" w:styleId="8">
    <w:name w:val="heading 5"/>
    <w:basedOn w:val="1"/>
    <w:next w:val="1"/>
    <w:autoRedefine/>
    <w:qFormat/>
    <w:uiPriority w:val="0"/>
    <w:pPr>
      <w:keepNext/>
      <w:keepLines/>
      <w:spacing w:before="280" w:after="290" w:line="376" w:lineRule="auto"/>
      <w:outlineLvl w:val="4"/>
    </w:pPr>
    <w:rPr>
      <w:b/>
      <w:bCs/>
      <w:sz w:val="28"/>
      <w:szCs w:val="28"/>
    </w:rPr>
  </w:style>
  <w:style w:type="paragraph" w:styleId="9">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autoRedefine/>
    <w:qFormat/>
    <w:uiPriority w:val="99"/>
    <w:pPr>
      <w:keepNext/>
      <w:keepLines/>
      <w:spacing w:before="240" w:after="64" w:line="320" w:lineRule="auto"/>
      <w:outlineLvl w:val="6"/>
    </w:pPr>
    <w:rPr>
      <w:b/>
      <w:bCs/>
      <w:sz w:val="24"/>
    </w:rPr>
  </w:style>
  <w:style w:type="paragraph" w:styleId="11">
    <w:name w:val="heading 8"/>
    <w:basedOn w:val="1"/>
    <w:next w:val="1"/>
    <w:autoRedefine/>
    <w:qFormat/>
    <w:uiPriority w:val="99"/>
    <w:pPr>
      <w:keepNext/>
      <w:keepLines/>
      <w:spacing w:before="240" w:after="64" w:line="320" w:lineRule="auto"/>
      <w:outlineLvl w:val="7"/>
    </w:pPr>
    <w:rPr>
      <w:rFonts w:ascii="Arial" w:hAnsi="Arial" w:eastAsia="黑体"/>
      <w:sz w:val="24"/>
    </w:rPr>
  </w:style>
  <w:style w:type="paragraph" w:styleId="12">
    <w:name w:val="heading 9"/>
    <w:basedOn w:val="1"/>
    <w:next w:val="1"/>
    <w:autoRedefine/>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unhideWhenUsed/>
    <w:qFormat/>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1"/>
    <w:autoRedefine/>
    <w:qFormat/>
    <w:uiPriority w:val="99"/>
    <w:rPr>
      <w:sz w:val="28"/>
      <w:szCs w:val="20"/>
    </w:rPr>
  </w:style>
  <w:style w:type="paragraph" w:styleId="6">
    <w:name w:val="Normal Indent"/>
    <w:basedOn w:val="1"/>
    <w:link w:val="67"/>
    <w:autoRedefine/>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3">
    <w:name w:val="toc 7"/>
    <w:basedOn w:val="1"/>
    <w:next w:val="1"/>
    <w:autoRedefine/>
    <w:unhideWhenUsed/>
    <w:qFormat/>
    <w:uiPriority w:val="99"/>
    <w:pPr>
      <w:ind w:left="2520" w:leftChars="1200"/>
    </w:pPr>
    <w:rPr>
      <w:rFonts w:ascii="Calibri" w:hAnsi="Calibri"/>
      <w:szCs w:val="22"/>
    </w:rPr>
  </w:style>
  <w:style w:type="paragraph" w:styleId="14">
    <w:name w:val="List Number 2"/>
    <w:basedOn w:val="1"/>
    <w:autoRedefine/>
    <w:qFormat/>
    <w:uiPriority w:val="99"/>
    <w:pPr>
      <w:widowControl/>
      <w:tabs>
        <w:tab w:val="left" w:pos="720"/>
      </w:tabs>
      <w:ind w:left="720" w:hanging="360"/>
    </w:pPr>
    <w:rPr>
      <w:rFonts w:ascii="Arial" w:hAnsi="Arial"/>
      <w:kern w:val="0"/>
      <w:sz w:val="20"/>
      <w:szCs w:val="20"/>
      <w:lang w:eastAsia="en-US"/>
    </w:rPr>
  </w:style>
  <w:style w:type="paragraph" w:styleId="15">
    <w:name w:val="List Bullet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16">
    <w:name w:val="List Number"/>
    <w:basedOn w:val="1"/>
    <w:autoRedefine/>
    <w:qFormat/>
    <w:uiPriority w:val="99"/>
    <w:pPr>
      <w:tabs>
        <w:tab w:val="left" w:pos="360"/>
      </w:tabs>
      <w:ind w:left="360" w:hanging="200" w:hangingChars="200"/>
    </w:pPr>
  </w:style>
  <w:style w:type="paragraph" w:styleId="17">
    <w:name w:val="List Bullet"/>
    <w:basedOn w:val="1"/>
    <w:autoRedefine/>
    <w:qFormat/>
    <w:uiPriority w:val="99"/>
    <w:pPr>
      <w:tabs>
        <w:tab w:val="left" w:pos="360"/>
      </w:tabs>
      <w:ind w:left="360" w:hanging="360"/>
    </w:pPr>
    <w:rPr>
      <w:sz w:val="24"/>
    </w:rPr>
  </w:style>
  <w:style w:type="paragraph" w:styleId="18">
    <w:name w:val="Document Map"/>
    <w:basedOn w:val="1"/>
    <w:link w:val="68"/>
    <w:autoRedefine/>
    <w:semiHidden/>
    <w:qFormat/>
    <w:uiPriority w:val="99"/>
    <w:rPr>
      <w:rFonts w:ascii="宋体"/>
      <w:sz w:val="18"/>
      <w:szCs w:val="18"/>
    </w:rPr>
  </w:style>
  <w:style w:type="paragraph" w:styleId="19">
    <w:name w:val="annotation text"/>
    <w:basedOn w:val="1"/>
    <w:link w:val="69"/>
    <w:autoRedefine/>
    <w:qFormat/>
    <w:uiPriority w:val="0"/>
    <w:pPr>
      <w:jc w:val="left"/>
    </w:pPr>
    <w:rPr>
      <w:szCs w:val="20"/>
    </w:rPr>
  </w:style>
  <w:style w:type="paragraph" w:styleId="20">
    <w:name w:val="Body Text 3"/>
    <w:basedOn w:val="1"/>
    <w:link w:val="70"/>
    <w:autoRedefine/>
    <w:qFormat/>
    <w:uiPriority w:val="99"/>
    <w:pPr>
      <w:spacing w:after="120"/>
    </w:pPr>
    <w:rPr>
      <w:sz w:val="16"/>
      <w:szCs w:val="16"/>
    </w:rPr>
  </w:style>
  <w:style w:type="paragraph" w:styleId="21">
    <w:name w:val="List Bullet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2">
    <w:name w:val="Body Text Indent"/>
    <w:basedOn w:val="1"/>
    <w:link w:val="62"/>
    <w:autoRedefine/>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autoRedefine/>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autoRedefine/>
    <w:qFormat/>
    <w:uiPriority w:val="0"/>
    <w:pPr>
      <w:ind w:left="100" w:leftChars="200" w:hanging="200" w:hangingChars="200"/>
    </w:pPr>
  </w:style>
  <w:style w:type="paragraph" w:styleId="25">
    <w:name w:val="List Bullet 2"/>
    <w:basedOn w:val="1"/>
    <w:next w:val="26"/>
    <w:autoRedefine/>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
    <w:link w:val="72"/>
    <w:autoRedefine/>
    <w:qFormat/>
    <w:uiPriority w:val="99"/>
    <w:pPr>
      <w:spacing w:after="120"/>
      <w:ind w:firstLine="210" w:firstLineChars="100"/>
    </w:pPr>
    <w:rPr>
      <w:kern w:val="0"/>
      <w:sz w:val="20"/>
    </w:rPr>
  </w:style>
  <w:style w:type="paragraph" w:styleId="27">
    <w:name w:val="toc 5"/>
    <w:basedOn w:val="1"/>
    <w:next w:val="1"/>
    <w:autoRedefine/>
    <w:unhideWhenUsed/>
    <w:qFormat/>
    <w:uiPriority w:val="99"/>
    <w:pPr>
      <w:ind w:left="1680" w:leftChars="800"/>
    </w:pPr>
    <w:rPr>
      <w:rFonts w:ascii="Calibri" w:hAnsi="Calibri"/>
      <w:szCs w:val="22"/>
    </w:rPr>
  </w:style>
  <w:style w:type="paragraph" w:styleId="28">
    <w:name w:val="toc 3"/>
    <w:basedOn w:val="1"/>
    <w:next w:val="1"/>
    <w:autoRedefine/>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autoRedefine/>
    <w:qFormat/>
    <w:uiPriority w:val="0"/>
    <w:rPr>
      <w:rFonts w:ascii="宋体" w:hAnsi="Courier New"/>
      <w:szCs w:val="20"/>
    </w:rPr>
  </w:style>
  <w:style w:type="paragraph" w:styleId="30">
    <w:name w:val="List Bullet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autoRedefine/>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autoRedefine/>
    <w:unhideWhenUsed/>
    <w:qFormat/>
    <w:uiPriority w:val="99"/>
    <w:pPr>
      <w:ind w:left="2940" w:leftChars="1400"/>
    </w:pPr>
    <w:rPr>
      <w:rFonts w:ascii="Calibri" w:hAnsi="Calibri"/>
      <w:szCs w:val="22"/>
    </w:rPr>
  </w:style>
  <w:style w:type="paragraph" w:styleId="33">
    <w:name w:val="Date"/>
    <w:basedOn w:val="1"/>
    <w:next w:val="1"/>
    <w:link w:val="73"/>
    <w:autoRedefine/>
    <w:qFormat/>
    <w:uiPriority w:val="99"/>
    <w:pPr>
      <w:ind w:left="100" w:leftChars="2500"/>
    </w:pPr>
    <w:rPr>
      <w:szCs w:val="20"/>
    </w:rPr>
  </w:style>
  <w:style w:type="paragraph" w:styleId="34">
    <w:name w:val="Body Text Indent 2"/>
    <w:basedOn w:val="1"/>
    <w:autoRedefine/>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autoRedefine/>
    <w:qFormat/>
    <w:uiPriority w:val="99"/>
    <w:rPr>
      <w:sz w:val="18"/>
      <w:szCs w:val="18"/>
    </w:rPr>
  </w:style>
  <w:style w:type="paragraph" w:styleId="36">
    <w:name w:val="footer"/>
    <w:basedOn w:val="1"/>
    <w:link w:val="75"/>
    <w:autoRedefine/>
    <w:qFormat/>
    <w:uiPriority w:val="99"/>
    <w:pPr>
      <w:tabs>
        <w:tab w:val="center" w:pos="4153"/>
        <w:tab w:val="right" w:pos="8306"/>
      </w:tabs>
      <w:snapToGrid w:val="0"/>
      <w:jc w:val="left"/>
    </w:pPr>
    <w:rPr>
      <w:sz w:val="18"/>
      <w:szCs w:val="18"/>
    </w:rPr>
  </w:style>
  <w:style w:type="paragraph" w:styleId="37">
    <w:name w:val="header"/>
    <w:basedOn w:val="1"/>
    <w:link w:val="76"/>
    <w:autoRedefine/>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autoRedefine/>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autoRedefine/>
    <w:unhideWhenUsed/>
    <w:qFormat/>
    <w:uiPriority w:val="99"/>
    <w:pPr>
      <w:ind w:left="1260" w:leftChars="600"/>
    </w:pPr>
    <w:rPr>
      <w:rFonts w:ascii="Calibri" w:hAnsi="Calibri"/>
      <w:szCs w:val="22"/>
    </w:rPr>
  </w:style>
  <w:style w:type="paragraph" w:styleId="40">
    <w:name w:val="index heading"/>
    <w:basedOn w:val="1"/>
    <w:next w:val="41"/>
    <w:autoRedefine/>
    <w:qFormat/>
    <w:uiPriority w:val="0"/>
    <w:pPr>
      <w:adjustRightInd w:val="0"/>
      <w:spacing w:line="312" w:lineRule="atLeast"/>
      <w:textAlignment w:val="baseline"/>
    </w:pPr>
    <w:rPr>
      <w:kern w:val="0"/>
      <w:szCs w:val="20"/>
    </w:rPr>
  </w:style>
  <w:style w:type="paragraph" w:styleId="41">
    <w:name w:val="index 1"/>
    <w:basedOn w:val="1"/>
    <w:next w:val="1"/>
    <w:autoRedefine/>
    <w:unhideWhenUsed/>
    <w:qFormat/>
    <w:uiPriority w:val="99"/>
  </w:style>
  <w:style w:type="paragraph" w:styleId="42">
    <w:name w:val="Subtitle"/>
    <w:basedOn w:val="1"/>
    <w:next w:val="1"/>
    <w:link w:val="77"/>
    <w:autoRedefine/>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autoRedefine/>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autoRedefine/>
    <w:unhideWhenUsed/>
    <w:qFormat/>
    <w:uiPriority w:val="99"/>
    <w:pPr>
      <w:ind w:left="2100" w:leftChars="1000"/>
    </w:pPr>
    <w:rPr>
      <w:rFonts w:ascii="Calibri" w:hAnsi="Calibri"/>
      <w:szCs w:val="22"/>
    </w:rPr>
  </w:style>
  <w:style w:type="paragraph" w:styleId="45">
    <w:name w:val="Body Text Indent 3"/>
    <w:basedOn w:val="1"/>
    <w:autoRedefine/>
    <w:qFormat/>
    <w:uiPriority w:val="99"/>
    <w:pPr>
      <w:spacing w:after="120" w:line="360" w:lineRule="atLeast"/>
      <w:ind w:firstLine="720" w:firstLineChars="300"/>
    </w:pPr>
    <w:rPr>
      <w:sz w:val="24"/>
      <w:szCs w:val="20"/>
    </w:rPr>
  </w:style>
  <w:style w:type="paragraph" w:styleId="46">
    <w:name w:val="toc 2"/>
    <w:basedOn w:val="1"/>
    <w:next w:val="1"/>
    <w:autoRedefine/>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autoRedefine/>
    <w:unhideWhenUsed/>
    <w:qFormat/>
    <w:uiPriority w:val="99"/>
    <w:pPr>
      <w:ind w:left="3360" w:leftChars="1600"/>
    </w:pPr>
    <w:rPr>
      <w:rFonts w:ascii="Calibri" w:hAnsi="Calibri"/>
      <w:szCs w:val="22"/>
    </w:rPr>
  </w:style>
  <w:style w:type="paragraph" w:styleId="48">
    <w:name w:val="Body Text 2"/>
    <w:basedOn w:val="1"/>
    <w:link w:val="78"/>
    <w:autoRedefine/>
    <w:qFormat/>
    <w:uiPriority w:val="99"/>
    <w:rPr>
      <w:color w:val="FF0000"/>
      <w:kern w:val="0"/>
      <w:sz w:val="20"/>
      <w:szCs w:val="20"/>
    </w:rPr>
  </w:style>
  <w:style w:type="paragraph" w:styleId="49">
    <w:name w:val="Normal (Web)"/>
    <w:basedOn w:val="1"/>
    <w:autoRedefine/>
    <w:qFormat/>
    <w:uiPriority w:val="99"/>
    <w:rPr>
      <w:sz w:val="24"/>
    </w:rPr>
  </w:style>
  <w:style w:type="paragraph" w:styleId="50">
    <w:name w:val="Title"/>
    <w:basedOn w:val="1"/>
    <w:next w:val="1"/>
    <w:autoRedefine/>
    <w:qFormat/>
    <w:uiPriority w:val="0"/>
    <w:pPr>
      <w:spacing w:before="240" w:after="60"/>
      <w:jc w:val="center"/>
      <w:outlineLvl w:val="0"/>
    </w:pPr>
    <w:rPr>
      <w:rFonts w:ascii="Cambria" w:hAnsi="Cambria"/>
      <w:b/>
      <w:bCs/>
      <w:sz w:val="32"/>
      <w:szCs w:val="32"/>
    </w:rPr>
  </w:style>
  <w:style w:type="paragraph" w:styleId="51">
    <w:name w:val="annotation subject"/>
    <w:basedOn w:val="19"/>
    <w:next w:val="19"/>
    <w:link w:val="79"/>
    <w:autoRedefine/>
    <w:semiHidden/>
    <w:qFormat/>
    <w:uiPriority w:val="99"/>
    <w:rPr>
      <w:b/>
      <w:bCs/>
    </w:rPr>
  </w:style>
  <w:style w:type="paragraph" w:styleId="52">
    <w:name w:val="Body Text First Indent 2"/>
    <w:basedOn w:val="22"/>
    <w:link w:val="63"/>
    <w:autoRedefine/>
    <w:unhideWhenUsed/>
    <w:qFormat/>
    <w:uiPriority w:val="99"/>
    <w:pPr>
      <w:ind w:firstLine="420" w:firstLineChars="200"/>
    </w:pPr>
  </w:style>
  <w:style w:type="table" w:styleId="54">
    <w:name w:val="Table Grid"/>
    <w:basedOn w:val="5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6">
    <w:name w:val="Strong"/>
    <w:autoRedefine/>
    <w:qFormat/>
    <w:uiPriority w:val="99"/>
    <w:rPr>
      <w:b/>
      <w:bCs/>
    </w:rPr>
  </w:style>
  <w:style w:type="character" w:styleId="57">
    <w:name w:val="page number"/>
    <w:autoRedefine/>
    <w:qFormat/>
    <w:uiPriority w:val="99"/>
  </w:style>
  <w:style w:type="character" w:styleId="58">
    <w:name w:val="FollowedHyperlink"/>
    <w:autoRedefine/>
    <w:qFormat/>
    <w:uiPriority w:val="99"/>
    <w:rPr>
      <w:color w:val="800080"/>
      <w:u w:val="single"/>
    </w:rPr>
  </w:style>
  <w:style w:type="character" w:styleId="59">
    <w:name w:val="Emphasis"/>
    <w:autoRedefine/>
    <w:qFormat/>
    <w:uiPriority w:val="20"/>
    <w:rPr>
      <w:i/>
      <w:iCs/>
    </w:rPr>
  </w:style>
  <w:style w:type="character" w:styleId="60">
    <w:name w:val="Hyperlink"/>
    <w:autoRedefine/>
    <w:unhideWhenUsed/>
    <w:qFormat/>
    <w:uiPriority w:val="99"/>
    <w:rPr>
      <w:color w:val="0000FF"/>
      <w:u w:val="single"/>
    </w:rPr>
  </w:style>
  <w:style w:type="character" w:styleId="61">
    <w:name w:val="annotation reference"/>
    <w:autoRedefine/>
    <w:qFormat/>
    <w:uiPriority w:val="0"/>
    <w:rPr>
      <w:sz w:val="21"/>
      <w:szCs w:val="21"/>
    </w:rPr>
  </w:style>
  <w:style w:type="character" w:customStyle="1" w:styleId="62">
    <w:name w:val="正文文本缩进 Char1"/>
    <w:link w:val="22"/>
    <w:autoRedefine/>
    <w:qFormat/>
    <w:uiPriority w:val="0"/>
    <w:rPr>
      <w:rFonts w:ascii="楷体_GB2312" w:eastAsia="楷体_GB2312"/>
      <w:sz w:val="28"/>
    </w:rPr>
  </w:style>
  <w:style w:type="character" w:customStyle="1" w:styleId="63">
    <w:name w:val="正文首行缩进 2 Char"/>
    <w:link w:val="52"/>
    <w:autoRedefine/>
    <w:qFormat/>
    <w:uiPriority w:val="99"/>
    <w:rPr>
      <w:rFonts w:ascii="楷体_GB2312" w:eastAsia="楷体_GB2312"/>
      <w:sz w:val="28"/>
    </w:rPr>
  </w:style>
  <w:style w:type="character" w:customStyle="1" w:styleId="64">
    <w:name w:val="标题 1 Char1"/>
    <w:link w:val="3"/>
    <w:autoRedefine/>
    <w:qFormat/>
    <w:uiPriority w:val="0"/>
    <w:rPr>
      <w:rFonts w:eastAsia="黑体"/>
      <w:bCs/>
      <w:kern w:val="44"/>
      <w:sz w:val="30"/>
      <w:szCs w:val="44"/>
    </w:rPr>
  </w:style>
  <w:style w:type="character" w:customStyle="1" w:styleId="65">
    <w:name w:val="标题 2 Char"/>
    <w:link w:val="4"/>
    <w:autoRedefine/>
    <w:qFormat/>
    <w:uiPriority w:val="99"/>
    <w:rPr>
      <w:rFonts w:ascii="Arial" w:hAnsi="宋体" w:eastAsia="黑体"/>
      <w:bCs/>
      <w:kern w:val="2"/>
      <w:sz w:val="24"/>
      <w:szCs w:val="24"/>
    </w:rPr>
  </w:style>
  <w:style w:type="character" w:customStyle="1" w:styleId="66">
    <w:name w:val="标题 3 Char"/>
    <w:link w:val="5"/>
    <w:autoRedefine/>
    <w:qFormat/>
    <w:uiPriority w:val="99"/>
    <w:rPr>
      <w:rFonts w:ascii="黑体" w:eastAsia="黑体"/>
      <w:sz w:val="28"/>
    </w:rPr>
  </w:style>
  <w:style w:type="character" w:customStyle="1" w:styleId="67">
    <w:name w:val="正文缩进 Char"/>
    <w:link w:val="6"/>
    <w:autoRedefine/>
    <w:qFormat/>
    <w:uiPriority w:val="0"/>
    <w:rPr>
      <w:rFonts w:ascii="楷体_GB2312" w:eastAsia="楷体_GB2312"/>
      <w:sz w:val="28"/>
    </w:rPr>
  </w:style>
  <w:style w:type="character" w:customStyle="1" w:styleId="68">
    <w:name w:val="文档结构图 Char"/>
    <w:link w:val="18"/>
    <w:autoRedefine/>
    <w:semiHidden/>
    <w:qFormat/>
    <w:uiPriority w:val="99"/>
    <w:rPr>
      <w:rFonts w:ascii="宋体"/>
      <w:kern w:val="2"/>
      <w:sz w:val="18"/>
      <w:szCs w:val="18"/>
    </w:rPr>
  </w:style>
  <w:style w:type="character" w:customStyle="1" w:styleId="69">
    <w:name w:val="批注文字 Char2"/>
    <w:link w:val="19"/>
    <w:autoRedefine/>
    <w:qFormat/>
    <w:uiPriority w:val="99"/>
    <w:rPr>
      <w:rFonts w:eastAsia="宋体"/>
      <w:kern w:val="2"/>
      <w:sz w:val="21"/>
      <w:lang w:val="en-US" w:eastAsia="zh-CN" w:bidi="ar-SA"/>
    </w:rPr>
  </w:style>
  <w:style w:type="character" w:customStyle="1" w:styleId="70">
    <w:name w:val="正文文本 3 Char"/>
    <w:link w:val="20"/>
    <w:autoRedefine/>
    <w:qFormat/>
    <w:uiPriority w:val="99"/>
    <w:rPr>
      <w:kern w:val="2"/>
      <w:sz w:val="16"/>
      <w:szCs w:val="16"/>
    </w:rPr>
  </w:style>
  <w:style w:type="character" w:customStyle="1" w:styleId="71">
    <w:name w:val="正文文本 Char1"/>
    <w:link w:val="2"/>
    <w:autoRedefine/>
    <w:qFormat/>
    <w:uiPriority w:val="0"/>
    <w:rPr>
      <w:kern w:val="2"/>
      <w:sz w:val="28"/>
    </w:rPr>
  </w:style>
  <w:style w:type="character" w:customStyle="1" w:styleId="72">
    <w:name w:val="正文首行缩进 Char"/>
    <w:link w:val="26"/>
    <w:autoRedefine/>
    <w:qFormat/>
    <w:locked/>
    <w:uiPriority w:val="99"/>
  </w:style>
  <w:style w:type="character" w:customStyle="1" w:styleId="73">
    <w:name w:val="日期 Char"/>
    <w:link w:val="33"/>
    <w:autoRedefine/>
    <w:qFormat/>
    <w:uiPriority w:val="99"/>
    <w:rPr>
      <w:kern w:val="2"/>
      <w:sz w:val="21"/>
    </w:rPr>
  </w:style>
  <w:style w:type="character" w:customStyle="1" w:styleId="74">
    <w:name w:val="批注框文本 Char"/>
    <w:link w:val="35"/>
    <w:autoRedefine/>
    <w:semiHidden/>
    <w:qFormat/>
    <w:uiPriority w:val="99"/>
    <w:rPr>
      <w:kern w:val="2"/>
      <w:sz w:val="18"/>
      <w:szCs w:val="18"/>
    </w:rPr>
  </w:style>
  <w:style w:type="character" w:customStyle="1" w:styleId="75">
    <w:name w:val="页脚 Char"/>
    <w:link w:val="36"/>
    <w:autoRedefine/>
    <w:qFormat/>
    <w:uiPriority w:val="99"/>
    <w:rPr>
      <w:kern w:val="2"/>
      <w:sz w:val="18"/>
      <w:szCs w:val="18"/>
    </w:rPr>
  </w:style>
  <w:style w:type="character" w:customStyle="1" w:styleId="76">
    <w:name w:val="页眉 Char"/>
    <w:link w:val="37"/>
    <w:autoRedefine/>
    <w:qFormat/>
    <w:uiPriority w:val="99"/>
    <w:rPr>
      <w:kern w:val="2"/>
      <w:sz w:val="18"/>
      <w:szCs w:val="18"/>
    </w:rPr>
  </w:style>
  <w:style w:type="character" w:customStyle="1" w:styleId="77">
    <w:name w:val="副标题 Char"/>
    <w:link w:val="42"/>
    <w:autoRedefine/>
    <w:qFormat/>
    <w:uiPriority w:val="0"/>
    <w:rPr>
      <w:rFonts w:ascii="Cambria" w:hAnsi="Cambria" w:cs="黑体"/>
      <w:b/>
      <w:bCs/>
      <w:kern w:val="28"/>
      <w:sz w:val="32"/>
      <w:szCs w:val="32"/>
    </w:rPr>
  </w:style>
  <w:style w:type="character" w:customStyle="1" w:styleId="78">
    <w:name w:val="正文文本 2 Char"/>
    <w:link w:val="48"/>
    <w:autoRedefine/>
    <w:qFormat/>
    <w:locked/>
    <w:uiPriority w:val="99"/>
    <w:rPr>
      <w:color w:val="FF0000"/>
    </w:rPr>
  </w:style>
  <w:style w:type="character" w:customStyle="1" w:styleId="79">
    <w:name w:val="批注主题 Char"/>
    <w:link w:val="51"/>
    <w:autoRedefine/>
    <w:qFormat/>
    <w:uiPriority w:val="99"/>
    <w:rPr>
      <w:rFonts w:eastAsia="宋体"/>
      <w:b/>
      <w:bCs/>
      <w:kern w:val="2"/>
      <w:sz w:val="21"/>
      <w:lang w:val="en-US" w:eastAsia="zh-CN" w:bidi="ar-SA"/>
    </w:rPr>
  </w:style>
  <w:style w:type="character" w:customStyle="1" w:styleId="80">
    <w:name w:val="标题 1 Char"/>
    <w:autoRedefine/>
    <w:qFormat/>
    <w:uiPriority w:val="0"/>
    <w:rPr>
      <w:rFonts w:ascii="黑体"/>
      <w:b/>
      <w:kern w:val="44"/>
      <w:sz w:val="32"/>
    </w:rPr>
  </w:style>
  <w:style w:type="character" w:customStyle="1" w:styleId="81">
    <w:name w:val="纯文本 Char"/>
    <w:autoRedefine/>
    <w:qFormat/>
    <w:uiPriority w:val="0"/>
    <w:rPr>
      <w:rFonts w:ascii="宋体" w:hAnsi="Courier New" w:eastAsia="宋体" w:cs="Times New Roman"/>
      <w:szCs w:val="20"/>
    </w:rPr>
  </w:style>
  <w:style w:type="character" w:customStyle="1" w:styleId="82">
    <w:name w:val="正文文本 Char"/>
    <w:autoRedefine/>
    <w:qFormat/>
    <w:uiPriority w:val="99"/>
    <w:rPr>
      <w:rFonts w:ascii="Times New Roman" w:hAnsi="Times New Roman" w:eastAsia="宋体" w:cs="Times New Roman"/>
      <w:sz w:val="28"/>
      <w:szCs w:val="20"/>
    </w:rPr>
  </w:style>
  <w:style w:type="character" w:customStyle="1" w:styleId="83">
    <w:name w:val="访问过的超链接1"/>
    <w:autoRedefine/>
    <w:qFormat/>
    <w:uiPriority w:val="0"/>
    <w:rPr>
      <w:color w:val="800080"/>
      <w:u w:val="single"/>
    </w:rPr>
  </w:style>
  <w:style w:type="character" w:customStyle="1" w:styleId="84">
    <w:name w:val="href"/>
    <w:autoRedefine/>
    <w:qFormat/>
    <w:uiPriority w:val="0"/>
    <w:rPr>
      <w:color w:val="0000FF"/>
      <w:u w:val="single"/>
    </w:rPr>
  </w:style>
  <w:style w:type="character" w:customStyle="1" w:styleId="85">
    <w:name w:val="first-child"/>
    <w:autoRedefine/>
    <w:qFormat/>
    <w:uiPriority w:val="0"/>
    <w:rPr>
      <w:vanish/>
    </w:rPr>
  </w:style>
  <w:style w:type="character" w:customStyle="1" w:styleId="86">
    <w:name w:val="标题 9 Char"/>
    <w:autoRedefine/>
    <w:qFormat/>
    <w:uiPriority w:val="99"/>
    <w:rPr>
      <w:rFonts w:ascii="Arial" w:hAnsi="Arial" w:eastAsia="黑体" w:cs="Times New Roman"/>
      <w:szCs w:val="21"/>
    </w:rPr>
  </w:style>
  <w:style w:type="character" w:customStyle="1" w:styleId="87">
    <w:name w:val="正文文本缩进 2 Char"/>
    <w:autoRedefine/>
    <w:qFormat/>
    <w:uiPriority w:val="99"/>
    <w:rPr>
      <w:rFonts w:ascii="仿宋_GB2312" w:hAnsi="宋体" w:eastAsia="仿宋_GB2312" w:cs="Times New Roman"/>
      <w:sz w:val="24"/>
      <w:szCs w:val="24"/>
    </w:rPr>
  </w:style>
  <w:style w:type="character" w:customStyle="1" w:styleId="88">
    <w:name w:val="列出段落 Char"/>
    <w:link w:val="89"/>
    <w:autoRedefine/>
    <w:qFormat/>
    <w:uiPriority w:val="34"/>
    <w:rPr>
      <w:kern w:val="2"/>
      <w:sz w:val="21"/>
    </w:rPr>
  </w:style>
  <w:style w:type="paragraph" w:styleId="89">
    <w:name w:val="List Paragraph"/>
    <w:basedOn w:val="90"/>
    <w:link w:val="88"/>
    <w:autoRedefine/>
    <w:qFormat/>
    <w:uiPriority w:val="34"/>
    <w:pPr>
      <w:ind w:firstLine="420" w:firstLineChars="200"/>
    </w:pPr>
  </w:style>
  <w:style w:type="paragraph" w:customStyle="1" w:styleId="90">
    <w:name w:val="正文1"/>
    <w:autoRedefine/>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autoRedefine/>
    <w:qFormat/>
    <w:uiPriority w:val="99"/>
    <w:rPr>
      <w:kern w:val="2"/>
      <w:sz w:val="21"/>
    </w:rPr>
  </w:style>
  <w:style w:type="character" w:customStyle="1" w:styleId="92">
    <w:name w:val="标题 8 Char"/>
    <w:autoRedefine/>
    <w:qFormat/>
    <w:uiPriority w:val="99"/>
    <w:rPr>
      <w:rFonts w:ascii="Arial" w:hAnsi="Arial" w:eastAsia="黑体" w:cs="Times New Roman"/>
      <w:sz w:val="24"/>
      <w:szCs w:val="24"/>
    </w:rPr>
  </w:style>
  <w:style w:type="character" w:customStyle="1" w:styleId="93">
    <w:name w:val="列出段落 Char1"/>
    <w:autoRedefine/>
    <w:qFormat/>
    <w:uiPriority w:val="99"/>
    <w:rPr>
      <w:kern w:val="2"/>
      <w:sz w:val="21"/>
      <w:szCs w:val="24"/>
    </w:rPr>
  </w:style>
  <w:style w:type="character" w:customStyle="1" w:styleId="94">
    <w:name w:val="正文文本缩进 3 Char"/>
    <w:autoRedefine/>
    <w:qFormat/>
    <w:uiPriority w:val="99"/>
    <w:rPr>
      <w:rFonts w:ascii="Times New Roman" w:hAnsi="Times New Roman" w:eastAsia="宋体" w:cs="Times New Roman"/>
      <w:sz w:val="24"/>
      <w:szCs w:val="20"/>
    </w:rPr>
  </w:style>
  <w:style w:type="character" w:customStyle="1" w:styleId="95">
    <w:name w:val="标题 6 Char"/>
    <w:autoRedefine/>
    <w:qFormat/>
    <w:uiPriority w:val="99"/>
    <w:rPr>
      <w:rFonts w:ascii="Arial" w:hAnsi="Arial" w:eastAsia="黑体" w:cs="Times New Roman"/>
      <w:b/>
      <w:bCs/>
      <w:sz w:val="24"/>
      <w:szCs w:val="24"/>
    </w:rPr>
  </w:style>
  <w:style w:type="character" w:customStyle="1" w:styleId="96">
    <w:name w:val="正文文本缩进 Char"/>
    <w:autoRedefine/>
    <w:qFormat/>
    <w:uiPriority w:val="99"/>
    <w:rPr>
      <w:rFonts w:ascii="楷体_GB2312" w:eastAsia="楷体_GB2312"/>
      <w:sz w:val="28"/>
    </w:rPr>
  </w:style>
  <w:style w:type="character" w:customStyle="1" w:styleId="97">
    <w:name w:val="标题 Char"/>
    <w:autoRedefine/>
    <w:qFormat/>
    <w:uiPriority w:val="0"/>
    <w:rPr>
      <w:rFonts w:ascii="Cambria" w:hAnsi="Cambria" w:cs="Times New Roman"/>
      <w:b/>
      <w:bCs/>
      <w:kern w:val="2"/>
      <w:sz w:val="32"/>
      <w:szCs w:val="32"/>
    </w:rPr>
  </w:style>
  <w:style w:type="character" w:customStyle="1" w:styleId="98">
    <w:name w:val="标题 4 Char"/>
    <w:autoRedefine/>
    <w:qFormat/>
    <w:uiPriority w:val="99"/>
    <w:rPr>
      <w:rFonts w:ascii="Times New Roman" w:hAnsi="Times New Roman" w:eastAsia="宋体" w:cs="Times New Roman"/>
      <w:sz w:val="28"/>
      <w:szCs w:val="20"/>
    </w:rPr>
  </w:style>
  <w:style w:type="character" w:customStyle="1" w:styleId="99">
    <w:name w:val="蓝色显示 Char"/>
    <w:link w:val="100"/>
    <w:autoRedefine/>
    <w:qFormat/>
    <w:uiPriority w:val="0"/>
    <w:rPr>
      <w:b/>
      <w:color w:val="0070C0"/>
      <w:kern w:val="2"/>
      <w:sz w:val="21"/>
      <w:szCs w:val="24"/>
    </w:rPr>
  </w:style>
  <w:style w:type="paragraph" w:customStyle="1" w:styleId="100">
    <w:name w:val="蓝色显示"/>
    <w:basedOn w:val="1"/>
    <w:link w:val="99"/>
    <w:autoRedefine/>
    <w:qFormat/>
    <w:uiPriority w:val="0"/>
    <w:pPr>
      <w:spacing w:before="340" w:after="330" w:line="400" w:lineRule="exact"/>
    </w:pPr>
    <w:rPr>
      <w:b/>
      <w:color w:val="0070C0"/>
    </w:rPr>
  </w:style>
  <w:style w:type="character" w:customStyle="1" w:styleId="101">
    <w:name w:val="标题 5 Char"/>
    <w:autoRedefine/>
    <w:qFormat/>
    <w:uiPriority w:val="99"/>
    <w:rPr>
      <w:rFonts w:ascii="Times New Roman" w:hAnsi="Times New Roman" w:eastAsia="宋体" w:cs="Times New Roman"/>
      <w:b/>
      <w:bCs/>
      <w:sz w:val="28"/>
      <w:szCs w:val="28"/>
    </w:rPr>
  </w:style>
  <w:style w:type="character" w:customStyle="1" w:styleId="102">
    <w:name w:val="Char Char1"/>
    <w:autoRedefine/>
    <w:qFormat/>
    <w:uiPriority w:val="0"/>
    <w:rPr>
      <w:rFonts w:ascii="楷体_GB2312" w:eastAsia="楷体_GB2312"/>
      <w:sz w:val="28"/>
    </w:rPr>
  </w:style>
  <w:style w:type="character" w:customStyle="1" w:styleId="103">
    <w:name w:val="标题3 Char"/>
    <w:link w:val="104"/>
    <w:autoRedefine/>
    <w:qFormat/>
    <w:uiPriority w:val="0"/>
    <w:rPr>
      <w:rFonts w:ascii="宋体" w:hAnsi="宋体"/>
      <w:color w:val="000000"/>
      <w:sz w:val="21"/>
      <w:szCs w:val="21"/>
    </w:rPr>
  </w:style>
  <w:style w:type="paragraph" w:customStyle="1" w:styleId="104">
    <w:name w:val="标题3"/>
    <w:basedOn w:val="6"/>
    <w:link w:val="103"/>
    <w:autoRedefine/>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autoRedefine/>
    <w:qFormat/>
    <w:uiPriority w:val="0"/>
    <w:rPr>
      <w:rFonts w:ascii="宋体"/>
      <w:kern w:val="2"/>
      <w:sz w:val="18"/>
      <w:szCs w:val="18"/>
    </w:rPr>
  </w:style>
  <w:style w:type="character" w:customStyle="1" w:styleId="106">
    <w:name w:val="标题 2 Char Char Char"/>
    <w:autoRedefine/>
    <w:qFormat/>
    <w:uiPriority w:val="0"/>
    <w:rPr>
      <w:rFonts w:ascii="Arial" w:hAnsi="Arial" w:eastAsia="黑体" w:cs="Times New Roman"/>
      <w:b/>
      <w:bCs/>
      <w:kern w:val="2"/>
      <w:sz w:val="32"/>
      <w:szCs w:val="32"/>
      <w:lang w:val="en-US" w:eastAsia="zh-CN" w:bidi="ar-SA"/>
    </w:rPr>
  </w:style>
  <w:style w:type="character" w:customStyle="1" w:styleId="107">
    <w:name w:val="标题 7 Char"/>
    <w:autoRedefine/>
    <w:qFormat/>
    <w:uiPriority w:val="99"/>
    <w:rPr>
      <w:rFonts w:ascii="Times New Roman" w:hAnsi="Times New Roman" w:eastAsia="宋体" w:cs="Times New Roman"/>
      <w:b/>
      <w:bCs/>
      <w:sz w:val="24"/>
      <w:szCs w:val="24"/>
    </w:rPr>
  </w:style>
  <w:style w:type="paragraph" w:customStyle="1" w:styleId="108">
    <w:name w:val="修订2"/>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autoRedefine/>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autoRedefine/>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autoRedefine/>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autoRedefine/>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autoRedefine/>
    <w:unhideWhenUsed/>
    <w:qFormat/>
    <w:uiPriority w:val="0"/>
    <w:pPr>
      <w:jc w:val="left"/>
    </w:pPr>
    <w:rPr>
      <w:rFonts w:eastAsia="Times New Roman"/>
    </w:rPr>
  </w:style>
  <w:style w:type="paragraph" w:customStyle="1" w:styleId="118">
    <w:name w:val="TOC 标题1"/>
    <w:basedOn w:val="3"/>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8"/>
    <w:autoRedefine/>
    <w:qFormat/>
    <w:uiPriority w:val="0"/>
    <w:rPr>
      <w:rFonts w:ascii="方正黑体简体" w:eastAsia="方正黑体简体"/>
      <w:b w:val="0"/>
      <w:bCs w:val="0"/>
    </w:rPr>
  </w:style>
  <w:style w:type="paragraph" w:customStyle="1" w:styleId="120">
    <w:name w:val="ml2"/>
    <w:basedOn w:val="38"/>
    <w:autoRedefine/>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autoRedefine/>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autoRedefine/>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autoRedefine/>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autoRedefine/>
    <w:qFormat/>
    <w:uiPriority w:val="34"/>
    <w:pPr>
      <w:ind w:firstLine="420" w:firstLineChars="200"/>
    </w:pPr>
    <w:rPr>
      <w:szCs w:val="20"/>
    </w:rPr>
  </w:style>
  <w:style w:type="paragraph" w:customStyle="1" w:styleId="128">
    <w:name w:val="Blockquote_1"/>
    <w:basedOn w:val="126"/>
    <w:autoRedefine/>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autoRedefine/>
    <w:qFormat/>
    <w:uiPriority w:val="0"/>
    <w:pPr>
      <w:spacing w:line="240" w:lineRule="auto"/>
    </w:pPr>
    <w:rPr>
      <w:rFonts w:ascii="黑体"/>
      <w:sz w:val="36"/>
      <w:szCs w:val="36"/>
    </w:rPr>
  </w:style>
  <w:style w:type="paragraph" w:customStyle="1" w:styleId="130">
    <w:name w:val="TOC 标题111"/>
    <w:basedOn w:val="3"/>
    <w:next w:val="1"/>
    <w:autoRedefine/>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autoRedefine/>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9"/>
    <w:autoRedefine/>
    <w:qFormat/>
    <w:uiPriority w:val="0"/>
    <w:pPr>
      <w:spacing w:line="319" w:lineRule="auto"/>
      <w:ind w:firstLine="200" w:firstLineChars="200"/>
    </w:pPr>
    <w:rPr>
      <w:b w:val="0"/>
      <w:bCs w:val="0"/>
    </w:rPr>
  </w:style>
  <w:style w:type="paragraph" w:customStyle="1" w:styleId="133">
    <w:name w:val="列出段落11"/>
    <w:basedOn w:val="1"/>
    <w:autoRedefine/>
    <w:qFormat/>
    <w:uiPriority w:val="99"/>
    <w:pPr>
      <w:ind w:firstLine="420" w:firstLineChars="200"/>
    </w:pPr>
    <w:rPr>
      <w:szCs w:val="20"/>
    </w:rPr>
  </w:style>
  <w:style w:type="paragraph" w:customStyle="1" w:styleId="134">
    <w:name w:val="TOC 标题2"/>
    <w:basedOn w:val="3"/>
    <w:next w:val="1"/>
    <w:autoRedefine/>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autoRedefine/>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autoRedefine/>
    <w:qFormat/>
    <w:uiPriority w:val="0"/>
    <w:pPr>
      <w:ind w:firstLine="420" w:firstLineChars="200"/>
    </w:pPr>
    <w:rPr>
      <w:szCs w:val="20"/>
    </w:rPr>
  </w:style>
  <w:style w:type="paragraph" w:customStyle="1" w:styleId="137">
    <w:name w:val="正文00"/>
    <w:basedOn w:val="1"/>
    <w:autoRedefine/>
    <w:qFormat/>
    <w:uiPriority w:val="0"/>
    <w:pPr>
      <w:topLinePunct/>
      <w:spacing w:line="360" w:lineRule="auto"/>
      <w:ind w:firstLine="200" w:firstLineChars="200"/>
    </w:pPr>
    <w:rPr>
      <w:sz w:val="24"/>
      <w:szCs w:val="21"/>
    </w:rPr>
  </w:style>
  <w:style w:type="paragraph" w:customStyle="1" w:styleId="138">
    <w:name w:val="TOC 标题11"/>
    <w:basedOn w:val="3"/>
    <w:next w:val="1"/>
    <w:autoRedefine/>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autoRedefine/>
    <w:qFormat/>
    <w:uiPriority w:val="34"/>
    <w:pPr>
      <w:ind w:firstLine="420" w:firstLineChars="200"/>
    </w:pPr>
  </w:style>
  <w:style w:type="paragraph" w:customStyle="1" w:styleId="140">
    <w:name w:val="ml3"/>
    <w:basedOn w:val="38"/>
    <w:autoRedefine/>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autoRedefine/>
    <w:qFormat/>
    <w:uiPriority w:val="0"/>
    <w:pPr>
      <w:widowControl w:val="0"/>
      <w:jc w:val="both"/>
    </w:pPr>
    <w:rPr>
      <w:rFonts w:ascii="Calibri" w:hAnsi="Calibri" w:eastAsia="宋体" w:cs="Times New Roman"/>
      <w:lang w:val="en-US" w:eastAsia="zh-CN" w:bidi="ar-SA"/>
    </w:rPr>
  </w:style>
  <w:style w:type="paragraph" w:customStyle="1" w:styleId="142">
    <w:name w:val="节"/>
    <w:basedOn w:val="4"/>
    <w:autoRedefine/>
    <w:qFormat/>
    <w:uiPriority w:val="0"/>
    <w:pPr>
      <w:spacing w:line="240" w:lineRule="auto"/>
    </w:pPr>
    <w:rPr>
      <w:rFonts w:ascii="黑体"/>
      <w:szCs w:val="28"/>
    </w:rPr>
  </w:style>
  <w:style w:type="paragraph" w:customStyle="1" w:styleId="143">
    <w:name w:val="新定义正文"/>
    <w:basedOn w:val="1"/>
    <w:autoRedefine/>
    <w:qFormat/>
    <w:uiPriority w:val="0"/>
    <w:pPr>
      <w:widowControl/>
    </w:pPr>
    <w:rPr>
      <w:color w:val="000000"/>
      <w:szCs w:val="21"/>
    </w:rPr>
  </w:style>
  <w:style w:type="paragraph" w:customStyle="1" w:styleId="144">
    <w:name w:val="纯文本1"/>
    <w:basedOn w:val="1"/>
    <w:autoRedefine/>
    <w:qFormat/>
    <w:uiPriority w:val="0"/>
    <w:rPr>
      <w:rFonts w:ascii="宋体" w:hAnsi="Courier New"/>
      <w:szCs w:val="20"/>
    </w:rPr>
  </w:style>
  <w:style w:type="paragraph" w:customStyle="1" w:styleId="145">
    <w:name w:val="Char Char Char Char Char Char Char Char Char Char Char Char Char"/>
    <w:basedOn w:val="18"/>
    <w:autoRedefine/>
    <w:qFormat/>
    <w:uiPriority w:val="0"/>
    <w:pPr>
      <w:shd w:val="clear" w:color="auto" w:fill="000080"/>
    </w:pPr>
    <w:rPr>
      <w:rFonts w:ascii="Tahoma" w:hAnsi="Tahoma"/>
      <w:sz w:val="24"/>
      <w:szCs w:val="24"/>
    </w:rPr>
  </w:style>
  <w:style w:type="paragraph" w:customStyle="1" w:styleId="146">
    <w:name w:val="标题 10"/>
    <w:basedOn w:val="4"/>
    <w:autoRedefine/>
    <w:qFormat/>
    <w:uiPriority w:val="0"/>
    <w:p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autoRedefine/>
    <w:semiHidden/>
    <w:qFormat/>
    <w:locked/>
    <w:uiPriority w:val="99"/>
    <w:rPr>
      <w:rFonts w:ascii="Cambria" w:hAnsi="Cambria" w:eastAsia="宋体" w:cs="Times New Roman"/>
      <w:kern w:val="2"/>
    </w:rPr>
  </w:style>
  <w:style w:type="character" w:customStyle="1" w:styleId="148">
    <w:name w:val="Style Heading A + (Latin) Times New Roman (Asian) 楷体_GB2312 Char"/>
    <w:autoRedefine/>
    <w:qFormat/>
    <w:uiPriority w:val="99"/>
    <w:rPr>
      <w:rFonts w:ascii="Arial" w:hAnsi="Arial" w:eastAsia="楷体_GB2312" w:cs="Arial"/>
      <w:b/>
      <w:kern w:val="28"/>
      <w:sz w:val="36"/>
      <w:lang w:val="en-US" w:eastAsia="zh-CN" w:bidi="ar-SA"/>
    </w:rPr>
  </w:style>
  <w:style w:type="character" w:customStyle="1" w:styleId="149">
    <w:name w:val="项目 1 Char Char Char"/>
    <w:autoRedefine/>
    <w:qFormat/>
    <w:uiPriority w:val="99"/>
    <w:rPr>
      <w:rFonts w:ascii="Tahoma" w:hAnsi="Tahoma" w:eastAsia="宋体" w:cs="Times New Roman"/>
      <w:kern w:val="2"/>
      <w:sz w:val="24"/>
      <w:szCs w:val="24"/>
      <w:lang w:val="en-US" w:eastAsia="zh-CN" w:bidi="ar-SA"/>
    </w:rPr>
  </w:style>
  <w:style w:type="character" w:customStyle="1" w:styleId="150">
    <w:name w:val="p131"/>
    <w:autoRedefine/>
    <w:qFormat/>
    <w:uiPriority w:val="99"/>
    <w:rPr>
      <w:rFonts w:cs="Times New Roman"/>
      <w:sz w:val="22"/>
      <w:szCs w:val="22"/>
      <w:u w:val="none"/>
    </w:rPr>
  </w:style>
  <w:style w:type="character" w:customStyle="1" w:styleId="151">
    <w:name w:val="样式 标题 3h3H3l3CTheading 3Level 3 Headlevel_3PIM 3sect1.2... Char"/>
    <w:link w:val="152"/>
    <w:autoRedefine/>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autoRedefine/>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autoRedefine/>
    <w:semiHidden/>
    <w:qFormat/>
    <w:uiPriority w:val="9"/>
    <w:rPr>
      <w:rFonts w:ascii="Cambria" w:hAnsi="Cambria" w:eastAsia="宋体" w:cs="Times New Roman"/>
      <w:b/>
      <w:bCs/>
      <w:kern w:val="2"/>
      <w:sz w:val="26"/>
      <w:szCs w:val="26"/>
    </w:rPr>
  </w:style>
  <w:style w:type="character" w:customStyle="1" w:styleId="154">
    <w:name w:val="无间距字符"/>
    <w:link w:val="155"/>
    <w:autoRedefine/>
    <w:qFormat/>
    <w:uiPriority w:val="1"/>
    <w:rPr>
      <w:sz w:val="22"/>
      <w:szCs w:val="22"/>
    </w:rPr>
  </w:style>
  <w:style w:type="paragraph" w:customStyle="1" w:styleId="155">
    <w:name w:val="无间距"/>
    <w:link w:val="154"/>
    <w:autoRedefine/>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autoRedefine/>
    <w:qFormat/>
    <w:uiPriority w:val="0"/>
    <w:rPr>
      <w:rFonts w:ascii="宋体" w:hAnsi="宋体"/>
      <w:kern w:val="2"/>
      <w:sz w:val="21"/>
      <w:szCs w:val="21"/>
    </w:rPr>
  </w:style>
  <w:style w:type="paragraph" w:customStyle="1" w:styleId="157">
    <w:name w:val="5级标题nbm"/>
    <w:basedOn w:val="4"/>
    <w:link w:val="156"/>
    <w:autoRedefine/>
    <w:qFormat/>
    <w:uiPriority w:val="0"/>
    <w:pPr>
      <w:tabs>
        <w:tab w:val="left" w:pos="1008"/>
      </w:tabs>
      <w:spacing w:line="360" w:lineRule="auto"/>
      <w:ind w:left="1008" w:hanging="1008"/>
      <w:outlineLvl w:val="4"/>
    </w:pPr>
    <w:rPr>
      <w:rFonts w:ascii="宋体" w:eastAsia="宋体"/>
      <w:bCs w:val="0"/>
      <w:sz w:val="21"/>
      <w:szCs w:val="21"/>
    </w:rPr>
  </w:style>
  <w:style w:type="character" w:customStyle="1" w:styleId="158">
    <w:name w:val="Heading 6 Char"/>
    <w:autoRedefine/>
    <w:semiHidden/>
    <w:qFormat/>
    <w:locked/>
    <w:uiPriority w:val="99"/>
    <w:rPr>
      <w:rFonts w:ascii="Calibri" w:hAnsi="Calibri" w:eastAsia="宋体" w:cs="Times New Roman"/>
      <w:b/>
      <w:bCs/>
      <w:kern w:val="2"/>
    </w:rPr>
  </w:style>
  <w:style w:type="character" w:customStyle="1" w:styleId="159">
    <w:name w:val="Heading 3 Char2"/>
    <w:autoRedefine/>
    <w:qFormat/>
    <w:locked/>
    <w:uiPriority w:val="99"/>
    <w:rPr>
      <w:rFonts w:eastAsia="宋体" w:cs="Times New Roman"/>
      <w:b/>
      <w:bCs/>
      <w:kern w:val="2"/>
      <w:sz w:val="32"/>
      <w:szCs w:val="32"/>
      <w:lang w:val="en-US" w:eastAsia="zh-CN" w:bidi="ar-SA"/>
    </w:rPr>
  </w:style>
  <w:style w:type="character" w:customStyle="1" w:styleId="160">
    <w:name w:val="2级标题nbm Char"/>
    <w:link w:val="161"/>
    <w:autoRedefine/>
    <w:qFormat/>
    <w:uiPriority w:val="0"/>
    <w:rPr>
      <w:rFonts w:ascii="宋体" w:hAnsi="宋体"/>
      <w:bCs/>
      <w:kern w:val="2"/>
      <w:sz w:val="21"/>
      <w:szCs w:val="21"/>
    </w:rPr>
  </w:style>
  <w:style w:type="paragraph" w:customStyle="1" w:styleId="161">
    <w:name w:val="2级标题nbm"/>
    <w:basedOn w:val="4"/>
    <w:link w:val="160"/>
    <w:autoRedefine/>
    <w:qFormat/>
    <w:uiPriority w:val="0"/>
    <w:pPr>
      <w:tabs>
        <w:tab w:val="left" w:pos="756"/>
      </w:tabs>
      <w:spacing w:line="360" w:lineRule="auto"/>
      <w:ind w:left="756" w:hanging="576"/>
    </w:pPr>
    <w:rPr>
      <w:rFonts w:ascii="宋体" w:eastAsia="宋体"/>
      <w:sz w:val="21"/>
      <w:szCs w:val="21"/>
    </w:rPr>
  </w:style>
  <w:style w:type="character" w:customStyle="1" w:styleId="162">
    <w:name w:val="3级标题nbm Char"/>
    <w:link w:val="163"/>
    <w:autoRedefine/>
    <w:qFormat/>
    <w:uiPriority w:val="0"/>
    <w:rPr>
      <w:rFonts w:ascii="宋体" w:hAnsi="宋体"/>
      <w:bCs/>
      <w:kern w:val="2"/>
      <w:sz w:val="21"/>
      <w:szCs w:val="21"/>
    </w:rPr>
  </w:style>
  <w:style w:type="paragraph" w:customStyle="1" w:styleId="163">
    <w:name w:val="3级标题nbm"/>
    <w:basedOn w:val="161"/>
    <w:link w:val="162"/>
    <w:autoRedefine/>
    <w:qFormat/>
    <w:uiPriority w:val="0"/>
    <w:pPr>
      <w:tabs>
        <w:tab w:val="left" w:pos="720"/>
        <w:tab w:val="clear" w:pos="756"/>
      </w:tabs>
      <w:ind w:left="720" w:hanging="720"/>
      <w:outlineLvl w:val="2"/>
    </w:pPr>
  </w:style>
  <w:style w:type="character" w:customStyle="1" w:styleId="164">
    <w:name w:val="font1"/>
    <w:autoRedefine/>
    <w:qFormat/>
    <w:uiPriority w:val="99"/>
    <w:rPr>
      <w:rFonts w:cs="Times New Roman"/>
      <w:color w:val="000000"/>
      <w:sz w:val="18"/>
      <w:szCs w:val="18"/>
    </w:rPr>
  </w:style>
  <w:style w:type="character" w:customStyle="1" w:styleId="165">
    <w:name w:val="t181"/>
    <w:autoRedefine/>
    <w:qFormat/>
    <w:uiPriority w:val="99"/>
    <w:rPr>
      <w:rFonts w:cs="Times New Roman"/>
      <w:color w:val="000000"/>
      <w:sz w:val="21"/>
      <w:szCs w:val="21"/>
    </w:rPr>
  </w:style>
  <w:style w:type="character" w:customStyle="1" w:styleId="166">
    <w:name w:val="标题 4 Char1"/>
    <w:autoRedefine/>
    <w:qFormat/>
    <w:uiPriority w:val="99"/>
    <w:rPr>
      <w:rFonts w:eastAsia="宋体" w:cs="Times New Roman"/>
      <w:b/>
      <w:bCs/>
      <w:kern w:val="2"/>
      <w:sz w:val="28"/>
      <w:szCs w:val="28"/>
      <w:lang w:val="en-US" w:eastAsia="zh-CN" w:bidi="ar-SA"/>
    </w:rPr>
  </w:style>
  <w:style w:type="character" w:customStyle="1" w:styleId="167">
    <w:name w:val="标题 2 Char1"/>
    <w:autoRedefine/>
    <w:qFormat/>
    <w:uiPriority w:val="99"/>
    <w:rPr>
      <w:rFonts w:ascii="Arial" w:hAnsi="Arial" w:eastAsia="黑体" w:cs="Times New Roman"/>
      <w:b/>
      <w:bCs/>
      <w:kern w:val="2"/>
      <w:sz w:val="32"/>
      <w:szCs w:val="32"/>
      <w:lang w:val="en-US" w:eastAsia="zh-CN" w:bidi="ar-SA"/>
    </w:rPr>
  </w:style>
  <w:style w:type="character" w:customStyle="1" w:styleId="168">
    <w:name w:val="Heading 2 Char"/>
    <w:autoRedefine/>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autoRedefine/>
    <w:qFormat/>
    <w:uiPriority w:val="0"/>
    <w:rPr>
      <w:rFonts w:ascii="宋体" w:hAnsi="宋体"/>
      <w:kern w:val="2"/>
      <w:sz w:val="21"/>
      <w:szCs w:val="21"/>
    </w:rPr>
  </w:style>
  <w:style w:type="paragraph" w:customStyle="1" w:styleId="170">
    <w:name w:val="4级标题nbm"/>
    <w:basedOn w:val="4"/>
    <w:link w:val="169"/>
    <w:autoRedefine/>
    <w:qFormat/>
    <w:uiPriority w:val="0"/>
    <w:pPr>
      <w:tabs>
        <w:tab w:val="left" w:pos="864"/>
      </w:tabs>
      <w:spacing w:line="360" w:lineRule="auto"/>
      <w:ind w:left="864" w:hanging="864"/>
      <w:outlineLvl w:val="3"/>
    </w:pPr>
    <w:rPr>
      <w:rFonts w:ascii="宋体" w:eastAsia="宋体"/>
      <w:bCs w:val="0"/>
      <w:sz w:val="21"/>
      <w:szCs w:val="21"/>
    </w:rPr>
  </w:style>
  <w:style w:type="character" w:customStyle="1" w:styleId="171">
    <w:name w:val="Heading 8 Char"/>
    <w:autoRedefine/>
    <w:semiHidden/>
    <w:qFormat/>
    <w:locked/>
    <w:uiPriority w:val="99"/>
    <w:rPr>
      <w:rFonts w:ascii="Calibri" w:hAnsi="Calibri" w:eastAsia="宋体" w:cs="Times New Roman"/>
      <w:i/>
      <w:iCs/>
      <w:kern w:val="2"/>
      <w:sz w:val="24"/>
      <w:szCs w:val="24"/>
    </w:rPr>
  </w:style>
  <w:style w:type="character" w:customStyle="1" w:styleId="172">
    <w:name w:val="表正文 Char1"/>
    <w:autoRedefine/>
    <w:qFormat/>
    <w:uiPriority w:val="99"/>
    <w:rPr>
      <w:rFonts w:eastAsia="宋体" w:cs="Times New Roman"/>
      <w:kern w:val="2"/>
      <w:sz w:val="24"/>
      <w:szCs w:val="24"/>
      <w:lang w:val="en-US" w:eastAsia="zh-CN" w:bidi="ar-SA"/>
    </w:rPr>
  </w:style>
  <w:style w:type="character" w:customStyle="1" w:styleId="173">
    <w:name w:val="样式3 Char"/>
    <w:autoRedefine/>
    <w:qFormat/>
    <w:uiPriority w:val="99"/>
    <w:rPr>
      <w:rFonts w:eastAsia="宋体" w:cs="Times New Roman"/>
      <w:kern w:val="2"/>
      <w:sz w:val="24"/>
      <w:szCs w:val="24"/>
      <w:lang w:val="en-US" w:eastAsia="zh-CN" w:bidi="ar-SA"/>
    </w:rPr>
  </w:style>
  <w:style w:type="character" w:customStyle="1" w:styleId="174">
    <w:name w:val="Heading 3 Char3"/>
    <w:autoRedefine/>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autoRedefine/>
    <w:qFormat/>
    <w:uiPriority w:val="99"/>
    <w:rPr>
      <w:rFonts w:ascii="楷体_GB2312" w:hAnsi="楷体_GB2312" w:eastAsia="楷体_GB2312" w:cs="Arial"/>
      <w:b/>
      <w:kern w:val="28"/>
      <w:sz w:val="36"/>
      <w:lang w:val="en-US" w:eastAsia="zh-CN" w:bidi="ar-SA"/>
    </w:rPr>
  </w:style>
  <w:style w:type="character" w:customStyle="1" w:styleId="176">
    <w:name w:val="编号列表 Char"/>
    <w:autoRedefine/>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autoRedefine/>
    <w:qFormat/>
    <w:locked/>
    <w:uiPriority w:val="99"/>
    <w:rPr>
      <w:rFonts w:ascii="宋体"/>
    </w:rPr>
  </w:style>
  <w:style w:type="paragraph" w:customStyle="1" w:styleId="178">
    <w:name w:val="二级条标题"/>
    <w:basedOn w:val="1"/>
    <w:next w:val="1"/>
    <w:link w:val="177"/>
    <w:autoRedefine/>
    <w:qFormat/>
    <w:uiPriority w:val="99"/>
    <w:pPr>
      <w:widowControl/>
      <w:spacing w:beforeLines="50" w:afterLines="50"/>
      <w:outlineLvl w:val="3"/>
    </w:pPr>
    <w:rPr>
      <w:rFonts w:ascii="宋体"/>
      <w:kern w:val="0"/>
      <w:sz w:val="20"/>
      <w:szCs w:val="20"/>
    </w:rPr>
  </w:style>
  <w:style w:type="character" w:customStyle="1" w:styleId="179">
    <w:name w:val="Heading 4 Char"/>
    <w:autoRedefine/>
    <w:semiHidden/>
    <w:qFormat/>
    <w:locked/>
    <w:uiPriority w:val="99"/>
    <w:rPr>
      <w:rFonts w:ascii="Calibri" w:hAnsi="Calibri" w:eastAsia="宋体" w:cs="Times New Roman"/>
      <w:b/>
      <w:bCs/>
      <w:kern w:val="2"/>
      <w:sz w:val="28"/>
      <w:szCs w:val="28"/>
    </w:rPr>
  </w:style>
  <w:style w:type="character" w:customStyle="1" w:styleId="180">
    <w:name w:val="Heading 5 Char"/>
    <w:autoRedefine/>
    <w:semiHidden/>
    <w:qFormat/>
    <w:locked/>
    <w:uiPriority w:val="99"/>
    <w:rPr>
      <w:rFonts w:ascii="Calibri" w:hAnsi="Calibri" w:eastAsia="宋体" w:cs="Times New Roman"/>
      <w:b/>
      <w:bCs/>
      <w:i/>
      <w:iCs/>
      <w:kern w:val="2"/>
      <w:sz w:val="26"/>
      <w:szCs w:val="26"/>
    </w:rPr>
  </w:style>
  <w:style w:type="character" w:customStyle="1" w:styleId="181">
    <w:name w:val="title_emph1"/>
    <w:autoRedefine/>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6"/>
    <w:autoRedefine/>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autoRedefine/>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autoRedefine/>
    <w:qFormat/>
    <w:uiPriority w:val="0"/>
    <w:rPr>
      <w:kern w:val="2"/>
      <w:sz w:val="21"/>
      <w:szCs w:val="24"/>
    </w:rPr>
  </w:style>
  <w:style w:type="paragraph" w:customStyle="1" w:styleId="185">
    <w:name w:val="2"/>
    <w:basedOn w:val="1"/>
    <w:next w:val="22"/>
    <w:autoRedefine/>
    <w:qFormat/>
    <w:uiPriority w:val="99"/>
    <w:pPr>
      <w:spacing w:line="440" w:lineRule="exact"/>
      <w:ind w:firstLine="420"/>
    </w:pPr>
    <w:rPr>
      <w:sz w:val="28"/>
      <w:szCs w:val="20"/>
    </w:rPr>
  </w:style>
  <w:style w:type="paragraph" w:customStyle="1" w:styleId="186">
    <w:name w:val="Char1 Char Char Char"/>
    <w:basedOn w:val="1"/>
    <w:autoRedefine/>
    <w:qFormat/>
    <w:uiPriority w:val="0"/>
    <w:pPr>
      <w:tabs>
        <w:tab w:val="left" w:pos="420"/>
      </w:tabs>
      <w:ind w:left="420" w:hanging="420"/>
    </w:pPr>
    <w:rPr>
      <w:rFonts w:ascii="Tahoma" w:hAnsi="Tahoma"/>
      <w:sz w:val="24"/>
      <w:szCs w:val="20"/>
    </w:rPr>
  </w:style>
  <w:style w:type="paragraph" w:customStyle="1" w:styleId="187">
    <w:name w:val="font10"/>
    <w:basedOn w:val="1"/>
    <w:autoRedefine/>
    <w:qFormat/>
    <w:uiPriority w:val="99"/>
    <w:pPr>
      <w:widowControl/>
      <w:spacing w:before="100" w:beforeAutospacing="1" w:after="100" w:afterAutospacing="1"/>
      <w:jc w:val="left"/>
    </w:pPr>
    <w:rPr>
      <w:kern w:val="0"/>
      <w:sz w:val="20"/>
      <w:szCs w:val="20"/>
    </w:rPr>
  </w:style>
  <w:style w:type="paragraph" w:customStyle="1" w:styleId="188">
    <w:name w:val="xl3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
    <w:autoRedefine/>
    <w:qFormat/>
    <w:uiPriority w:val="99"/>
    <w:pPr>
      <w:spacing w:beforeLines="50" w:afterLines="50"/>
      <w:ind w:firstLine="200" w:firstLineChars="200"/>
    </w:pPr>
    <w:rPr>
      <w:kern w:val="0"/>
      <w:sz w:val="20"/>
    </w:rPr>
  </w:style>
  <w:style w:type="paragraph" w:customStyle="1" w:styleId="191">
    <w:name w:val="Char Char2"/>
    <w:basedOn w:val="1"/>
    <w:autoRedefine/>
    <w:qFormat/>
    <w:uiPriority w:val="99"/>
    <w:rPr>
      <w:rFonts w:ascii="Tahoma" w:hAnsi="Tahoma"/>
      <w:sz w:val="24"/>
      <w:szCs w:val="20"/>
    </w:rPr>
  </w:style>
  <w:style w:type="paragraph" w:customStyle="1" w:styleId="192">
    <w:name w:val="xl28"/>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8"/>
    <w:autoRedefine/>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autoRedefine/>
    <w:qFormat/>
    <w:uiPriority w:val="99"/>
    <w:rPr>
      <w:rFonts w:ascii="Tahoma" w:hAnsi="Tahoma"/>
      <w:sz w:val="24"/>
      <w:szCs w:val="20"/>
    </w:rPr>
  </w:style>
  <w:style w:type="paragraph" w:customStyle="1" w:styleId="195">
    <w:name w:val="文章标题"/>
    <w:basedOn w:val="1"/>
    <w:autoRedefine/>
    <w:qFormat/>
    <w:uiPriority w:val="99"/>
    <w:pPr>
      <w:spacing w:beforeLines="200" w:afterLines="200"/>
      <w:jc w:val="center"/>
    </w:pPr>
    <w:rPr>
      <w:b/>
      <w:sz w:val="44"/>
    </w:rPr>
  </w:style>
  <w:style w:type="paragraph" w:customStyle="1" w:styleId="196">
    <w:name w:val="文档正文 Char Char Char Char Char"/>
    <w:basedOn w:val="1"/>
    <w:autoRedefine/>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autoRedefine/>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autoRedefine/>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
    <w:autoRedefine/>
    <w:qFormat/>
    <w:uiPriority w:val="99"/>
    <w:pPr>
      <w:widowControl/>
      <w:spacing w:after="240" w:line="240" w:lineRule="exact"/>
      <w:jc w:val="center"/>
    </w:pPr>
    <w:rPr>
      <w:kern w:val="0"/>
      <w:sz w:val="24"/>
      <w:lang w:val="en-GB"/>
    </w:rPr>
  </w:style>
  <w:style w:type="paragraph" w:customStyle="1" w:styleId="201">
    <w:name w:val="样式3"/>
    <w:basedOn w:val="4"/>
    <w:autoRedefine/>
    <w:qFormat/>
    <w:uiPriority w:val="99"/>
    <w:pPr>
      <w:keepNext w:val="0"/>
      <w:keepLines w:val="0"/>
      <w:tabs>
        <w:tab w:val="left" w:pos="576"/>
      </w:tabs>
      <w:spacing w:line="360" w:lineRule="auto"/>
      <w:ind w:left="576" w:hanging="576"/>
    </w:pPr>
    <w:rPr>
      <w:rFonts w:ascii="宋体" w:eastAsia="宋体"/>
      <w:b/>
      <w:kern w:val="0"/>
      <w:szCs w:val="28"/>
    </w:rPr>
  </w:style>
  <w:style w:type="paragraph" w:customStyle="1" w:styleId="202">
    <w:name w:val="xl34"/>
    <w:basedOn w:val="1"/>
    <w:autoRedefine/>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autoRedefine/>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autoRedefine/>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autoRedefine/>
    <w:qFormat/>
    <w:uiPriority w:val="99"/>
    <w:rPr>
      <w:rFonts w:ascii="Tahoma" w:hAnsi="Tahoma"/>
      <w:sz w:val="24"/>
      <w:szCs w:val="20"/>
    </w:rPr>
  </w:style>
  <w:style w:type="paragraph" w:customStyle="1" w:styleId="207">
    <w:name w:val="样式 普通(网站) + 仿宋_GB2312 段前: 自动 段后: 自动 行距: 1.5 倍行距1"/>
    <w:basedOn w:val="1"/>
    <w:autoRedefine/>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7"/>
    <w:autoRedefine/>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autoRedefine/>
    <w:qFormat/>
    <w:uiPriority w:val="99"/>
    <w:pPr>
      <w:ind w:left="4032"/>
    </w:pPr>
  </w:style>
  <w:style w:type="paragraph" w:customStyle="1" w:styleId="210">
    <w:name w:val="xl23"/>
    <w:basedOn w:val="1"/>
    <w:autoRedefine/>
    <w:qFormat/>
    <w:uiPriority w:val="99"/>
    <w:pPr>
      <w:widowControl/>
      <w:spacing w:beforeAutospacing="1" w:afterAutospacing="1"/>
    </w:pPr>
    <w:rPr>
      <w:rFonts w:eastAsia="Arial Unicode MS"/>
      <w:kern w:val="0"/>
      <w:szCs w:val="20"/>
    </w:rPr>
  </w:style>
  <w:style w:type="paragraph" w:customStyle="1" w:styleId="211">
    <w:name w:val="项目2"/>
    <w:autoRedefine/>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autoRedefine/>
    <w:qFormat/>
    <w:uiPriority w:val="99"/>
    <w:pPr>
      <w:adjustRightInd w:val="0"/>
      <w:snapToGrid w:val="0"/>
    </w:pPr>
    <w:rPr>
      <w:sz w:val="24"/>
    </w:rPr>
  </w:style>
  <w:style w:type="paragraph" w:customStyle="1" w:styleId="213">
    <w:name w:val="正文表格"/>
    <w:basedOn w:val="1"/>
    <w:autoRedefine/>
    <w:qFormat/>
    <w:uiPriority w:val="99"/>
    <w:pPr>
      <w:ind w:left="10" w:leftChars="10" w:right="10" w:rightChars="10"/>
    </w:pPr>
    <w:rPr>
      <w:bCs/>
    </w:rPr>
  </w:style>
  <w:style w:type="paragraph" w:customStyle="1" w:styleId="214">
    <w:name w:val="图中文字"/>
    <w:basedOn w:val="1"/>
    <w:autoRedefine/>
    <w:qFormat/>
    <w:uiPriority w:val="99"/>
    <w:pPr>
      <w:adjustRightInd w:val="0"/>
      <w:snapToGrid w:val="0"/>
      <w:spacing w:line="240" w:lineRule="atLeast"/>
      <w:jc w:val="center"/>
    </w:pPr>
    <w:rPr>
      <w:szCs w:val="20"/>
    </w:rPr>
  </w:style>
  <w:style w:type="paragraph" w:customStyle="1" w:styleId="215">
    <w:name w:val="正文（首行缩进）"/>
    <w:basedOn w:val="1"/>
    <w:autoRedefine/>
    <w:qFormat/>
    <w:uiPriority w:val="99"/>
    <w:pPr>
      <w:spacing w:line="360" w:lineRule="auto"/>
      <w:ind w:firstLine="420"/>
    </w:pPr>
    <w:rPr>
      <w:sz w:val="24"/>
      <w:szCs w:val="20"/>
    </w:rPr>
  </w:style>
  <w:style w:type="paragraph" w:customStyle="1" w:styleId="216">
    <w:name w:val="font6"/>
    <w:basedOn w:val="1"/>
    <w:autoRedefine/>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autoRedefine/>
    <w:qFormat/>
    <w:uiPriority w:val="0"/>
    <w:pPr>
      <w:ind w:firstLine="420" w:firstLineChars="200"/>
    </w:pPr>
    <w:rPr>
      <w:rFonts w:ascii="Tahoma" w:hAnsi="Tahoma" w:cs="宋体"/>
      <w:szCs w:val="21"/>
    </w:rPr>
  </w:style>
  <w:style w:type="paragraph" w:customStyle="1" w:styleId="218">
    <w:name w:val="Char Char Char Char Char Char"/>
    <w:basedOn w:val="1"/>
    <w:autoRedefine/>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autoRedefine/>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autoRedefine/>
    <w:qFormat/>
    <w:uiPriority w:val="99"/>
    <w:pPr>
      <w:ind w:firstLine="420" w:firstLineChars="200"/>
    </w:pPr>
  </w:style>
  <w:style w:type="paragraph" w:customStyle="1" w:styleId="221">
    <w:name w:val="xl4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autoRedefine/>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autoRedefine/>
    <w:qFormat/>
    <w:uiPriority w:val="99"/>
    <w:pPr>
      <w:widowControl/>
      <w:tabs>
        <w:tab w:val="left" w:pos="6660"/>
      </w:tabs>
      <w:spacing w:before="240" w:after="120" w:line="288" w:lineRule="auto"/>
      <w:jc w:val="center"/>
    </w:pPr>
    <w:rPr>
      <w:kern w:val="0"/>
    </w:rPr>
  </w:style>
  <w:style w:type="paragraph" w:customStyle="1" w:styleId="224">
    <w:name w:val="xl41"/>
    <w:basedOn w:val="1"/>
    <w:autoRedefine/>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autoRedefine/>
    <w:qFormat/>
    <w:uiPriority w:val="99"/>
    <w:pPr>
      <w:widowControl/>
      <w:autoSpaceDE w:val="0"/>
      <w:autoSpaceDN w:val="0"/>
      <w:spacing w:before="60" w:after="60"/>
      <w:jc w:val="left"/>
    </w:pPr>
    <w:rPr>
      <w:kern w:val="0"/>
      <w:szCs w:val="20"/>
    </w:rPr>
  </w:style>
  <w:style w:type="paragraph" w:customStyle="1" w:styleId="226">
    <w:name w:val="项目 1 Char Char"/>
    <w:basedOn w:val="1"/>
    <w:autoRedefine/>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autoRedefine/>
    <w:qFormat/>
    <w:uiPriority w:val="99"/>
    <w:pPr>
      <w:tabs>
        <w:tab w:val="left" w:pos="1742"/>
      </w:tabs>
      <w:ind w:left="1742" w:hanging="420"/>
    </w:pPr>
    <w:rPr>
      <w:sz w:val="24"/>
      <w:szCs w:val="20"/>
    </w:rPr>
  </w:style>
  <w:style w:type="paragraph" w:customStyle="1" w:styleId="228">
    <w:name w:val="Char"/>
    <w:basedOn w:val="1"/>
    <w:autoRedefine/>
    <w:qFormat/>
    <w:uiPriority w:val="99"/>
    <w:pPr>
      <w:tabs>
        <w:tab w:val="left" w:pos="360"/>
      </w:tabs>
      <w:ind w:left="360" w:hanging="360" w:hangingChars="200"/>
    </w:pPr>
    <w:rPr>
      <w:sz w:val="24"/>
    </w:rPr>
  </w:style>
  <w:style w:type="character" w:customStyle="1" w:styleId="229">
    <w:name w:val="正文文本 2 Char1"/>
    <w:autoRedefine/>
    <w:semiHidden/>
    <w:qFormat/>
    <w:uiPriority w:val="0"/>
    <w:rPr>
      <w:kern w:val="2"/>
      <w:sz w:val="21"/>
      <w:szCs w:val="24"/>
    </w:rPr>
  </w:style>
  <w:style w:type="paragraph" w:customStyle="1" w:styleId="230">
    <w:name w:val="招标文件正文"/>
    <w:autoRedefine/>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autoRedefine/>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autoRedefine/>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autoRedefine/>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autoRedefine/>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autoRedefine/>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
    <w:autoRedefine/>
    <w:qFormat/>
    <w:uiPriority w:val="99"/>
    <w:pPr>
      <w:keepLines w:val="0"/>
      <w:widowControl/>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Cs w:val="20"/>
    </w:rPr>
  </w:style>
  <w:style w:type="paragraph" w:customStyle="1" w:styleId="237">
    <w:name w:val="Table Heading"/>
    <w:basedOn w:val="225"/>
    <w:autoRedefine/>
    <w:qFormat/>
    <w:uiPriority w:val="0"/>
    <w:pPr>
      <w:autoSpaceDE/>
      <w:autoSpaceDN/>
      <w:spacing w:line="288" w:lineRule="auto"/>
      <w:jc w:val="center"/>
    </w:pPr>
    <w:rPr>
      <w:rFonts w:ascii="宋体" w:hAnsi="宋体"/>
      <w:b/>
    </w:rPr>
  </w:style>
  <w:style w:type="paragraph" w:customStyle="1" w:styleId="238">
    <w:name w:val="Heading A"/>
    <w:basedOn w:val="3"/>
    <w:next w:val="2"/>
    <w:autoRedefine/>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autoRedefine/>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autoRedefine/>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7"/>
    <w:autoRedefine/>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autoRedefine/>
    <w:qFormat/>
    <w:uiPriority w:val="99"/>
    <w:rPr>
      <w:rFonts w:ascii="Tahoma" w:hAnsi="Tahoma"/>
      <w:sz w:val="24"/>
      <w:szCs w:val="20"/>
    </w:rPr>
  </w:style>
  <w:style w:type="paragraph" w:customStyle="1" w:styleId="244">
    <w:name w:val="Char Char2 Char Char Char Char Char Char"/>
    <w:basedOn w:val="1"/>
    <w:autoRedefine/>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autoRedefine/>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autoRedefine/>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autoRedefine/>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autoRedefine/>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autoRedefine/>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autoRedefine/>
    <w:qFormat/>
    <w:uiPriority w:val="99"/>
    <w:pPr>
      <w:tabs>
        <w:tab w:val="left" w:pos="720"/>
      </w:tabs>
      <w:spacing w:line="360" w:lineRule="auto"/>
      <w:ind w:left="720" w:hanging="720"/>
    </w:pPr>
    <w:rPr>
      <w:sz w:val="24"/>
    </w:rPr>
  </w:style>
  <w:style w:type="paragraph" w:customStyle="1" w:styleId="252">
    <w:name w:val="xl32"/>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autoRedefine/>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autoRedefine/>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autoRedefine/>
    <w:qFormat/>
    <w:uiPriority w:val="99"/>
    <w:pPr>
      <w:tabs>
        <w:tab w:val="left" w:pos="420"/>
        <w:tab w:val="left" w:pos="1680"/>
      </w:tabs>
      <w:ind w:left="1680"/>
    </w:pPr>
  </w:style>
  <w:style w:type="paragraph" w:customStyle="1" w:styleId="256">
    <w:name w:val="标题下顺序"/>
    <w:basedOn w:val="1"/>
    <w:autoRedefine/>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autoRedefine/>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autoRedefine/>
    <w:qFormat/>
    <w:uiPriority w:val="99"/>
    <w:pPr>
      <w:spacing w:beforeLines="50" w:afterLines="50"/>
      <w:jc w:val="center"/>
    </w:pPr>
  </w:style>
  <w:style w:type="paragraph" w:customStyle="1" w:styleId="259">
    <w:name w:val="图名"/>
    <w:basedOn w:val="1"/>
    <w:next w:val="6"/>
    <w:autoRedefine/>
    <w:qFormat/>
    <w:uiPriority w:val="99"/>
    <w:pPr>
      <w:spacing w:line="360" w:lineRule="auto"/>
      <w:jc w:val="center"/>
    </w:pPr>
    <w:rPr>
      <w:rFonts w:ascii="Arial" w:hAnsi="Arial" w:eastAsia="黑体"/>
      <w:b/>
    </w:rPr>
  </w:style>
  <w:style w:type="paragraph" w:customStyle="1" w:styleId="260">
    <w:name w:val="日期1"/>
    <w:basedOn w:val="1"/>
    <w:next w:val="1"/>
    <w:autoRedefine/>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autoRedefine/>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8"/>
    <w:autoRedefine/>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autoRedefine/>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autoRedefine/>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6"/>
    <w:autoRedefine/>
    <w:qFormat/>
    <w:uiPriority w:val="99"/>
    <w:pPr>
      <w:adjustRightInd w:val="0"/>
      <w:snapToGrid w:val="0"/>
      <w:spacing w:line="360" w:lineRule="auto"/>
      <w:ind w:firstLine="420"/>
    </w:pPr>
    <w:rPr>
      <w:sz w:val="24"/>
      <w:szCs w:val="20"/>
    </w:rPr>
  </w:style>
  <w:style w:type="paragraph" w:customStyle="1" w:styleId="267">
    <w:name w:val="黑列表"/>
    <w:basedOn w:val="1"/>
    <w:autoRedefine/>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autoRedefine/>
    <w:qFormat/>
    <w:uiPriority w:val="99"/>
    <w:pPr>
      <w:autoSpaceDE/>
      <w:autoSpaceDN/>
      <w:adjustRightInd/>
      <w:spacing w:line="240" w:lineRule="auto"/>
      <w:ind w:left="0"/>
      <w:jc w:val="center"/>
    </w:pPr>
    <w:rPr>
      <w:b/>
      <w:sz w:val="24"/>
    </w:rPr>
  </w:style>
  <w:style w:type="paragraph" w:customStyle="1" w:styleId="269">
    <w:name w:val="招标文件1.1.1"/>
    <w:autoRedefine/>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autoRedefine/>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autoRedefine/>
    <w:qFormat/>
    <w:uiPriority w:val="99"/>
    <w:rPr>
      <w:rFonts w:ascii="Tahoma" w:hAnsi="Tahoma"/>
      <w:sz w:val="24"/>
      <w:szCs w:val="20"/>
    </w:rPr>
  </w:style>
  <w:style w:type="paragraph" w:customStyle="1" w:styleId="273">
    <w:name w:val="xl48"/>
    <w:basedOn w:val="1"/>
    <w:autoRedefine/>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7"/>
    <w:autoRedefine/>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autoRedefine/>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autoRedefine/>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autoRedefine/>
    <w:qFormat/>
    <w:uiPriority w:val="99"/>
    <w:pPr>
      <w:adjustRightInd w:val="0"/>
      <w:snapToGrid w:val="0"/>
      <w:spacing w:before="60" w:line="180" w:lineRule="exact"/>
      <w:jc w:val="center"/>
    </w:pPr>
    <w:rPr>
      <w:szCs w:val="21"/>
    </w:rPr>
  </w:style>
  <w:style w:type="paragraph" w:customStyle="1" w:styleId="280">
    <w:name w:val="aria"/>
    <w:basedOn w:val="1"/>
    <w:autoRedefine/>
    <w:qFormat/>
    <w:uiPriority w:val="99"/>
    <w:pPr>
      <w:spacing w:line="360" w:lineRule="auto"/>
    </w:pPr>
    <w:rPr>
      <w:b/>
      <w:sz w:val="24"/>
    </w:rPr>
  </w:style>
  <w:style w:type="paragraph" w:customStyle="1" w:styleId="281">
    <w:name w:val="首行缩进 1"/>
    <w:basedOn w:val="1"/>
    <w:autoRedefine/>
    <w:qFormat/>
    <w:uiPriority w:val="99"/>
    <w:pPr>
      <w:spacing w:after="120" w:line="360" w:lineRule="auto"/>
      <w:ind w:firstLine="200" w:firstLineChars="200"/>
    </w:pPr>
    <w:rPr>
      <w:sz w:val="24"/>
    </w:rPr>
  </w:style>
  <w:style w:type="paragraph" w:customStyle="1" w:styleId="282">
    <w:name w:val="P2"/>
    <w:autoRedefine/>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autoRedefine/>
    <w:qFormat/>
    <w:uiPriority w:val="99"/>
    <w:pPr>
      <w:jc w:val="left"/>
    </w:pPr>
    <w:rPr>
      <w:bCs/>
      <w:color w:val="000000"/>
      <w:szCs w:val="21"/>
    </w:rPr>
  </w:style>
  <w:style w:type="paragraph" w:customStyle="1" w:styleId="284">
    <w:name w:val="Char Char Char Char Char Char Char"/>
    <w:basedOn w:val="1"/>
    <w:autoRedefine/>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autoRedefine/>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autoRedefine/>
    <w:qFormat/>
    <w:uiPriority w:val="99"/>
    <w:pPr>
      <w:autoSpaceDE w:val="0"/>
      <w:autoSpaceDN w:val="0"/>
      <w:adjustRightInd w:val="0"/>
      <w:jc w:val="left"/>
    </w:pPr>
    <w:rPr>
      <w:kern w:val="0"/>
      <w:sz w:val="24"/>
      <w:szCs w:val="20"/>
    </w:rPr>
  </w:style>
  <w:style w:type="paragraph" w:customStyle="1" w:styleId="287">
    <w:name w:val="序4"/>
    <w:basedOn w:val="1"/>
    <w:autoRedefine/>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autoRedefine/>
    <w:qFormat/>
    <w:uiPriority w:val="99"/>
    <w:rPr>
      <w:rFonts w:ascii="仿宋_GB2312" w:hAnsi="宋体" w:eastAsia="仿宋_GB2312"/>
      <w:kern w:val="0"/>
      <w:sz w:val="28"/>
    </w:rPr>
  </w:style>
  <w:style w:type="paragraph" w:customStyle="1" w:styleId="289">
    <w:name w:val="黑正文"/>
    <w:basedOn w:val="1"/>
    <w:autoRedefine/>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autoRedefine/>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autoRedefine/>
    <w:qFormat/>
    <w:uiPriority w:val="99"/>
    <w:rPr>
      <w:rFonts w:ascii="Tahoma" w:hAnsi="Tahoma"/>
      <w:sz w:val="24"/>
      <w:szCs w:val="20"/>
    </w:rPr>
  </w:style>
  <w:style w:type="paragraph" w:customStyle="1" w:styleId="292">
    <w:name w:val="xl43"/>
    <w:basedOn w:val="1"/>
    <w:autoRedefine/>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autoRedefine/>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autoRedefine/>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autoRedefine/>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autoRedefine/>
    <w:qFormat/>
    <w:uiPriority w:val="99"/>
    <w:pPr>
      <w:spacing w:after="120"/>
    </w:pPr>
    <w:rPr>
      <w:color w:val="auto"/>
    </w:rPr>
  </w:style>
  <w:style w:type="paragraph" w:customStyle="1" w:styleId="298">
    <w:name w:val="font9"/>
    <w:basedOn w:val="1"/>
    <w:autoRedefine/>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autoRedefine/>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autoRedefine/>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autoRedefine/>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autoRedefine/>
    <w:qFormat/>
    <w:uiPriority w:val="99"/>
    <w:pPr>
      <w:tabs>
        <w:tab w:val="left" w:pos="620"/>
        <w:tab w:val="left" w:pos="720"/>
      </w:tabs>
      <w:ind w:left="620" w:hanging="420"/>
      <w:jc w:val="left"/>
    </w:pPr>
    <w:rPr>
      <w:color w:val="008080"/>
      <w:sz w:val="24"/>
      <w:u w:val="words"/>
    </w:rPr>
  </w:style>
  <w:style w:type="paragraph" w:customStyle="1" w:styleId="303">
    <w:name w:val="可研正文"/>
    <w:basedOn w:val="2"/>
    <w:autoRedefine/>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autoRedefine/>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06">
    <w:name w:val="xl27"/>
    <w:basedOn w:val="1"/>
    <w:autoRedefine/>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autoRedefine/>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autoRedefine/>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autoRedefine/>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autoRedefine/>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autoRedefine/>
    <w:qFormat/>
    <w:uiPriority w:val="99"/>
    <w:pPr>
      <w:adjustRightInd w:val="0"/>
    </w:pPr>
    <w:rPr>
      <w:rFonts w:ascii="Tahoma" w:hAnsi="Tahoma"/>
      <w:sz w:val="24"/>
      <w:szCs w:val="20"/>
    </w:rPr>
  </w:style>
  <w:style w:type="paragraph" w:customStyle="1" w:styleId="315">
    <w:name w:val="序2"/>
    <w:basedOn w:val="1"/>
    <w:autoRedefine/>
    <w:qFormat/>
    <w:uiPriority w:val="99"/>
    <w:pPr>
      <w:tabs>
        <w:tab w:val="left" w:pos="360"/>
        <w:tab w:val="left" w:pos="840"/>
      </w:tabs>
      <w:ind w:left="360" w:hanging="360"/>
    </w:pPr>
    <w:rPr>
      <w:rFonts w:eastAsia="黑体"/>
      <w:b/>
      <w:bCs/>
      <w:sz w:val="44"/>
    </w:rPr>
  </w:style>
  <w:style w:type="paragraph" w:customStyle="1" w:styleId="316">
    <w:name w:val="xl37"/>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autoRedefine/>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autoRedefine/>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autoRedefine/>
    <w:qFormat/>
    <w:uiPriority w:val="99"/>
    <w:pPr>
      <w:keepLines w:val="0"/>
      <w:widowControl/>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Cs w:val="28"/>
    </w:rPr>
  </w:style>
  <w:style w:type="paragraph" w:customStyle="1" w:styleId="320">
    <w:name w:val="编号正文"/>
    <w:basedOn w:val="204"/>
    <w:autoRedefine/>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autoRedefine/>
    <w:qFormat/>
    <w:uiPriority w:val="99"/>
    <w:pPr>
      <w:snapToGrid w:val="0"/>
      <w:spacing w:line="480" w:lineRule="exact"/>
      <w:ind w:firstLine="560"/>
    </w:pPr>
    <w:rPr>
      <w:sz w:val="28"/>
      <w:szCs w:val="20"/>
    </w:rPr>
  </w:style>
  <w:style w:type="paragraph" w:customStyle="1" w:styleId="322">
    <w:name w:val="标题下列示顺序"/>
    <w:basedOn w:val="257"/>
    <w:autoRedefine/>
    <w:qFormat/>
    <w:uiPriority w:val="99"/>
    <w:pPr>
      <w:tabs>
        <w:tab w:val="left" w:pos="1680"/>
      </w:tabs>
      <w:ind w:left="1680" w:leftChars="0" w:hanging="420"/>
    </w:pPr>
  </w:style>
  <w:style w:type="paragraph" w:customStyle="1" w:styleId="323">
    <w:name w:val="xl68"/>
    <w:basedOn w:val="1"/>
    <w:autoRedefine/>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autoRedefine/>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autoRedefine/>
    <w:qFormat/>
    <w:uiPriority w:val="99"/>
    <w:pPr>
      <w:tabs>
        <w:tab w:val="left" w:pos="560"/>
      </w:tabs>
      <w:ind w:left="200" w:firstLine="0" w:firstLineChars="0"/>
    </w:pPr>
  </w:style>
  <w:style w:type="paragraph" w:customStyle="1" w:styleId="326">
    <w:name w:val="样式 样式 列项· + 段后: 0.5 行 + 段前: 0.5 行"/>
    <w:basedOn w:val="1"/>
    <w:autoRedefine/>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autoRedefine/>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autoRedefine/>
    <w:qFormat/>
    <w:uiPriority w:val="99"/>
    <w:rPr>
      <w:rFonts w:ascii="Tahoma" w:hAnsi="Tahoma"/>
      <w:sz w:val="24"/>
      <w:szCs w:val="20"/>
    </w:rPr>
  </w:style>
  <w:style w:type="paragraph" w:customStyle="1" w:styleId="329">
    <w:name w:val="*4. Head 1"/>
    <w:basedOn w:val="114"/>
    <w:next w:val="114"/>
    <w:autoRedefine/>
    <w:qFormat/>
    <w:uiPriority w:val="99"/>
    <w:pPr>
      <w:spacing w:before="180" w:after="60"/>
    </w:pPr>
    <w:rPr>
      <w:rFonts w:ascii="Arial" w:hAnsi="Arial"/>
      <w:color w:val="auto"/>
    </w:rPr>
  </w:style>
  <w:style w:type="paragraph" w:customStyle="1" w:styleId="330">
    <w:name w:val="Default Text"/>
    <w:basedOn w:val="1"/>
    <w:autoRedefine/>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autoRedefine/>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autoRedefine/>
    <w:qFormat/>
    <w:uiPriority w:val="99"/>
    <w:pPr>
      <w:adjustRightInd w:val="0"/>
      <w:spacing w:line="360" w:lineRule="auto"/>
    </w:pPr>
    <w:rPr>
      <w:kern w:val="0"/>
      <w:sz w:val="24"/>
      <w:szCs w:val="20"/>
    </w:rPr>
  </w:style>
  <w:style w:type="paragraph" w:customStyle="1" w:styleId="334">
    <w:name w:val="Char Char Char Char"/>
    <w:basedOn w:val="1"/>
    <w:next w:val="1"/>
    <w:autoRedefine/>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autoRedefine/>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autoRedefine/>
    <w:qFormat/>
    <w:uiPriority w:val="99"/>
    <w:pPr>
      <w:adjustRightInd w:val="0"/>
      <w:spacing w:line="360" w:lineRule="auto"/>
    </w:pPr>
    <w:rPr>
      <w:kern w:val="0"/>
      <w:sz w:val="24"/>
      <w:szCs w:val="20"/>
    </w:rPr>
  </w:style>
  <w:style w:type="paragraph" w:customStyle="1" w:styleId="337">
    <w:name w:val="样式1"/>
    <w:basedOn w:val="1"/>
    <w:autoRedefine/>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autoRedefine/>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autoRedefine/>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autoRedefine/>
    <w:qFormat/>
    <w:uiPriority w:val="99"/>
    <w:rPr>
      <w:rFonts w:ascii="Tahoma" w:hAnsi="Tahoma"/>
      <w:sz w:val="24"/>
      <w:szCs w:val="20"/>
    </w:rPr>
  </w:style>
  <w:style w:type="paragraph" w:customStyle="1" w:styleId="341">
    <w:name w:val="Comment"/>
    <w:basedOn w:val="1"/>
    <w:autoRedefine/>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autoRedefine/>
    <w:qFormat/>
    <w:uiPriority w:val="0"/>
    <w:pPr>
      <w:keepLines w:val="0"/>
      <w:widowControl/>
      <w:tabs>
        <w:tab w:val="left" w:pos="992"/>
        <w:tab w:val="left" w:pos="1440"/>
      </w:tabs>
      <w:spacing w:before="240" w:after="240" w:line="240" w:lineRule="auto"/>
      <w:ind w:hanging="1440"/>
    </w:pPr>
    <w:rPr>
      <w:bCs w:val="0"/>
      <w:kern w:val="0"/>
      <w:szCs w:val="20"/>
    </w:rPr>
  </w:style>
  <w:style w:type="paragraph" w:customStyle="1" w:styleId="343">
    <w:name w:val="表格首行"/>
    <w:basedOn w:val="1"/>
    <w:autoRedefine/>
    <w:qFormat/>
    <w:uiPriority w:val="99"/>
    <w:pPr>
      <w:jc w:val="center"/>
    </w:pPr>
    <w:rPr>
      <w:rFonts w:ascii="宋体" w:hAnsi="宋体"/>
    </w:rPr>
  </w:style>
  <w:style w:type="paragraph" w:customStyle="1" w:styleId="344">
    <w:name w:val="font11"/>
    <w:basedOn w:val="1"/>
    <w:autoRedefine/>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autoRedefine/>
    <w:qFormat/>
    <w:uiPriority w:val="99"/>
    <w:pPr>
      <w:tabs>
        <w:tab w:val="left" w:pos="425"/>
      </w:tabs>
      <w:ind w:left="1417" w:hanging="425"/>
    </w:pPr>
    <w:rPr>
      <w:i/>
      <w:sz w:val="20"/>
    </w:rPr>
  </w:style>
  <w:style w:type="paragraph" w:customStyle="1" w:styleId="346">
    <w:name w:val="Char11"/>
    <w:basedOn w:val="1"/>
    <w:autoRedefine/>
    <w:qFormat/>
    <w:uiPriority w:val="0"/>
    <w:rPr>
      <w:rFonts w:ascii="宋体" w:hAnsi="宋体"/>
      <w:sz w:val="24"/>
      <w:szCs w:val="20"/>
    </w:rPr>
  </w:style>
  <w:style w:type="paragraph" w:customStyle="1" w:styleId="347">
    <w:name w:val="xl29"/>
    <w:basedOn w:val="1"/>
    <w:autoRedefine/>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autoRedefine/>
    <w:qFormat/>
    <w:uiPriority w:val="99"/>
    <w:pPr>
      <w:shd w:val="clear" w:color="auto" w:fill="E0E0E0"/>
      <w:spacing w:beforeLines="50" w:afterLines="50"/>
    </w:pPr>
    <w:rPr>
      <w:rFonts w:ascii="Arial" w:hAnsi="Arial" w:eastAsia="仿宋_GB2312"/>
    </w:rPr>
  </w:style>
  <w:style w:type="paragraph" w:customStyle="1" w:styleId="349">
    <w:name w:val="MM Topic 1"/>
    <w:basedOn w:val="3"/>
    <w:autoRedefine/>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autoRedefine/>
    <w:qFormat/>
    <w:uiPriority w:val="0"/>
  </w:style>
  <w:style w:type="paragraph" w:customStyle="1" w:styleId="351">
    <w:name w:val="Normal Paragraph"/>
    <w:basedOn w:val="1"/>
    <w:link w:val="363"/>
    <w:autoRedefine/>
    <w:qFormat/>
    <w:uiPriority w:val="0"/>
    <w:pPr>
      <w:widowControl/>
      <w:spacing w:before="120" w:line="360" w:lineRule="auto"/>
      <w:ind w:firstLine="425"/>
    </w:pPr>
    <w:rPr>
      <w:kern w:val="0"/>
      <w:sz w:val="24"/>
    </w:rPr>
  </w:style>
  <w:style w:type="paragraph" w:customStyle="1" w:styleId="352">
    <w:name w:val="正文小四（首行缩进两字）"/>
    <w:autoRedefine/>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autoRedefine/>
    <w:qFormat/>
    <w:uiPriority w:val="0"/>
    <w:pPr>
      <w:widowControl/>
      <w:ind w:firstLine="200" w:firstLineChars="200"/>
      <w:jc w:val="left"/>
    </w:pPr>
    <w:rPr>
      <w:szCs w:val="20"/>
    </w:rPr>
  </w:style>
  <w:style w:type="character" w:customStyle="1" w:styleId="354">
    <w:name w:val="NeusoftPMS正文 Char"/>
    <w:link w:val="353"/>
    <w:autoRedefine/>
    <w:qFormat/>
    <w:uiPriority w:val="0"/>
    <w:rPr>
      <w:kern w:val="2"/>
      <w:sz w:val="21"/>
    </w:rPr>
  </w:style>
  <w:style w:type="character" w:customStyle="1" w:styleId="355">
    <w:name w:val="明显参考1"/>
    <w:autoRedefine/>
    <w:qFormat/>
    <w:uiPriority w:val="32"/>
    <w:rPr>
      <w:b/>
      <w:bCs/>
      <w:smallCaps/>
      <w:color w:val="4F81BD"/>
      <w:spacing w:val="5"/>
    </w:rPr>
  </w:style>
  <w:style w:type="paragraph" w:customStyle="1" w:styleId="356">
    <w:name w:val="QB正文"/>
    <w:basedOn w:val="1"/>
    <w:autoRedefine/>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autoRedefine/>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autoRedefine/>
    <w:qFormat/>
    <w:uiPriority w:val="0"/>
    <w:rPr>
      <w:rFonts w:ascii="仿宋_GB2312" w:hAnsi="仿宋_GB2312" w:eastAsia="仿宋_GB2312"/>
      <w:sz w:val="24"/>
    </w:rPr>
  </w:style>
  <w:style w:type="paragraph" w:customStyle="1" w:styleId="361">
    <w:name w:val="kevin标题1"/>
    <w:basedOn w:val="1"/>
    <w:autoRedefine/>
    <w:qFormat/>
    <w:uiPriority w:val="0"/>
    <w:pPr>
      <w:spacing w:afterLines="50"/>
      <w:ind w:left="1" w:firstLine="538" w:firstLineChars="192"/>
    </w:pPr>
    <w:rPr>
      <w:rFonts w:eastAsia="黑体"/>
      <w:sz w:val="24"/>
      <w:szCs w:val="20"/>
    </w:rPr>
  </w:style>
  <w:style w:type="character" w:customStyle="1" w:styleId="362">
    <w:name w:val="msonormal1"/>
    <w:autoRedefine/>
    <w:qFormat/>
    <w:uiPriority w:val="0"/>
  </w:style>
  <w:style w:type="character" w:customStyle="1" w:styleId="363">
    <w:name w:val="Normal Paragraph Char1"/>
    <w:link w:val="351"/>
    <w:autoRedefine/>
    <w:qFormat/>
    <w:locked/>
    <w:uiPriority w:val="0"/>
    <w:rPr>
      <w:sz w:val="24"/>
      <w:szCs w:val="24"/>
    </w:rPr>
  </w:style>
  <w:style w:type="character" w:customStyle="1" w:styleId="364">
    <w:name w:val="未处理的提及1"/>
    <w:basedOn w:val="55"/>
    <w:autoRedefine/>
    <w:semiHidden/>
    <w:unhideWhenUsed/>
    <w:qFormat/>
    <w:uiPriority w:val="99"/>
    <w:rPr>
      <w:color w:val="605E5C"/>
      <w:shd w:val="clear" w:color="auto" w:fill="E1DFDD"/>
    </w:rPr>
  </w:style>
  <w:style w:type="character" w:customStyle="1" w:styleId="365">
    <w:name w:val="3级标题 Char"/>
    <w:link w:val="366"/>
    <w:autoRedefine/>
    <w:qFormat/>
    <w:uiPriority w:val="0"/>
    <w:rPr>
      <w:b/>
    </w:rPr>
  </w:style>
  <w:style w:type="paragraph" w:customStyle="1" w:styleId="366">
    <w:name w:val="3级标题"/>
    <w:basedOn w:val="1"/>
    <w:link w:val="365"/>
    <w:autoRedefine/>
    <w:qFormat/>
    <w:uiPriority w:val="0"/>
    <w:pPr>
      <w:spacing w:line="360" w:lineRule="auto"/>
      <w:outlineLvl w:val="1"/>
    </w:pPr>
    <w:rPr>
      <w:b/>
    </w:rPr>
  </w:style>
  <w:style w:type="paragraph" w:customStyle="1" w:styleId="367">
    <w:name w:val="4级标题"/>
    <w:basedOn w:val="1"/>
    <w:autoRedefine/>
    <w:qFormat/>
    <w:uiPriority w:val="0"/>
    <w:pPr>
      <w:numPr>
        <w:ilvl w:val="1"/>
        <w:numId w:val="3"/>
      </w:numPr>
      <w:spacing w:line="360" w:lineRule="auto"/>
      <w:outlineLvl w:val="2"/>
    </w:pPr>
  </w:style>
  <w:style w:type="paragraph" w:customStyle="1" w:styleId="368">
    <w:name w:val="whh正文"/>
    <w:basedOn w:val="1"/>
    <w:autoRedefine/>
    <w:qFormat/>
    <w:uiPriority w:val="0"/>
    <w:pPr>
      <w:adjustRightInd w:val="0"/>
      <w:snapToGrid w:val="0"/>
      <w:spacing w:line="360" w:lineRule="auto"/>
      <w:ind w:firstLine="420"/>
    </w:pPr>
    <w:rPr>
      <w:rFonts w:ascii="宋体" w:hAnsi="宋体"/>
      <w:szCs w:val="21"/>
    </w:rPr>
  </w:style>
  <w:style w:type="paragraph" w:customStyle="1" w:styleId="369">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autoRedefine/>
    <w:qFormat/>
    <w:uiPriority w:val="0"/>
    <w:pPr>
      <w:numPr>
        <w:ilvl w:val="0"/>
        <w:numId w:val="4"/>
      </w:numPr>
      <w:spacing w:line="360" w:lineRule="auto"/>
    </w:pPr>
    <w:rPr>
      <w:sz w:val="24"/>
    </w:rPr>
  </w:style>
  <w:style w:type="paragraph" w:customStyle="1" w:styleId="371">
    <w:name w:val="修订5"/>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2">
    <w:name w:val="修订6"/>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3">
    <w:name w:val="修订7"/>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374">
    <w:name w:val="修订8"/>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375">
    <w:name w:val="批注文字 Char"/>
    <w:autoRedefine/>
    <w:qFormat/>
    <w:uiPriority w:val="0"/>
    <w:rPr>
      <w:rFonts w:eastAsia="宋体"/>
      <w:kern w:val="2"/>
      <w:sz w:val="21"/>
      <w:lang w:val="en-US" w:eastAsia="zh-CN" w:bidi="ar-SA"/>
    </w:rPr>
  </w:style>
  <w:style w:type="character" w:customStyle="1" w:styleId="376">
    <w:name w:val="列表段落 字符1"/>
    <w:autoRedefine/>
    <w:qFormat/>
    <w:uiPriority w:val="34"/>
    <w:rPr>
      <w:sz w:val="22"/>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0BB24-06D8-4C86-8A94-C11FBA016960}">
  <ds:schemaRefs/>
</ds:datastoreItem>
</file>

<file path=docProps/app.xml><?xml version="1.0" encoding="utf-8"?>
<Properties xmlns="http://schemas.openxmlformats.org/officeDocument/2006/extended-properties" xmlns:vt="http://schemas.openxmlformats.org/officeDocument/2006/docPropsVTypes">
  <Template>Normal.dotm</Template>
  <Pages>56</Pages>
  <Words>1720</Words>
  <Characters>1899</Characters>
  <Lines>220</Lines>
  <Paragraphs>62</Paragraphs>
  <TotalTime>2176</TotalTime>
  <ScaleCrop>false</ScaleCrop>
  <LinksUpToDate>false</LinksUpToDate>
  <CharactersWithSpaces>1906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2024-12-11T01:37:00Z</dcterms:created>
  <dc:creator>jscn</dc:creator>
  <cp:lastModifiedBy>氨基酸</cp:lastModifiedBy>
  <cp:lastPrinted>2017-04-10T13:36:00Z</cp:lastPrinted>
  <dcterms:modified xsi:type="dcterms:W3CDTF">2025-02-27T08:45:02Z</dcterms:modified>
  <cp:revision>376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F82416E95C344E37A98F1F80EDC5CBAF_13</vt:lpwstr>
  </property>
  <property fmtid="{D5CDD505-2E9C-101B-9397-08002B2CF9AE}" pid="4" name="KSOTemplateDocerSaveRecord">
    <vt:lpwstr>eyJoZGlkIjoiNDZhOGFjZmY4ZmRkMTM2MWFiOGQ0NDM5NzgwMjc3M2UiLCJ1c2VySWQiOiI0NTA3NjkxOTYifQ==</vt:lpwstr>
  </property>
</Properties>
</file>