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06A29">
      <w:pPr>
        <w:spacing w:before="380" w:after="380" w:line="360" w:lineRule="auto"/>
        <w:ind w:firstLine="880"/>
        <w:jc w:val="center"/>
        <w:rPr>
          <w:rFonts w:hint="eastAsia" w:ascii="黑体" w:hAnsi="宋体" w:eastAsia="黑体"/>
          <w:color w:val="000000" w:themeColor="text1"/>
          <w:sz w:val="44"/>
          <w:szCs w:val="44"/>
          <w14:textFill>
            <w14:solidFill>
              <w14:schemeClr w14:val="tx1"/>
            </w14:solidFill>
          </w14:textFill>
        </w:rPr>
      </w:pPr>
    </w:p>
    <w:p w14:paraId="7665A046">
      <w:pPr>
        <w:spacing w:before="380" w:after="380" w:line="360" w:lineRule="auto"/>
        <w:ind w:firstLine="880"/>
        <w:jc w:val="center"/>
        <w:rPr>
          <w:rFonts w:hint="eastAsia" w:ascii="黑体" w:hAnsi="宋体" w:eastAsia="黑体"/>
          <w:color w:val="000000" w:themeColor="text1"/>
          <w:sz w:val="44"/>
          <w:szCs w:val="44"/>
          <w14:textFill>
            <w14:solidFill>
              <w14:schemeClr w14:val="tx1"/>
            </w14:solidFill>
          </w14:textFill>
        </w:rPr>
      </w:pPr>
    </w:p>
    <w:p w14:paraId="33C2A786">
      <w:pPr>
        <w:spacing w:after="120" w:line="360" w:lineRule="auto"/>
        <w:jc w:val="center"/>
        <w:rPr>
          <w:rFonts w:hint="eastAsia"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江苏省广电有线信息网络股份有限公司</w:t>
      </w:r>
    </w:p>
    <w:p w14:paraId="5F9A9BA8">
      <w:pPr>
        <w:spacing w:after="120" w:line="360" w:lineRule="auto"/>
        <w:jc w:val="center"/>
        <w:rPr>
          <w:rFonts w:hint="eastAsia" w:ascii="黑体" w:hAnsi="宋体" w:eastAsia="黑体"/>
          <w:color w:val="000000" w:themeColor="text1"/>
          <w:sz w:val="44"/>
          <w:szCs w:val="44"/>
          <w14:textFill>
            <w14:solidFill>
              <w14:schemeClr w14:val="tx1"/>
            </w14:solidFill>
          </w14:textFill>
        </w:rPr>
      </w:pPr>
      <w:bookmarkStart w:id="0" w:name="OLE_LINK7"/>
      <w:bookmarkStart w:id="1" w:name="_Hlk103000311"/>
      <w:bookmarkStart w:id="2" w:name="_Toc227057880"/>
      <w:r>
        <w:rPr>
          <w:rFonts w:hint="eastAsia" w:ascii="黑体" w:hAnsi="宋体" w:eastAsia="黑体"/>
          <w:color w:val="000000" w:themeColor="text1"/>
          <w:sz w:val="44"/>
          <w:szCs w:val="44"/>
          <w14:textFill>
            <w14:solidFill>
              <w14:schemeClr w14:val="tx1"/>
            </w14:solidFill>
          </w14:textFill>
        </w:rPr>
        <w:t>GPU算力资源租用服务</w:t>
      </w:r>
      <w:bookmarkEnd w:id="0"/>
    </w:p>
    <w:p w14:paraId="4A326482">
      <w:pPr>
        <w:spacing w:after="120" w:line="360" w:lineRule="auto"/>
        <w:jc w:val="center"/>
        <w:rPr>
          <w:rFonts w:hint="eastAsia"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竞争性</w:t>
      </w:r>
      <w:bookmarkEnd w:id="1"/>
      <w:r>
        <w:rPr>
          <w:rFonts w:hint="eastAsia" w:ascii="黑体" w:hAnsi="宋体" w:eastAsia="黑体"/>
          <w:color w:val="000000" w:themeColor="text1"/>
          <w:sz w:val="44"/>
          <w:szCs w:val="44"/>
          <w14:textFill>
            <w14:solidFill>
              <w14:schemeClr w14:val="tx1"/>
            </w14:solidFill>
          </w14:textFill>
        </w:rPr>
        <w:t>谈判文件</w:t>
      </w:r>
    </w:p>
    <w:p w14:paraId="0A46A46C">
      <w:pPr>
        <w:spacing w:line="360" w:lineRule="auto"/>
        <w:ind w:firstLine="643"/>
        <w:jc w:val="center"/>
        <w:rPr>
          <w:b/>
          <w:bCs/>
          <w:color w:val="000000" w:themeColor="text1"/>
          <w:sz w:val="32"/>
          <w:szCs w:val="32"/>
          <w14:textFill>
            <w14:solidFill>
              <w14:schemeClr w14:val="tx1"/>
            </w14:solidFill>
          </w14:textFill>
        </w:rPr>
      </w:pPr>
    </w:p>
    <w:p w14:paraId="531E8ADD">
      <w:pPr>
        <w:spacing w:line="36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编号：JSCN[2025]020</w:t>
      </w:r>
    </w:p>
    <w:p w14:paraId="55C23300">
      <w:pPr>
        <w:spacing w:line="360" w:lineRule="auto"/>
        <w:ind w:firstLine="643"/>
        <w:jc w:val="center"/>
        <w:rPr>
          <w:b/>
          <w:bCs/>
          <w:color w:val="000000" w:themeColor="text1"/>
          <w:sz w:val="32"/>
          <w:szCs w:val="32"/>
          <w14:textFill>
            <w14:solidFill>
              <w14:schemeClr w14:val="tx1"/>
            </w14:solidFill>
          </w14:textFill>
        </w:rPr>
      </w:pPr>
    </w:p>
    <w:p w14:paraId="162B645D">
      <w:pPr>
        <w:spacing w:line="360" w:lineRule="auto"/>
        <w:ind w:firstLine="643"/>
        <w:jc w:val="center"/>
        <w:rPr>
          <w:b/>
          <w:bCs/>
          <w:color w:val="000000" w:themeColor="text1"/>
          <w:sz w:val="32"/>
          <w:szCs w:val="32"/>
          <w14:textFill>
            <w14:solidFill>
              <w14:schemeClr w14:val="tx1"/>
            </w14:solidFill>
          </w14:textFill>
        </w:rPr>
      </w:pPr>
    </w:p>
    <w:p w14:paraId="19B603B4">
      <w:pPr>
        <w:spacing w:line="360" w:lineRule="auto"/>
        <w:ind w:firstLine="643"/>
        <w:jc w:val="center"/>
        <w:rPr>
          <w:b/>
          <w:bCs/>
          <w:color w:val="000000" w:themeColor="text1"/>
          <w:sz w:val="32"/>
          <w:szCs w:val="32"/>
          <w14:textFill>
            <w14:solidFill>
              <w14:schemeClr w14:val="tx1"/>
            </w14:solidFill>
          </w14:textFill>
        </w:rPr>
      </w:pPr>
    </w:p>
    <w:p w14:paraId="76B8C18A">
      <w:pPr>
        <w:spacing w:line="360" w:lineRule="auto"/>
        <w:ind w:firstLine="643"/>
        <w:jc w:val="center"/>
        <w:rPr>
          <w:b/>
          <w:bCs/>
          <w:color w:val="000000" w:themeColor="text1"/>
          <w:sz w:val="32"/>
          <w:szCs w:val="32"/>
          <w14:textFill>
            <w14:solidFill>
              <w14:schemeClr w14:val="tx1"/>
            </w14:solidFill>
          </w14:textFill>
        </w:rPr>
      </w:pPr>
    </w:p>
    <w:p w14:paraId="28E5D155">
      <w:pPr>
        <w:spacing w:line="360" w:lineRule="auto"/>
        <w:ind w:firstLine="643"/>
        <w:jc w:val="center"/>
        <w:rPr>
          <w:b/>
          <w:bCs/>
          <w:color w:val="000000" w:themeColor="text1"/>
          <w:sz w:val="32"/>
          <w:szCs w:val="32"/>
          <w14:textFill>
            <w14:solidFill>
              <w14:schemeClr w14:val="tx1"/>
            </w14:solidFill>
          </w14:textFill>
        </w:rPr>
      </w:pPr>
    </w:p>
    <w:p w14:paraId="139C69A5">
      <w:pPr>
        <w:spacing w:line="360" w:lineRule="auto"/>
        <w:ind w:firstLine="643"/>
        <w:jc w:val="center"/>
        <w:rPr>
          <w:b/>
          <w:bCs/>
          <w:color w:val="000000" w:themeColor="text1"/>
          <w:sz w:val="32"/>
          <w:szCs w:val="32"/>
          <w14:textFill>
            <w14:solidFill>
              <w14:schemeClr w14:val="tx1"/>
            </w14:solidFill>
          </w14:textFill>
        </w:rPr>
      </w:pPr>
    </w:p>
    <w:p w14:paraId="728DA885">
      <w:pPr>
        <w:spacing w:line="360" w:lineRule="auto"/>
        <w:ind w:firstLine="562"/>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b/>
          <w:color w:val="000000" w:themeColor="text1"/>
          <w:sz w:val="28"/>
          <w:szCs w:val="28"/>
          <w14:textFill>
            <w14:solidFill>
              <w14:schemeClr w14:val="tx1"/>
            </w14:solidFill>
          </w14:textFill>
        </w:rPr>
        <w:t>江苏省广电有线信息网络股份有限公司</w:t>
      </w:r>
    </w:p>
    <w:p w14:paraId="3F86DE64">
      <w:pPr>
        <w:spacing w:line="360" w:lineRule="auto"/>
        <w:ind w:firstLine="562"/>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二〇二五年二月</w:t>
      </w:r>
    </w:p>
    <w:p w14:paraId="340E87B5">
      <w:pPr>
        <w:spacing w:before="380" w:after="380" w:line="360" w:lineRule="auto"/>
        <w:ind w:firstLine="1405" w:firstLineChars="500"/>
        <w:rPr>
          <w:b/>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2C78FB61">
      <w:pPr>
        <w:pStyle w:val="128"/>
        <w:ind w:left="289" w:firstLine="600"/>
        <w:jc w:val="center"/>
        <w:rPr>
          <w:rFonts w:hint="eastAsia" w:ascii="宋体" w:hAnsi="宋体" w:eastAsia="宋体"/>
          <w:color w:val="000000" w:themeColor="text1"/>
          <w:sz w:val="30"/>
          <w:szCs w:val="30"/>
          <w:lang w:val="zh-CN"/>
          <w14:textFill>
            <w14:solidFill>
              <w14:schemeClr w14:val="tx1"/>
            </w14:solidFill>
          </w14:textFill>
        </w:rPr>
      </w:pPr>
      <w:r>
        <w:rPr>
          <w:rFonts w:ascii="宋体" w:hAnsi="宋体" w:eastAsia="宋体"/>
          <w:color w:val="000000" w:themeColor="text1"/>
          <w:sz w:val="30"/>
          <w:szCs w:val="30"/>
          <w:lang w:val="zh-CN"/>
          <w14:textFill>
            <w14:solidFill>
              <w14:schemeClr w14:val="tx1"/>
            </w14:solidFill>
          </w14:textFill>
        </w:rPr>
        <w:t>目录</w:t>
      </w:r>
    </w:p>
    <w:p w14:paraId="38507CCC">
      <w:pPr>
        <w:pStyle w:val="39"/>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"_Toc16046" </w:instrText>
      </w:r>
      <w:r>
        <w:fldChar w:fldCharType="separate"/>
      </w:r>
      <w:r>
        <w:rPr>
          <w:rFonts w:hint="eastAsia"/>
          <w:color w:val="000000" w:themeColor="text1"/>
          <w14:textFill>
            <w14:solidFill>
              <w14:schemeClr w14:val="tx1"/>
            </w14:solidFill>
          </w14:textFill>
        </w:rPr>
        <w:t>第一章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竞争性谈判公告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_Toc16046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2D07FAC">
      <w:pPr>
        <w:pStyle w:val="39"/>
        <w:rPr>
          <w:color w:val="000000" w:themeColor="text1"/>
          <w14:textFill>
            <w14:solidFill>
              <w14:schemeClr w14:val="tx1"/>
            </w14:solidFill>
          </w14:textFill>
        </w:rPr>
      </w:pPr>
      <w:r>
        <w:fldChar w:fldCharType="begin"/>
      </w:r>
      <w:r>
        <w:instrText xml:space="preserve"> HYPERLINK \l "_Toc16807" </w:instrText>
      </w:r>
      <w:r>
        <w:fldChar w:fldCharType="separate"/>
      </w:r>
      <w:r>
        <w:rPr>
          <w:rFonts w:hint="eastAsia"/>
          <w:color w:val="000000" w:themeColor="text1"/>
          <w14:textFill>
            <w14:solidFill>
              <w14:schemeClr w14:val="tx1"/>
            </w14:solidFill>
          </w14:textFill>
        </w:rPr>
        <w:t>第二章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竞争性谈判</w:t>
      </w:r>
      <w:r>
        <w:rPr>
          <w:color w:val="000000" w:themeColor="text1"/>
          <w14:textFill>
            <w14:solidFill>
              <w14:schemeClr w14:val="tx1"/>
            </w14:solidFill>
          </w14:textFill>
        </w:rPr>
        <w:t>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3BE89A2">
      <w:pPr>
        <w:pStyle w:val="39"/>
        <w:rPr>
          <w:color w:val="000000" w:themeColor="text1"/>
          <w14:textFill>
            <w14:solidFill>
              <w14:schemeClr w14:val="tx1"/>
            </w14:solidFill>
          </w14:textFill>
        </w:rPr>
      </w:pPr>
      <w:r>
        <w:fldChar w:fldCharType="begin"/>
      </w:r>
      <w:r>
        <w:instrText xml:space="preserve"> HYPERLINK \l "_Toc21730" </w:instrText>
      </w:r>
      <w:r>
        <w:fldChar w:fldCharType="separate"/>
      </w:r>
      <w:r>
        <w:rPr>
          <w:rFonts w:hint="eastAsia"/>
          <w:color w:val="000000" w:themeColor="text1"/>
          <w14:textFill>
            <w14:solidFill>
              <w14:schemeClr w14:val="tx1"/>
            </w14:solidFill>
          </w14:textFill>
        </w:rPr>
        <w:t>第三章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评审办法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_Toc21730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FB2BC69">
      <w:pPr>
        <w:pStyle w:val="39"/>
        <w:rPr>
          <w:color w:val="000000" w:themeColor="text1"/>
          <w14:textFill>
            <w14:solidFill>
              <w14:schemeClr w14:val="tx1"/>
            </w14:solidFill>
          </w14:textFill>
        </w:rPr>
      </w:pPr>
      <w:r>
        <w:fldChar w:fldCharType="begin"/>
      </w:r>
      <w:r>
        <w:instrText xml:space="preserve"> HYPERLINK \l "_Toc22799" </w:instrText>
      </w:r>
      <w:r>
        <w:fldChar w:fldCharType="separate"/>
      </w:r>
      <w:r>
        <w:rPr>
          <w:rFonts w:hint="eastAsia"/>
          <w:color w:val="000000" w:themeColor="text1"/>
          <w14:textFill>
            <w14:solidFill>
              <w14:schemeClr w14:val="tx1"/>
            </w14:solidFill>
          </w14:textFill>
        </w:rPr>
        <w:t>第四章</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6F2C73C">
      <w:pPr>
        <w:pStyle w:val="39"/>
        <w:rPr>
          <w:color w:val="000000" w:themeColor="text1"/>
          <w14:textFill>
            <w14:solidFill>
              <w14:schemeClr w14:val="tx1"/>
            </w14:solidFill>
          </w14:textFill>
        </w:rPr>
      </w:pPr>
      <w:r>
        <w:fldChar w:fldCharType="begin"/>
      </w:r>
      <w:r>
        <w:instrText xml:space="preserve"> HYPERLINK \l "_Toc18088" </w:instrText>
      </w:r>
      <w:r>
        <w:fldChar w:fldCharType="separate"/>
      </w:r>
      <w:r>
        <w:rPr>
          <w:rFonts w:hint="eastAsia"/>
          <w:color w:val="000000" w:themeColor="text1"/>
          <w14:textFill>
            <w14:solidFill>
              <w14:schemeClr w14:val="tx1"/>
            </w14:solidFill>
          </w14:textFill>
        </w:rPr>
        <w:t>第五章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技术需求书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AD22064">
      <w:pPr>
        <w:pStyle w:val="39"/>
        <w:rPr>
          <w:color w:val="000000" w:themeColor="text1"/>
          <w14:textFill>
            <w14:solidFill>
              <w14:schemeClr w14:val="tx1"/>
            </w14:solidFill>
          </w14:textFill>
        </w:rPr>
      </w:pPr>
      <w:r>
        <w:fldChar w:fldCharType="begin"/>
      </w:r>
      <w:r>
        <w:instrText xml:space="preserve"> HYPERLINK \l "_Toc10238" </w:instrText>
      </w:r>
      <w:r>
        <w:fldChar w:fldCharType="separate"/>
      </w:r>
      <w:r>
        <w:rPr>
          <w:rFonts w:hint="eastAsia"/>
          <w:color w:val="000000" w:themeColor="text1"/>
          <w14:textFill>
            <w14:solidFill>
              <w14:schemeClr w14:val="tx1"/>
            </w14:solidFill>
          </w14:textFill>
        </w:rPr>
        <w:t>第六章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竞争性谈判响应文件格式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A315CC5">
      <w:pPr>
        <w:pStyle w:val="39"/>
        <w:rPr>
          <w:color w:val="000000" w:themeColor="text1"/>
          <w14:textFill>
            <w14:solidFill>
              <w14:schemeClr w14:val="tx1"/>
            </w14:solidFill>
          </w14:textFill>
        </w:rPr>
      </w:pPr>
      <w:r>
        <w:fldChar w:fldCharType="begin"/>
      </w:r>
      <w:r>
        <w:instrText xml:space="preserve"> HYPERLINK \l "_Toc24121" </w:instrText>
      </w:r>
      <w:r>
        <w:fldChar w:fldCharType="separate"/>
      </w:r>
      <w:r>
        <w:rPr>
          <w:rFonts w:hint="eastAsia"/>
          <w:color w:val="000000" w:themeColor="text1"/>
          <w14:textFill>
            <w14:solidFill>
              <w14:schemeClr w14:val="tx1"/>
            </w14:solidFill>
          </w14:textFill>
        </w:rPr>
        <w:t>第七章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_Toc24121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2C0AD22">
      <w:pPr>
        <w:pStyle w:val="39"/>
        <w:rPr>
          <w:rFonts w:ascii="Calibri" w:hAnsi="Calibri" w:eastAsia="宋体"/>
          <w:color w:val="000000" w:themeColor="text1"/>
          <w:kern w:val="2"/>
          <w:szCs w:val="22"/>
          <w14:textFill>
            <w14:solidFill>
              <w14:schemeClr w14:val="tx1"/>
            </w14:solidFill>
          </w14:textFill>
        </w:rPr>
      </w:pPr>
      <w:r>
        <w:rPr>
          <w:color w:val="000000" w:themeColor="text1"/>
          <w14:textFill>
            <w14:solidFill>
              <w14:schemeClr w14:val="tx1"/>
            </w14:solidFill>
          </w14:textFill>
        </w:rPr>
        <w:fldChar w:fldCharType="end"/>
      </w:r>
    </w:p>
    <w:p w14:paraId="74BEDAB3">
      <w:pPr>
        <w:widowControl/>
        <w:spacing w:before="312" w:after="312"/>
        <w:ind w:firstLine="420"/>
        <w:jc w:val="left"/>
        <w:rPr>
          <w:rFonts w:eastAsia="黑体"/>
          <w:bCs/>
          <w:color w:val="000000" w:themeColor="text1"/>
          <w:kern w:val="44"/>
          <w:sz w:val="30"/>
          <w:szCs w:val="44"/>
          <w14:textFill>
            <w14:solidFill>
              <w14:schemeClr w14:val="tx1"/>
            </w14:solidFill>
          </w14:textFill>
        </w:rPr>
      </w:pPr>
      <w:r>
        <w:rPr>
          <w:color w:val="000000" w:themeColor="text1"/>
          <w14:textFill>
            <w14:solidFill>
              <w14:schemeClr w14:val="tx1"/>
            </w14:solidFill>
          </w14:textFill>
        </w:rPr>
        <w:br w:type="page"/>
      </w:r>
    </w:p>
    <w:p w14:paraId="58D8EDB3">
      <w:pPr>
        <w:pStyle w:val="3"/>
        <w:spacing w:before="0" w:after="0" w:line="360" w:lineRule="auto"/>
        <w:ind w:firstLine="723"/>
        <w:rPr>
          <w:b/>
          <w:color w:val="000000" w:themeColor="text1"/>
          <w:sz w:val="36"/>
          <w:szCs w:val="36"/>
          <w14:textFill>
            <w14:solidFill>
              <w14:schemeClr w14:val="tx1"/>
            </w14:solidFill>
          </w14:textFill>
        </w:rPr>
      </w:pPr>
      <w:bookmarkStart w:id="3" w:name="_Toc16046"/>
      <w:bookmarkStart w:id="4" w:name="_Hlk106094668"/>
      <w:r>
        <w:rPr>
          <w:rFonts w:hint="eastAsia"/>
          <w:b/>
          <w:color w:val="000000" w:themeColor="text1"/>
          <w:sz w:val="36"/>
          <w:szCs w:val="36"/>
          <w14:textFill>
            <w14:solidFill>
              <w14:schemeClr w14:val="tx1"/>
            </w14:solidFill>
          </w14:textFill>
        </w:rPr>
        <w:t>第一章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竞争性谈判公告</w:t>
      </w:r>
      <w:bookmarkEnd w:id="3"/>
    </w:p>
    <w:bookmarkEnd w:id="2"/>
    <w:p w14:paraId="1523E2CB">
      <w:pPr>
        <w:spacing w:line="360" w:lineRule="auto"/>
        <w:ind w:firstLine="482"/>
        <w:rPr>
          <w:rFonts w:hint="eastAsia" w:ascii="宋体" w:hAnsi="宋体" w:cs="宋体"/>
          <w:b/>
          <w:color w:val="000000" w:themeColor="text1"/>
          <w:kern w:val="0"/>
          <w:sz w:val="24"/>
          <w14:textFill>
            <w14:solidFill>
              <w14:schemeClr w14:val="tx1"/>
            </w14:solidFill>
          </w14:textFill>
        </w:rPr>
      </w:pPr>
      <w:bookmarkStart w:id="5" w:name="_Hlk103000296"/>
      <w:bookmarkStart w:id="6" w:name="OLE_LINK2"/>
      <w:bookmarkStart w:id="7" w:name="OLE_LINK1"/>
      <w:r>
        <w:rPr>
          <w:rFonts w:hint="eastAsia" w:ascii="宋体" w:hAnsi="宋体" w:cs="宋体"/>
          <w:b/>
          <w:color w:val="000000" w:themeColor="text1"/>
          <w:kern w:val="0"/>
          <w:sz w:val="24"/>
          <w14:textFill>
            <w14:solidFill>
              <w14:schemeClr w14:val="tx1"/>
            </w14:solidFill>
          </w14:textFill>
        </w:rPr>
        <w:t>一、项目概况</w:t>
      </w:r>
    </w:p>
    <w:p w14:paraId="1CC03567">
      <w:pPr>
        <w:widowControl/>
        <w:tabs>
          <w:tab w:val="left" w:pos="851"/>
        </w:tabs>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1.项目名称</w:t>
      </w:r>
    </w:p>
    <w:p w14:paraId="14CD77FA">
      <w:pPr>
        <w:widowControl/>
        <w:tabs>
          <w:tab w:val="left" w:pos="851"/>
        </w:tabs>
        <w:spacing w:line="360" w:lineRule="auto"/>
        <w:ind w:left="210"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江苏省广电有线信息网络股份有限公司GPU算力资源租用服务</w:t>
      </w:r>
      <w:r>
        <w:rPr>
          <w:rFonts w:hint="eastAsia" w:ascii="宋体" w:hAnsi="宋体" w:cs="宋体"/>
          <w:color w:val="000000" w:themeColor="text1"/>
          <w:kern w:val="0"/>
          <w:sz w:val="24"/>
          <w:szCs w:val="22"/>
          <w14:textFill>
            <w14:solidFill>
              <w14:schemeClr w14:val="tx1"/>
            </w14:solidFill>
          </w14:textFill>
        </w:rPr>
        <w:t>。</w:t>
      </w:r>
    </w:p>
    <w:p w14:paraId="29807735">
      <w:pPr>
        <w:widowControl/>
        <w:tabs>
          <w:tab w:val="left" w:pos="851"/>
        </w:tabs>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2.项目内容</w:t>
      </w:r>
    </w:p>
    <w:tbl>
      <w:tblPr>
        <w:tblStyle w:val="53"/>
        <w:tblW w:w="7012" w:type="dxa"/>
        <w:jc w:val="center"/>
        <w:tblLayout w:type="fixed"/>
        <w:tblCellMar>
          <w:top w:w="0" w:type="dxa"/>
          <w:left w:w="108" w:type="dxa"/>
          <w:bottom w:w="0" w:type="dxa"/>
          <w:right w:w="108" w:type="dxa"/>
        </w:tblCellMar>
      </w:tblPr>
      <w:tblGrid>
        <w:gridCol w:w="961"/>
        <w:gridCol w:w="1483"/>
        <w:gridCol w:w="4568"/>
      </w:tblGrid>
      <w:tr w14:paraId="24861196">
        <w:tblPrEx>
          <w:tblCellMar>
            <w:top w:w="0" w:type="dxa"/>
            <w:left w:w="108" w:type="dxa"/>
            <w:bottom w:w="0" w:type="dxa"/>
            <w:right w:w="108" w:type="dxa"/>
          </w:tblCellMar>
        </w:tblPrEx>
        <w:trPr>
          <w:trHeight w:val="540"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14:paraId="4069E75F">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序号</w:t>
            </w:r>
          </w:p>
        </w:tc>
        <w:tc>
          <w:tcPr>
            <w:tcW w:w="1483" w:type="dxa"/>
            <w:tcBorders>
              <w:top w:val="single" w:color="000000" w:sz="6" w:space="0"/>
              <w:left w:val="single" w:color="000000" w:sz="6" w:space="0"/>
              <w:bottom w:val="single" w:color="000000" w:sz="6" w:space="0"/>
              <w:right w:val="single" w:color="000000" w:sz="6" w:space="0"/>
            </w:tcBorders>
            <w:vAlign w:val="center"/>
          </w:tcPr>
          <w:p w14:paraId="39DE0D6A">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名称</w:t>
            </w:r>
          </w:p>
        </w:tc>
        <w:tc>
          <w:tcPr>
            <w:tcW w:w="4568" w:type="dxa"/>
            <w:tcBorders>
              <w:top w:val="single" w:color="000000" w:sz="6" w:space="0"/>
              <w:left w:val="single" w:color="000000" w:sz="6" w:space="0"/>
              <w:bottom w:val="single" w:color="000000" w:sz="6" w:space="0"/>
              <w:right w:val="single" w:color="000000" w:sz="4" w:space="0"/>
            </w:tcBorders>
            <w:vAlign w:val="center"/>
          </w:tcPr>
          <w:p w14:paraId="16B5768C">
            <w:pPr>
              <w:snapToGrid w:val="0"/>
              <w:spacing w:line="30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规格</w:t>
            </w:r>
          </w:p>
        </w:tc>
      </w:tr>
      <w:tr w14:paraId="1EB540BE">
        <w:tblPrEx>
          <w:tblCellMar>
            <w:top w:w="0" w:type="dxa"/>
            <w:left w:w="108" w:type="dxa"/>
            <w:bottom w:w="0" w:type="dxa"/>
            <w:right w:w="108" w:type="dxa"/>
          </w:tblCellMar>
        </w:tblPrEx>
        <w:trPr>
          <w:trHeight w:val="365"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14:paraId="465D6143">
            <w:pPr>
              <w:snapToGrid w:val="0"/>
              <w:spacing w:line="30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483" w:type="dxa"/>
            <w:tcBorders>
              <w:top w:val="single" w:color="000000" w:sz="6" w:space="0"/>
              <w:left w:val="single" w:color="000000" w:sz="6" w:space="0"/>
              <w:bottom w:val="single" w:color="000000" w:sz="6" w:space="0"/>
              <w:right w:val="single" w:color="000000" w:sz="6" w:space="0"/>
            </w:tcBorders>
            <w:vAlign w:val="center"/>
          </w:tcPr>
          <w:p w14:paraId="076922E8">
            <w:pPr>
              <w:snapToGrid w:val="0"/>
              <w:spacing w:line="300" w:lineRule="auto"/>
              <w:jc w:val="center"/>
              <w:rPr>
                <w:rFonts w:hint="eastAsia"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GPU算力节点配置</w:t>
            </w:r>
          </w:p>
        </w:tc>
        <w:tc>
          <w:tcPr>
            <w:tcW w:w="4568" w:type="dxa"/>
            <w:tcBorders>
              <w:top w:val="single" w:color="000000" w:sz="6" w:space="0"/>
              <w:left w:val="single" w:color="000000" w:sz="6" w:space="0"/>
              <w:bottom w:val="single" w:color="000000" w:sz="6" w:space="0"/>
              <w:right w:val="single" w:color="000000" w:sz="4" w:space="0"/>
            </w:tcBorders>
            <w:vAlign w:val="center"/>
          </w:tcPr>
          <w:p w14:paraId="60CA008D">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CPU：≥384vcpu（主频≥2.5GHz/睿频≥3.6GHz）</w:t>
            </w:r>
          </w:p>
          <w:p w14:paraId="40841B0E">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内存：DDR5 容量≥ 2TB</w:t>
            </w:r>
          </w:p>
          <w:p w14:paraId="270ECF44">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VPC网络带宽：支持100Gbps</w:t>
            </w:r>
          </w:p>
          <w:p w14:paraId="7E321BBF">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支持RDMA网络：节点间通信带宽≥3.2Tbps</w:t>
            </w:r>
          </w:p>
          <w:p w14:paraId="635F697E">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支持NVLink：单机卡间通信支持NVLink，通信带宽≥900GB/s；</w:t>
            </w:r>
          </w:p>
          <w:p w14:paraId="5E5EF165">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单节点GPU卡数：≥8卡;</w:t>
            </w:r>
          </w:p>
          <w:p w14:paraId="7B5F9BBC">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单GPU卡算力：FP16≥148TFlops，BF16≥148TFlops，FP8≥296TFlops；</w:t>
            </w:r>
          </w:p>
          <w:p w14:paraId="1C715E22">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显存：≥96GB HBM3</w:t>
            </w:r>
          </w:p>
          <w:p w14:paraId="676CD068">
            <w:pPr>
              <w:pStyle w:val="48"/>
              <w:ind w:firstLine="0" w:firstLineChars="0"/>
              <w:rPr>
                <w:rFonts w:hint="eastAsia"/>
                <w:kern w:val="0"/>
                <w:sz w:val="24"/>
              </w:rPr>
            </w:pPr>
            <w:r>
              <w:rPr>
                <w:rFonts w:hint="eastAsia"/>
              </w:rPr>
              <w:t>磁盘：≥NVMe-5T*4</w:t>
            </w:r>
          </w:p>
        </w:tc>
      </w:tr>
      <w:tr w14:paraId="26B40816">
        <w:tblPrEx>
          <w:tblCellMar>
            <w:top w:w="0" w:type="dxa"/>
            <w:left w:w="108" w:type="dxa"/>
            <w:bottom w:w="0" w:type="dxa"/>
            <w:right w:w="108" w:type="dxa"/>
          </w:tblCellMar>
        </w:tblPrEx>
        <w:trPr>
          <w:trHeight w:val="365"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14:paraId="4C57781F">
            <w:pPr>
              <w:snapToGrid w:val="0"/>
              <w:spacing w:line="30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483" w:type="dxa"/>
            <w:tcBorders>
              <w:top w:val="single" w:color="000000" w:sz="6" w:space="0"/>
              <w:left w:val="single" w:color="000000" w:sz="6" w:space="0"/>
              <w:bottom w:val="single" w:color="000000" w:sz="6" w:space="0"/>
              <w:right w:val="single" w:color="000000" w:sz="6" w:space="0"/>
            </w:tcBorders>
            <w:vAlign w:val="center"/>
          </w:tcPr>
          <w:p w14:paraId="52A82C28">
            <w:pPr>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c>
          <w:tcPr>
            <w:tcW w:w="4568" w:type="dxa"/>
            <w:tcBorders>
              <w:top w:val="single" w:color="000000" w:sz="6" w:space="0"/>
              <w:left w:val="single" w:color="000000" w:sz="6" w:space="0"/>
              <w:bottom w:val="single" w:color="000000" w:sz="6" w:space="0"/>
              <w:right w:val="single" w:color="000000" w:sz="4" w:space="0"/>
            </w:tcBorders>
            <w:vAlign w:val="center"/>
          </w:tcPr>
          <w:p w14:paraId="063D6198">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提供数量不少于两台</w:t>
            </w:r>
          </w:p>
          <w:p w14:paraId="18B2CDC8">
            <w:pPr>
              <w:spacing w:line="300" w:lineRule="auto"/>
              <w:jc w:val="left"/>
              <w:rPr>
                <w:rFonts w:hint="eastAsia" w:ascii="宋体" w:hAnsi="宋体" w:cs="宋体"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服务时长不小于60天</w:t>
            </w:r>
          </w:p>
        </w:tc>
      </w:tr>
    </w:tbl>
    <w:p w14:paraId="2A817771">
      <w:pPr>
        <w:spacing w:line="360" w:lineRule="auto"/>
        <w:ind w:firstLine="482"/>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二、资格审查方式</w:t>
      </w:r>
    </w:p>
    <w:p w14:paraId="43CFE94A">
      <w:pPr>
        <w:spacing w:line="360" w:lineRule="auto"/>
        <w:ind w:firstLine="475" w:firstLineChars="197"/>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1A35A16A">
      <w:pPr>
        <w:spacing w:line="360" w:lineRule="auto"/>
        <w:ind w:firstLine="482"/>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三、合格供应商的基本资格要求</w:t>
      </w:r>
    </w:p>
    <w:p w14:paraId="167E17B5">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1、</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须为在中华人民共和国境内依法注册的独立法人，遵守中国有关法律、法规，具有良好的商业信誉</w:t>
      </w:r>
      <w:r>
        <w:rPr>
          <w:rFonts w:hint="eastAsia" w:ascii="宋体" w:hAnsi="宋体" w:cs="宋体"/>
          <w:color w:val="000000" w:themeColor="text1"/>
          <w:kern w:val="0"/>
          <w:sz w:val="24"/>
          <w:szCs w:val="22"/>
          <w14:textFill>
            <w14:solidFill>
              <w14:schemeClr w14:val="tx1"/>
            </w14:solidFill>
          </w14:textFill>
        </w:rPr>
        <w:t>（提供营业执照复印件）。</w:t>
      </w:r>
    </w:p>
    <w:p w14:paraId="7E603711">
      <w:pPr>
        <w:widowControl/>
        <w:tabs>
          <w:tab w:val="left" w:pos="851"/>
        </w:tabs>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2</w:t>
      </w:r>
      <w:r>
        <w:rPr>
          <w:rFonts w:hint="eastAsia" w:ascii="宋体" w:hAnsi="宋体" w:cs="宋体"/>
          <w:color w:val="000000" w:themeColor="text1"/>
          <w:kern w:val="0"/>
          <w:sz w:val="24"/>
          <w:szCs w:val="22"/>
          <w14:textFill>
            <w14:solidFill>
              <w14:schemeClr w14:val="tx1"/>
            </w14:solidFill>
          </w14:textFill>
        </w:rPr>
        <w:t>、</w:t>
      </w:r>
      <w:bookmarkStart w:id="8" w:name="_Hlk191557250"/>
      <w:r>
        <w:rPr>
          <w:rFonts w:hint="eastAsia" w:ascii="宋体" w:hAnsi="宋体" w:cs="宋体"/>
          <w:color w:val="000000" w:themeColor="text1"/>
          <w:kern w:val="0"/>
          <w:sz w:val="24"/>
          <w:szCs w:val="22"/>
          <w14:textFill>
            <w14:solidFill>
              <w14:schemeClr w14:val="tx1"/>
            </w14:solidFill>
          </w14:textFill>
        </w:rPr>
        <w:t>供应商须提供</w:t>
      </w:r>
      <w:r>
        <w:rPr>
          <w:rFonts w:ascii="宋体" w:hAnsi="宋体" w:cs="宋体"/>
          <w:color w:val="000000" w:themeColor="text1"/>
          <w:kern w:val="0"/>
          <w:sz w:val="24"/>
          <w:szCs w:val="22"/>
          <w14:textFill>
            <w14:solidFill>
              <w14:schemeClr w14:val="tx1"/>
            </w14:solidFill>
          </w14:textFill>
        </w:rPr>
        <w:t>2022</w:t>
      </w:r>
      <w:r>
        <w:rPr>
          <w:rFonts w:hint="eastAsia" w:ascii="宋体" w:hAnsi="宋体" w:cs="宋体"/>
          <w:color w:val="000000" w:themeColor="text1"/>
          <w:kern w:val="0"/>
          <w:sz w:val="24"/>
          <w:szCs w:val="22"/>
          <w14:textFill>
            <w14:solidFill>
              <w14:schemeClr w14:val="tx1"/>
            </w14:solidFill>
          </w14:textFill>
        </w:rPr>
        <w:t>年度和</w:t>
      </w:r>
      <w:r>
        <w:rPr>
          <w:rFonts w:ascii="宋体" w:hAnsi="宋体" w:cs="宋体"/>
          <w:color w:val="000000" w:themeColor="text1"/>
          <w:kern w:val="0"/>
          <w:sz w:val="24"/>
          <w:szCs w:val="22"/>
          <w14:textFill>
            <w14:solidFill>
              <w14:schemeClr w14:val="tx1"/>
            </w14:solidFill>
          </w14:textFill>
        </w:rPr>
        <w:t>2023</w:t>
      </w:r>
      <w:r>
        <w:rPr>
          <w:rFonts w:hint="eastAsia" w:ascii="宋体" w:hAnsi="宋体" w:cs="宋体"/>
          <w:color w:val="000000" w:themeColor="text1"/>
          <w:kern w:val="0"/>
          <w:sz w:val="24"/>
          <w:szCs w:val="22"/>
          <w14:textFill>
            <w14:solidFill>
              <w14:schemeClr w14:val="tx1"/>
            </w14:solidFill>
          </w14:textFill>
        </w:rPr>
        <w:t>年度经会计师事务所审计的会计报表（至少包括资产负债表、现金流量表、利润表）。</w:t>
      </w:r>
      <w:bookmarkEnd w:id="8"/>
    </w:p>
    <w:p w14:paraId="4C2D8FD8">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3、</w:t>
      </w:r>
      <w:r>
        <w:rPr>
          <w:rFonts w:hint="eastAsia" w:ascii="宋体" w:hAnsi="宋体" w:cs="宋体"/>
          <w:color w:val="000000" w:themeColor="text1"/>
          <w:kern w:val="0"/>
          <w:sz w:val="24"/>
          <w:szCs w:val="22"/>
          <w14:textFill>
            <w14:solidFill>
              <w14:schemeClr w14:val="tx1"/>
            </w14:solidFill>
          </w14:textFill>
        </w:rPr>
        <w:t>供应商须是响应货物（或服务）的制造商或制造商针对本项目的授权代理商。代理商须提供制造商针对本项目的授权函，制造商和授权代理商不得同时参与本项目响应。若为代理商响应，供应商须和所投货物制造商已经具有合作关系，并具有成功案例（提供相关证明材料并加盖公章）。</w:t>
      </w:r>
    </w:p>
    <w:p w14:paraId="25740326">
      <w:pPr>
        <w:widowControl/>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4、制造商须具有ITSS信息技术服务标准云服务(IaaS公有云)等级一级资质。</w:t>
      </w:r>
      <w:r>
        <w:rPr>
          <w:rFonts w:hint="eastAsia" w:ascii="宋体" w:hAnsi="宋体" w:cs="宋体"/>
          <w:color w:val="000000" w:themeColor="text1"/>
          <w:kern w:val="0"/>
          <w:sz w:val="24"/>
          <w:szCs w:val="22"/>
          <w14:textFill>
            <w14:solidFill>
              <w14:schemeClr w14:val="tx1"/>
            </w14:solidFill>
          </w14:textFill>
        </w:rPr>
        <w:br w:type="textWrapping"/>
      </w:r>
      <w:r>
        <w:rPr>
          <w:rFonts w:hint="eastAsia" w:ascii="宋体" w:hAnsi="宋体" w:cs="宋体"/>
          <w:color w:val="000000" w:themeColor="text1"/>
          <w:kern w:val="0"/>
          <w:sz w:val="24"/>
          <w:szCs w:val="22"/>
          <w14:textFill>
            <w14:solidFill>
              <w14:schemeClr w14:val="tx1"/>
            </w14:solidFill>
          </w14:textFill>
        </w:rPr>
        <w:t xml:space="preserve">    5、制造商须具有增值电信业务经营许可证资质。</w:t>
      </w:r>
    </w:p>
    <w:p w14:paraId="7E043339">
      <w:pPr>
        <w:widowControl/>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6、制造商的公有云IaaS服务平台须具有信息系统安全等级保护三级或以上资质。</w:t>
      </w:r>
    </w:p>
    <w:p w14:paraId="7A770F67">
      <w:pPr>
        <w:widowControl/>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lang w:val="en-US" w:eastAsia="zh-CN"/>
          <w14:textFill>
            <w14:solidFill>
              <w14:schemeClr w14:val="tx1"/>
            </w14:solidFill>
          </w14:textFill>
        </w:rPr>
        <w:t>7</w:t>
      </w:r>
      <w:r>
        <w:rPr>
          <w:rFonts w:hint="eastAsia" w:ascii="宋体" w:hAnsi="宋体" w:cs="宋体"/>
          <w:color w:val="000000" w:themeColor="text1"/>
          <w:kern w:val="0"/>
          <w:sz w:val="24"/>
          <w:szCs w:val="22"/>
          <w14:textFill>
            <w14:solidFill>
              <w14:schemeClr w14:val="tx1"/>
            </w14:solidFill>
          </w14:textFill>
        </w:rPr>
        <w:t>、供应商须在法律和财务上独立、合法运作并独立于采购人，不得直接或间接地与采购人为本项目所委托的咨询公司或其附属机构有任何关联。</w:t>
      </w:r>
    </w:p>
    <w:p w14:paraId="4496EC96">
      <w:pPr>
        <w:widowControl/>
        <w:tabs>
          <w:tab w:val="left" w:pos="851"/>
        </w:tabs>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lang w:val="en-US" w:eastAsia="zh-CN"/>
          <w14:textFill>
            <w14:solidFill>
              <w14:schemeClr w14:val="tx1"/>
            </w14:solidFill>
          </w14:textFill>
        </w:rPr>
        <w:t>8</w:t>
      </w:r>
      <w:r>
        <w:rPr>
          <w:rFonts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在其本国使用</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提供的货物时，不存在任何已知的不合法的情形，也不存在任何已知的与第三方专利权、著作权、商标权或工业设计权相关的任何争议。如果有任何因</w:t>
      </w:r>
      <w:r>
        <w:rPr>
          <w:rFonts w:hint="eastAsia" w:ascii="宋体" w:hAnsi="宋体" w:cs="宋体"/>
          <w:color w:val="000000" w:themeColor="text1"/>
          <w:kern w:val="0"/>
          <w:sz w:val="24"/>
          <w:szCs w:val="22"/>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使用</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提供的货物而提起的侵权指控，</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（包括制造商）依法承担全部责任（提供承诺书</w:t>
      </w:r>
      <w:r>
        <w:rPr>
          <w:rFonts w:hint="eastAsia" w:ascii="宋体" w:hAnsi="宋体" w:cs="宋体"/>
          <w:color w:val="000000" w:themeColor="text1"/>
          <w:kern w:val="0"/>
          <w:sz w:val="24"/>
          <w:szCs w:val="22"/>
          <w14:textFill>
            <w14:solidFill>
              <w14:schemeClr w14:val="tx1"/>
            </w14:solidFill>
          </w14:textFill>
        </w:rPr>
        <w:t>原件</w:t>
      </w:r>
      <w:r>
        <w:rPr>
          <w:rFonts w:ascii="宋体" w:hAnsi="宋体" w:cs="宋体"/>
          <w:color w:val="000000" w:themeColor="text1"/>
          <w:kern w:val="0"/>
          <w:sz w:val="24"/>
          <w:szCs w:val="22"/>
          <w14:textFill>
            <w14:solidFill>
              <w14:schemeClr w14:val="tx1"/>
            </w14:solidFill>
          </w14:textFill>
        </w:rPr>
        <w:t>并加盖公章）。</w:t>
      </w:r>
    </w:p>
    <w:p w14:paraId="6CFF0E3B">
      <w:pPr>
        <w:widowControl/>
        <w:tabs>
          <w:tab w:val="left" w:pos="851"/>
        </w:tabs>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sz w:val="24"/>
          <w:szCs w:val="22"/>
          <w:lang w:val="en-US" w:eastAsia="zh-CN"/>
          <w14:textFill>
            <w14:solidFill>
              <w14:schemeClr w14:val="tx1"/>
            </w14:solidFill>
          </w14:textFill>
        </w:rPr>
        <w:t>9</w:t>
      </w:r>
      <w:r>
        <w:rPr>
          <w:rFonts w:ascii="宋体" w:hAnsi="宋体" w:cs="宋体"/>
          <w:color w:val="000000" w:themeColor="text1"/>
          <w:kern w:val="0"/>
          <w:sz w:val="24"/>
          <w:szCs w:val="22"/>
          <w14:textFill>
            <w14:solidFill>
              <w14:schemeClr w14:val="tx1"/>
            </w14:solidFill>
          </w14:textFill>
        </w:rPr>
        <w:t>、法定代表人为同一个人的两个及两个以上法人，母公司与全资子公司/由其控股的子公司，不得</w:t>
      </w:r>
      <w:r>
        <w:rPr>
          <w:rFonts w:hint="eastAsia" w:ascii="宋体" w:hAnsi="宋体" w:cs="宋体"/>
          <w:color w:val="000000" w:themeColor="text1"/>
          <w:kern w:val="0"/>
          <w:sz w:val="24"/>
          <w:szCs w:val="22"/>
          <w14:textFill>
            <w14:solidFill>
              <w14:schemeClr w14:val="tx1"/>
            </w14:solidFill>
          </w14:textFill>
        </w:rPr>
        <w:t>共同参与</w:t>
      </w:r>
      <w:r>
        <w:rPr>
          <w:rFonts w:ascii="宋体" w:hAnsi="宋体" w:cs="宋体"/>
          <w:color w:val="000000" w:themeColor="text1"/>
          <w:kern w:val="0"/>
          <w:sz w:val="24"/>
          <w:szCs w:val="22"/>
          <w14:textFill>
            <w14:solidFill>
              <w14:schemeClr w14:val="tx1"/>
            </w14:solidFill>
          </w14:textFill>
        </w:rPr>
        <w:t>本项目。</w:t>
      </w:r>
    </w:p>
    <w:p w14:paraId="0FD1E22D">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1</w:t>
      </w:r>
      <w:r>
        <w:rPr>
          <w:rFonts w:hint="eastAsia" w:ascii="宋体" w:hAnsi="宋体" w:cs="宋体"/>
          <w:color w:val="000000" w:themeColor="text1"/>
          <w:kern w:val="0"/>
          <w:sz w:val="24"/>
          <w:szCs w:val="22"/>
          <w:lang w:val="en-US" w:eastAsia="zh-CN"/>
          <w14:textFill>
            <w14:solidFill>
              <w14:schemeClr w14:val="tx1"/>
            </w14:solidFill>
          </w14:textFill>
        </w:rPr>
        <w:t>0</w:t>
      </w:r>
      <w:r>
        <w:rPr>
          <w:rFonts w:ascii="宋体" w:hAnsi="宋体" w:cs="宋体"/>
          <w:color w:val="000000" w:themeColor="text1"/>
          <w:kern w:val="0"/>
          <w:sz w:val="24"/>
          <w:szCs w:val="22"/>
          <w14:textFill>
            <w14:solidFill>
              <w14:schemeClr w14:val="tx1"/>
            </w14:solidFill>
          </w14:textFill>
        </w:rPr>
        <w:t>、本项目不接受联合体。</w:t>
      </w:r>
    </w:p>
    <w:p w14:paraId="2856DCBD">
      <w:pPr>
        <w:pStyle w:val="48"/>
        <w:rPr>
          <w:rFonts w:hint="eastAsia"/>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 xml:space="preserve">11、本项目不接受电信运营商投标。  </w:t>
      </w:r>
      <w:r>
        <w:rPr>
          <w:rFonts w:hint="eastAsia"/>
        </w:rPr>
        <w:t xml:space="preserve">  </w:t>
      </w:r>
    </w:p>
    <w:p w14:paraId="01DE8BD4">
      <w:pPr>
        <w:spacing w:line="360" w:lineRule="auto"/>
        <w:ind w:firstLine="482"/>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四、竞争性谈判文件的获取</w:t>
      </w:r>
    </w:p>
    <w:p w14:paraId="51A6EF53">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发布及登记时间：</w:t>
      </w:r>
      <w:r>
        <w:rPr>
          <w:rFonts w:ascii="宋体" w:hAnsi="宋体" w:cs="宋体"/>
          <w:color w:val="auto"/>
          <w:kern w:val="0"/>
          <w:sz w:val="24"/>
          <w:shd w:val="clear" w:color="auto" w:fill="FFFFFF"/>
        </w:rPr>
        <w:t>2025年</w:t>
      </w:r>
      <w:r>
        <w:rPr>
          <w:rFonts w:hint="eastAsia" w:ascii="宋体" w:hAnsi="宋体" w:cs="宋体"/>
          <w:color w:val="auto"/>
          <w:kern w:val="0"/>
          <w:sz w:val="24"/>
          <w:shd w:val="clear" w:color="auto" w:fill="FFFFFF"/>
        </w:rPr>
        <w:t>2月28</w:t>
      </w:r>
      <w:r>
        <w:rPr>
          <w:rFonts w:ascii="宋体" w:hAnsi="宋体" w:cs="宋体"/>
          <w:color w:val="auto"/>
          <w:kern w:val="0"/>
          <w:sz w:val="24"/>
          <w:shd w:val="clear" w:color="auto" w:fill="FFFFFF"/>
        </w:rPr>
        <w:t>日至2025年</w:t>
      </w:r>
      <w:r>
        <w:rPr>
          <w:rFonts w:hint="eastAsia" w:ascii="宋体" w:hAnsi="宋体" w:cs="宋体"/>
          <w:color w:val="auto"/>
          <w:kern w:val="0"/>
          <w:sz w:val="24"/>
          <w:shd w:val="clear" w:color="auto" w:fill="FFFFFF"/>
          <w:lang w:val="en-US" w:eastAsia="zh-CN"/>
        </w:rPr>
        <w:t>3</w:t>
      </w:r>
      <w:r>
        <w:rPr>
          <w:rFonts w:hint="eastAsia" w:ascii="宋体" w:hAnsi="宋体" w:cs="宋体"/>
          <w:color w:val="auto"/>
          <w:kern w:val="0"/>
          <w:sz w:val="24"/>
          <w:shd w:val="clear" w:color="auto" w:fill="FFFFFF"/>
        </w:rPr>
        <w:t>月</w:t>
      </w:r>
      <w:r>
        <w:rPr>
          <w:rFonts w:hint="eastAsia" w:ascii="宋体" w:hAnsi="宋体" w:cs="宋体"/>
          <w:color w:val="auto"/>
          <w:kern w:val="0"/>
          <w:sz w:val="24"/>
          <w:shd w:val="clear" w:color="auto" w:fill="FFFFFF"/>
          <w:lang w:val="en-US" w:eastAsia="zh-CN"/>
        </w:rPr>
        <w:t>6</w:t>
      </w:r>
      <w:r>
        <w:rPr>
          <w:rFonts w:ascii="宋体" w:hAnsi="宋体" w:cs="宋体"/>
          <w:color w:val="auto"/>
          <w:kern w:val="0"/>
          <w:sz w:val="24"/>
          <w:shd w:val="clear" w:color="auto" w:fill="FFFFFF"/>
        </w:rPr>
        <w:t>日止</w:t>
      </w:r>
      <w:r>
        <w:rPr>
          <w:rFonts w:ascii="宋体" w:hAnsi="宋体" w:cs="宋体"/>
          <w:color w:val="000000" w:themeColor="text1"/>
          <w:kern w:val="0"/>
          <w:sz w:val="24"/>
          <w:shd w:val="clear" w:color="auto" w:fill="FFFFFF"/>
          <w14:textFill>
            <w14:solidFill>
              <w14:schemeClr w14:val="tx1"/>
            </w14:solidFill>
          </w14:textFill>
        </w:rPr>
        <w:t>，每日上午9：00-12：00，下午14：00-17：00（北京时间）。</w:t>
      </w:r>
    </w:p>
    <w:p w14:paraId="0C381C8C">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发放方式：竞争性谈判文件在报名后自行下载，请响应人联系采购人项目联系人进行报名登记，具体报名方式为将响应确认信息表（详见采购文件第七章）加盖公司公章同时发至邮箱</w:t>
      </w:r>
      <w:r>
        <w:rPr>
          <w:rFonts w:hint="eastAsia" w:ascii="宋体" w:hAnsi="宋体" w:cs="宋体"/>
          <w:color w:val="000000" w:themeColor="text1"/>
          <w:kern w:val="0"/>
          <w:sz w:val="24"/>
          <w:shd w:val="clear" w:color="auto" w:fill="FFFFFF"/>
          <w:lang w:val="en-US" w:eastAsia="zh-CN"/>
          <w14:textFill>
            <w14:solidFill>
              <w14:schemeClr w14:val="tx1"/>
            </w14:solidFill>
          </w14:textFill>
        </w:rPr>
        <w:t>wangzhen</w:t>
      </w:r>
      <w:r>
        <w:rPr>
          <w:rFonts w:ascii="宋体" w:hAnsi="宋体" w:cs="宋体"/>
          <w:color w:val="000000" w:themeColor="text1"/>
          <w:kern w:val="0"/>
          <w:sz w:val="24"/>
          <w:shd w:val="clear" w:color="auto" w:fill="FFFFFF"/>
          <w14:textFill>
            <w14:solidFill>
              <w14:schemeClr w14:val="tx1"/>
            </w14:solidFill>
          </w14:textFill>
        </w:rPr>
        <w:t>@jscnnet.com</w:t>
      </w:r>
      <w:r>
        <w:rPr>
          <w:rFonts w:hint="eastAsia" w:ascii="宋体" w:hAnsi="宋体" w:cs="宋体"/>
          <w:color w:val="000000" w:themeColor="text1"/>
          <w:kern w:val="0"/>
          <w:sz w:val="24"/>
          <w:shd w:val="clear" w:color="auto" w:fill="FFFFFF"/>
          <w14:textFill>
            <w14:solidFill>
              <w14:schemeClr w14:val="tx1"/>
            </w14:solidFill>
          </w14:textFill>
        </w:rPr>
        <w:t>，未在文件发放日内完成登记的不得参与本项目。</w:t>
      </w:r>
    </w:p>
    <w:p w14:paraId="5FABE5B9">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登记方式：请响应人将该项目负责人姓名、联系电话（手机）、联系信箱发至采购人该项目联系人，超过2025年</w:t>
      </w:r>
      <w:r>
        <w:rPr>
          <w:rFonts w:hint="eastAsia" w:ascii="宋体" w:hAnsi="宋体" w:cs="宋体"/>
          <w:color w:val="000000" w:themeColor="text1"/>
          <w:kern w:val="0"/>
          <w:sz w:val="24"/>
          <w:shd w:val="clear" w:color="auto" w:fill="FFFFFF"/>
          <w:lang w:val="en-US" w:eastAsia="zh-CN"/>
          <w14:textFill>
            <w14:solidFill>
              <w14:schemeClr w14:val="tx1"/>
            </w14:solidFill>
          </w14:textFill>
        </w:rPr>
        <w:t>3</w:t>
      </w:r>
      <w:r>
        <w:rPr>
          <w:rFonts w:hint="eastAsia" w:ascii="宋体" w:hAnsi="宋体" w:cs="宋体"/>
          <w:color w:val="000000" w:themeColor="text1"/>
          <w:kern w:val="0"/>
          <w:sz w:val="24"/>
          <w:shd w:val="clear" w:color="auto" w:fill="FFFFFF"/>
          <w14:textFill>
            <w14:solidFill>
              <w14:schemeClr w14:val="tx1"/>
            </w14:solidFill>
          </w14:textFill>
        </w:rPr>
        <w:t>月</w:t>
      </w:r>
      <w:r>
        <w:rPr>
          <w:rFonts w:hint="eastAsia" w:ascii="宋体" w:hAnsi="宋体" w:cs="宋体"/>
          <w:color w:val="000000" w:themeColor="text1"/>
          <w:kern w:val="0"/>
          <w:sz w:val="24"/>
          <w:shd w:val="clear" w:color="auto" w:fill="FFFFFF"/>
          <w:lang w:val="en-US" w:eastAsia="zh-CN"/>
          <w14:textFill>
            <w14:solidFill>
              <w14:schemeClr w14:val="tx1"/>
            </w14:solidFill>
          </w14:textFill>
        </w:rPr>
        <w:t>6</w:t>
      </w:r>
      <w:r>
        <w:rPr>
          <w:rFonts w:hint="eastAsia" w:ascii="宋体" w:hAnsi="宋体" w:cs="宋体"/>
          <w:color w:val="000000" w:themeColor="text1"/>
          <w:kern w:val="0"/>
          <w:sz w:val="24"/>
          <w:shd w:val="clear" w:color="auto" w:fill="FFFFFF"/>
          <w14:textFill>
            <w14:solidFill>
              <w14:schemeClr w14:val="tx1"/>
            </w14:solidFill>
          </w14:textFill>
        </w:rPr>
        <w:t>日</w:t>
      </w:r>
      <w:r>
        <w:rPr>
          <w:rFonts w:ascii="宋体" w:hAnsi="宋体" w:cs="宋体"/>
          <w:color w:val="000000" w:themeColor="text1"/>
          <w:kern w:val="0"/>
          <w:sz w:val="24"/>
          <w:shd w:val="clear" w:color="auto" w:fill="FFFFFF"/>
          <w14:textFill>
            <w14:solidFill>
              <w14:schemeClr w14:val="tx1"/>
            </w14:solidFill>
          </w14:textFill>
        </w:rPr>
        <w:t>17:00再登记的视为无效。</w:t>
      </w:r>
    </w:p>
    <w:p w14:paraId="6098D341">
      <w:pPr>
        <w:widowControl/>
        <w:spacing w:line="360" w:lineRule="auto"/>
        <w:ind w:firstLine="48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项目联系人：</w:t>
      </w:r>
      <w:r>
        <w:rPr>
          <w:rFonts w:hint="eastAsia" w:ascii="宋体" w:hAnsi="宋体" w:cs="宋体"/>
          <w:color w:val="000000" w:themeColor="text1"/>
          <w:kern w:val="0"/>
          <w:sz w:val="24"/>
          <w:shd w:val="clear" w:color="auto" w:fill="FFFFFF"/>
          <w:lang w:val="en-US" w:eastAsia="zh-CN"/>
          <w14:textFill>
            <w14:solidFill>
              <w14:schemeClr w14:val="tx1"/>
            </w14:solidFill>
          </w14:textFill>
        </w:rPr>
        <w:t>刘</w:t>
      </w:r>
      <w:r>
        <w:rPr>
          <w:rFonts w:hint="eastAsia" w:ascii="宋体" w:hAnsi="宋体" w:cs="宋体"/>
          <w:color w:val="000000" w:themeColor="text1"/>
          <w:kern w:val="0"/>
          <w:sz w:val="24"/>
          <w:shd w:val="clear" w:color="auto" w:fill="FFFFFF"/>
          <w14:textFill>
            <w14:solidFill>
              <w14:schemeClr w14:val="tx1"/>
            </w14:solidFill>
          </w14:textFill>
        </w:rPr>
        <w:t>经理，电话：</w:t>
      </w:r>
      <w:r>
        <w:rPr>
          <w:rFonts w:ascii="宋体" w:hAnsi="宋体" w:cs="宋体"/>
          <w:color w:val="000000" w:themeColor="text1"/>
          <w:kern w:val="0"/>
          <w:sz w:val="24"/>
          <w:shd w:val="clear" w:color="auto" w:fill="FFFFFF"/>
          <w14:textFill>
            <w14:solidFill>
              <w14:schemeClr w14:val="tx1"/>
            </w14:solidFill>
          </w14:textFill>
        </w:rPr>
        <w:t>025-87231</w:t>
      </w:r>
      <w:r>
        <w:rPr>
          <w:rFonts w:hint="eastAsia" w:ascii="宋体" w:hAnsi="宋体" w:cs="宋体"/>
          <w:color w:val="000000" w:themeColor="text1"/>
          <w:kern w:val="0"/>
          <w:sz w:val="24"/>
          <w:shd w:val="clear" w:color="auto" w:fill="FFFFFF"/>
          <w:lang w:val="en-US" w:eastAsia="zh-CN"/>
          <w14:textFill>
            <w14:solidFill>
              <w14:schemeClr w14:val="tx1"/>
            </w14:solidFill>
          </w14:textFill>
        </w:rPr>
        <w:t>5</w:t>
      </w:r>
      <w:bookmarkStart w:id="39" w:name="_GoBack"/>
      <w:bookmarkEnd w:id="39"/>
      <w:r>
        <w:rPr>
          <w:rFonts w:hint="eastAsia" w:ascii="宋体" w:hAnsi="宋体" w:cs="宋体"/>
          <w:color w:val="000000" w:themeColor="text1"/>
          <w:kern w:val="0"/>
          <w:sz w:val="24"/>
          <w:shd w:val="clear" w:color="auto" w:fill="FFFFFF"/>
          <w:lang w:val="en-US" w:eastAsia="zh-CN"/>
          <w14:textFill>
            <w14:solidFill>
              <w14:schemeClr w14:val="tx1"/>
            </w14:solidFill>
          </w14:textFill>
        </w:rPr>
        <w:t>13</w:t>
      </w:r>
    </w:p>
    <w:p w14:paraId="61ED57C7">
      <w:pPr>
        <w:spacing w:line="360" w:lineRule="auto"/>
        <w:ind w:firstLine="482"/>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五、响应文件的递交和谈判</w:t>
      </w:r>
    </w:p>
    <w:p w14:paraId="694D4E19">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递交竞争性谈判响应文件截止时间：</w:t>
      </w:r>
      <w:r>
        <w:rPr>
          <w:rFonts w:ascii="宋体" w:hAnsi="宋体" w:cs="宋体"/>
          <w:color w:val="auto"/>
          <w:kern w:val="0"/>
          <w:sz w:val="24"/>
          <w:shd w:val="clear" w:color="auto" w:fill="FFFFFF"/>
        </w:rPr>
        <w:t>2025</w:t>
      </w:r>
      <w:r>
        <w:rPr>
          <w:rFonts w:hint="eastAsia" w:ascii="宋体" w:hAnsi="宋体" w:cs="宋体"/>
          <w:color w:val="auto"/>
          <w:kern w:val="0"/>
          <w:sz w:val="24"/>
          <w:shd w:val="clear" w:color="auto" w:fill="FFFFFF"/>
        </w:rPr>
        <w:t>年</w:t>
      </w:r>
      <w:r>
        <w:rPr>
          <w:rFonts w:hint="eastAsia" w:ascii="宋体" w:hAnsi="宋体" w:cs="宋体"/>
          <w:color w:val="auto"/>
          <w:kern w:val="0"/>
          <w:sz w:val="24"/>
          <w:shd w:val="clear" w:color="auto" w:fill="FFFFFF"/>
          <w:lang w:val="en-US" w:eastAsia="zh-CN"/>
        </w:rPr>
        <w:t>3</w:t>
      </w:r>
      <w:r>
        <w:rPr>
          <w:rFonts w:hint="eastAsia" w:ascii="宋体" w:hAnsi="宋体" w:cs="宋体"/>
          <w:color w:val="auto"/>
          <w:kern w:val="0"/>
          <w:sz w:val="24"/>
          <w:shd w:val="clear" w:color="auto" w:fill="FFFFFF"/>
        </w:rPr>
        <w:t>月</w:t>
      </w:r>
      <w:r>
        <w:rPr>
          <w:rFonts w:hint="eastAsia" w:ascii="宋体" w:hAnsi="宋体" w:cs="宋体"/>
          <w:color w:val="auto"/>
          <w:kern w:val="0"/>
          <w:sz w:val="24"/>
          <w:shd w:val="clear" w:color="auto" w:fill="FFFFFF"/>
          <w:lang w:val="en-US" w:eastAsia="zh-CN"/>
        </w:rPr>
        <w:t>10</w:t>
      </w:r>
      <w:r>
        <w:rPr>
          <w:rFonts w:hint="eastAsia" w:ascii="宋体" w:hAnsi="宋体" w:cs="宋体"/>
          <w:color w:val="auto"/>
          <w:kern w:val="0"/>
          <w:sz w:val="24"/>
          <w:shd w:val="clear" w:color="auto" w:fill="FFFFFF"/>
        </w:rPr>
        <w:t>日</w:t>
      </w:r>
      <w:r>
        <w:rPr>
          <w:rFonts w:hint="eastAsia" w:ascii="宋体" w:hAnsi="宋体" w:cs="宋体"/>
          <w:color w:val="000000" w:themeColor="text1"/>
          <w:kern w:val="0"/>
          <w:sz w:val="24"/>
          <w:shd w:val="clear" w:color="auto" w:fill="FFFFFF"/>
          <w14:textFill>
            <w14:solidFill>
              <w14:schemeClr w14:val="tx1"/>
            </w14:solidFill>
          </w14:textFill>
        </w:rPr>
        <w:t>上午9</w:t>
      </w:r>
      <w:r>
        <w:rPr>
          <w:rFonts w:ascii="宋体" w:hAnsi="宋体" w:cs="宋体"/>
          <w:color w:val="000000" w:themeColor="text1"/>
          <w:kern w:val="0"/>
          <w:sz w:val="24"/>
          <w:shd w:val="clear" w:color="auto" w:fill="FFFFFF"/>
          <w14:textFill>
            <w14:solidFill>
              <w14:schemeClr w14:val="tx1"/>
            </w14:solidFill>
          </w14:textFill>
        </w:rPr>
        <w:t>:30</w:t>
      </w:r>
      <w:r>
        <w:rPr>
          <w:rFonts w:hint="eastAsia" w:ascii="宋体" w:hAnsi="宋体" w:cs="宋体"/>
          <w:color w:val="000000" w:themeColor="text1"/>
          <w:kern w:val="0"/>
          <w:sz w:val="24"/>
          <w:shd w:val="clear" w:color="auto" w:fill="FFFFFF"/>
          <w14:textFill>
            <w14:solidFill>
              <w14:schemeClr w14:val="tx1"/>
            </w14:solidFill>
          </w14:textFill>
        </w:rPr>
        <w:t>，逾期收到或不按照竞争性谈判文件要求密封的响应文件恕不接受。</w:t>
      </w:r>
    </w:p>
    <w:p w14:paraId="55BA08FF">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递交竞争性谈判响应文件地点：南京市玄武区运粮河西路</w:t>
      </w:r>
      <w:r>
        <w:rPr>
          <w:rFonts w:ascii="宋体" w:hAnsi="宋体" w:cs="宋体"/>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ascii="宋体" w:hAnsi="宋体" w:cs="宋体"/>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w:t>
      </w:r>
      <w:r>
        <w:rPr>
          <w:rFonts w:ascii="宋体" w:hAnsi="宋体" w:cs="宋体"/>
          <w:color w:val="000000" w:themeColor="text1"/>
          <w:kern w:val="0"/>
          <w:sz w:val="24"/>
          <w:shd w:val="clear" w:color="auto" w:fill="FFFFFF"/>
          <w14:textFill>
            <w14:solidFill>
              <w14:schemeClr w14:val="tx1"/>
            </w14:solidFill>
          </w14:textFill>
        </w:rPr>
        <w:t>4</w:t>
      </w:r>
      <w:r>
        <w:rPr>
          <w:rFonts w:hint="eastAsia" w:ascii="宋体" w:hAnsi="宋体" w:cs="宋体"/>
          <w:color w:val="000000" w:themeColor="text1"/>
          <w:kern w:val="0"/>
          <w:sz w:val="24"/>
          <w:shd w:val="clear" w:color="auto" w:fill="FFFFFF"/>
          <w14:textFill>
            <w14:solidFill>
              <w14:schemeClr w14:val="tx1"/>
            </w14:solidFill>
          </w14:textFill>
        </w:rPr>
        <w:t>楼。</w:t>
      </w:r>
    </w:p>
    <w:p w14:paraId="5CF7F866">
      <w:pPr>
        <w:widowControl/>
        <w:spacing w:line="360" w:lineRule="auto"/>
        <w:ind w:firstLine="480"/>
        <w:jc w:val="left"/>
        <w:rPr>
          <w:rFonts w:hint="default" w:ascii="宋体" w:hAnsi="宋体" w:eastAsia="宋体" w:cs="宋体"/>
          <w:color w:val="000000" w:themeColor="text1"/>
          <w:kern w:val="0"/>
          <w:sz w:val="24"/>
          <w:shd w:val="clear" w:color="auto" w:fill="FFFFFF"/>
          <w:lang w:val="en-US" w:eastAsia="zh-CN"/>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响应文件接收人：</w:t>
      </w:r>
      <w:r>
        <w:rPr>
          <w:rFonts w:hint="eastAsia" w:ascii="宋体" w:hAnsi="宋体" w:cs="宋体"/>
          <w:color w:val="000000" w:themeColor="text1"/>
          <w:kern w:val="0"/>
          <w:sz w:val="24"/>
          <w:shd w:val="clear" w:color="auto" w:fill="FFFFFF"/>
          <w:lang w:val="en-US" w:eastAsia="zh-CN"/>
          <w14:textFill>
            <w14:solidFill>
              <w14:schemeClr w14:val="tx1"/>
            </w14:solidFill>
          </w14:textFill>
        </w:rPr>
        <w:t>刘</w:t>
      </w:r>
      <w:r>
        <w:rPr>
          <w:rFonts w:hint="eastAsia" w:ascii="宋体" w:hAnsi="宋体" w:cs="宋体"/>
          <w:color w:val="000000" w:themeColor="text1"/>
          <w:kern w:val="0"/>
          <w:sz w:val="24"/>
          <w:shd w:val="clear" w:color="auto" w:fill="FFFFFF"/>
          <w14:textFill>
            <w14:solidFill>
              <w14:schemeClr w14:val="tx1"/>
            </w14:solidFill>
          </w14:textFill>
        </w:rPr>
        <w:t>经理，电话：</w:t>
      </w:r>
      <w:r>
        <w:rPr>
          <w:rFonts w:ascii="宋体" w:hAnsi="宋体" w:cs="宋体"/>
          <w:color w:val="000000" w:themeColor="text1"/>
          <w:kern w:val="0"/>
          <w:sz w:val="24"/>
          <w:shd w:val="clear" w:color="auto" w:fill="FFFFFF"/>
          <w14:textFill>
            <w14:solidFill>
              <w14:schemeClr w14:val="tx1"/>
            </w14:solidFill>
          </w14:textFill>
        </w:rPr>
        <w:t>025-872315</w:t>
      </w:r>
      <w:r>
        <w:rPr>
          <w:rFonts w:hint="eastAsia" w:ascii="宋体" w:hAnsi="宋体" w:cs="宋体"/>
          <w:color w:val="000000" w:themeColor="text1"/>
          <w:kern w:val="0"/>
          <w:sz w:val="24"/>
          <w:shd w:val="clear" w:color="auto" w:fill="FFFFFF"/>
          <w:lang w:val="en-US" w:eastAsia="zh-CN"/>
          <w14:textFill>
            <w14:solidFill>
              <w14:schemeClr w14:val="tx1"/>
            </w14:solidFill>
          </w14:textFill>
        </w:rPr>
        <w:t>13</w:t>
      </w:r>
    </w:p>
    <w:p w14:paraId="3001521F">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竞争性谈判时间：2025年</w:t>
      </w:r>
      <w:r>
        <w:rPr>
          <w:rFonts w:hint="eastAsia" w:ascii="宋体" w:hAnsi="宋体" w:cs="宋体"/>
          <w:color w:val="000000" w:themeColor="text1"/>
          <w:kern w:val="0"/>
          <w:sz w:val="24"/>
          <w:shd w:val="clear" w:color="auto" w:fill="FFFFFF"/>
          <w:lang w:val="en-US" w:eastAsia="zh-CN"/>
          <w14:textFill>
            <w14:solidFill>
              <w14:schemeClr w14:val="tx1"/>
            </w14:solidFill>
          </w14:textFill>
        </w:rPr>
        <w:t>3</w:t>
      </w:r>
      <w:r>
        <w:rPr>
          <w:rFonts w:hint="eastAsia" w:ascii="宋体" w:hAnsi="宋体" w:cs="宋体"/>
          <w:color w:val="000000" w:themeColor="text1"/>
          <w:kern w:val="0"/>
          <w:sz w:val="24"/>
          <w:shd w:val="clear" w:color="auto" w:fill="FFFFFF"/>
          <w14:textFill>
            <w14:solidFill>
              <w14:schemeClr w14:val="tx1"/>
            </w14:solidFill>
          </w14:textFill>
        </w:rPr>
        <w:t>月</w:t>
      </w:r>
      <w:r>
        <w:rPr>
          <w:rFonts w:hint="eastAsia" w:ascii="宋体" w:hAnsi="宋体" w:cs="宋体"/>
          <w:color w:val="000000" w:themeColor="text1"/>
          <w:kern w:val="0"/>
          <w:sz w:val="24"/>
          <w:shd w:val="clear" w:color="auto" w:fill="FFFFFF"/>
          <w:lang w:val="en-US" w:eastAsia="zh-CN"/>
          <w14:textFill>
            <w14:solidFill>
              <w14:schemeClr w14:val="tx1"/>
            </w14:solidFill>
          </w14:textFill>
        </w:rPr>
        <w:t>10</w:t>
      </w:r>
      <w:r>
        <w:rPr>
          <w:rFonts w:hint="eastAsia" w:ascii="宋体" w:hAnsi="宋体" w:cs="宋体"/>
          <w:color w:val="000000" w:themeColor="text1"/>
          <w:kern w:val="0"/>
          <w:sz w:val="24"/>
          <w:shd w:val="clear" w:color="auto" w:fill="FFFFFF"/>
          <w14:textFill>
            <w14:solidFill>
              <w14:schemeClr w14:val="tx1"/>
            </w14:solidFill>
          </w14:textFill>
        </w:rPr>
        <w:t>日上午9点</w:t>
      </w:r>
      <w:r>
        <w:rPr>
          <w:rFonts w:ascii="宋体" w:hAnsi="宋体" w:cs="宋体"/>
          <w:color w:val="000000" w:themeColor="text1"/>
          <w:kern w:val="0"/>
          <w:sz w:val="24"/>
          <w:shd w:val="clear" w:color="auto" w:fill="FFFFFF"/>
          <w14:textFill>
            <w14:solidFill>
              <w14:schemeClr w14:val="tx1"/>
            </w14:solidFill>
          </w14:textFill>
        </w:rPr>
        <w:t>30</w:t>
      </w:r>
      <w:r>
        <w:rPr>
          <w:rFonts w:hint="eastAsia" w:ascii="宋体" w:hAnsi="宋体" w:cs="宋体"/>
          <w:color w:val="000000" w:themeColor="text1"/>
          <w:kern w:val="0"/>
          <w:sz w:val="24"/>
          <w:shd w:val="clear" w:color="auto" w:fill="FFFFFF"/>
          <w14:textFill>
            <w14:solidFill>
              <w14:schemeClr w14:val="tx1"/>
            </w14:solidFill>
          </w14:textFill>
        </w:rPr>
        <w:t>分。</w:t>
      </w:r>
    </w:p>
    <w:p w14:paraId="3DB84CC6">
      <w:pPr>
        <w:widowControl/>
        <w:spacing w:line="360" w:lineRule="auto"/>
        <w:ind w:firstLine="48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竞争性谈判地点：南京市玄武区运粮河西路</w:t>
      </w:r>
      <w:r>
        <w:rPr>
          <w:rFonts w:ascii="宋体" w:hAnsi="宋体" w:cs="宋体"/>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ascii="宋体" w:hAnsi="宋体" w:cs="宋体"/>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w:t>
      </w:r>
      <w:r>
        <w:rPr>
          <w:rFonts w:ascii="宋体" w:hAnsi="宋体" w:cs="宋体"/>
          <w:color w:val="000000" w:themeColor="text1"/>
          <w:kern w:val="0"/>
          <w:sz w:val="24"/>
          <w:shd w:val="clear" w:color="auto" w:fill="FFFFFF"/>
          <w14:textFill>
            <w14:solidFill>
              <w14:schemeClr w14:val="tx1"/>
            </w14:solidFill>
          </w14:textFill>
        </w:rPr>
        <w:t>4</w:t>
      </w:r>
      <w:r>
        <w:rPr>
          <w:rFonts w:hint="eastAsia" w:ascii="宋体" w:hAnsi="宋体" w:cs="宋体"/>
          <w:color w:val="000000" w:themeColor="text1"/>
          <w:kern w:val="0"/>
          <w:sz w:val="24"/>
          <w:shd w:val="clear" w:color="auto" w:fill="FFFFFF"/>
          <w14:textFill>
            <w14:solidFill>
              <w14:schemeClr w14:val="tx1"/>
            </w14:solidFill>
          </w14:textFill>
        </w:rPr>
        <w:t>楼会议室。</w:t>
      </w:r>
    </w:p>
    <w:p w14:paraId="626615C7">
      <w:pPr>
        <w:spacing w:line="360" w:lineRule="auto"/>
        <w:ind w:firstLine="482"/>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六、发布公告的媒介</w:t>
      </w:r>
    </w:p>
    <w:p w14:paraId="015E68EF">
      <w:pPr>
        <w:widowControl/>
        <w:spacing w:line="360" w:lineRule="auto"/>
        <w:ind w:firstLine="480"/>
        <w:jc w:val="left"/>
        <w:rPr>
          <w:rFonts w:hint="eastAsia"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本次采购事宜相关公告同时在江苏省广电有线信息网络股份有限公司官网（www.jscnnet.com）“招标采购”栏目及中国招标投标公共服务平台（http://www.cebpubservice.com/）、中国采购与招标网（https://www.chinabidding.com.cn/）上发布，其他媒介转载无效。</w:t>
      </w:r>
    </w:p>
    <w:p w14:paraId="1DEC530C">
      <w:pPr>
        <w:spacing w:line="360" w:lineRule="auto"/>
        <w:ind w:firstLine="482"/>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七、其他说明事项</w:t>
      </w:r>
    </w:p>
    <w:p w14:paraId="0E3AAC02">
      <w:pPr>
        <w:widowControl/>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有关本次谈判的事项若存在变动或修改，敬请及时关注网上发布的信息更正公告</w:t>
      </w:r>
      <w:bookmarkStart w:id="9" w:name="bookmark1"/>
      <w:bookmarkEnd w:id="9"/>
      <w:r>
        <w:rPr>
          <w:rFonts w:hint="eastAsia" w:ascii="宋体" w:cs="宋体"/>
          <w:bCs/>
          <w:color w:val="000000" w:themeColor="text1"/>
          <w:sz w:val="24"/>
          <w14:textFill>
            <w14:solidFill>
              <w14:schemeClr w14:val="tx1"/>
            </w14:solidFill>
          </w14:textFill>
        </w:rPr>
        <w:t>。</w:t>
      </w:r>
      <w:bookmarkEnd w:id="4"/>
      <w:bookmarkEnd w:id="5"/>
      <w:r>
        <w:rPr>
          <w:rFonts w:ascii="宋体" w:hAnsi="宋体"/>
          <w:color w:val="000000" w:themeColor="text1"/>
          <w:sz w:val="24"/>
          <w14:textFill>
            <w14:solidFill>
              <w14:schemeClr w14:val="tx1"/>
            </w14:solidFill>
          </w14:textFill>
        </w:rPr>
        <w:br w:type="page"/>
      </w:r>
    </w:p>
    <w:bookmarkEnd w:id="6"/>
    <w:bookmarkEnd w:id="7"/>
    <w:p w14:paraId="7BE593FD">
      <w:pPr>
        <w:pStyle w:val="3"/>
        <w:spacing w:before="0" w:after="0" w:line="360" w:lineRule="auto"/>
        <w:ind w:firstLine="723"/>
        <w:rPr>
          <w:b/>
          <w:color w:val="000000" w:themeColor="text1"/>
          <w:sz w:val="36"/>
          <w:szCs w:val="36"/>
          <w14:textFill>
            <w14:solidFill>
              <w14:schemeClr w14:val="tx1"/>
            </w14:solidFill>
          </w14:textFill>
        </w:rPr>
      </w:pPr>
      <w:bookmarkStart w:id="10" w:name="_Toc16807"/>
      <w:bookmarkStart w:id="11" w:name="_Toc226969276"/>
      <w:bookmarkStart w:id="12" w:name="_Toc227057883"/>
      <w:bookmarkStart w:id="13" w:name="_Toc107822483"/>
      <w:r>
        <w:rPr>
          <w:rFonts w:hint="eastAsia"/>
          <w:b/>
          <w:color w:val="000000" w:themeColor="text1"/>
          <w:sz w:val="36"/>
          <w:szCs w:val="36"/>
          <w14:textFill>
            <w14:solidFill>
              <w14:schemeClr w14:val="tx1"/>
            </w14:solidFill>
          </w14:textFill>
        </w:rPr>
        <w:t>第二章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竞争性谈判</w:t>
      </w:r>
      <w:r>
        <w:rPr>
          <w:b/>
          <w:color w:val="000000" w:themeColor="text1"/>
          <w:sz w:val="36"/>
          <w:szCs w:val="36"/>
          <w14:textFill>
            <w14:solidFill>
              <w14:schemeClr w14:val="tx1"/>
            </w14:solidFill>
          </w14:textFill>
        </w:rPr>
        <w:t>须知</w:t>
      </w:r>
      <w:bookmarkEnd w:id="10"/>
    </w:p>
    <w:p w14:paraId="316B4F81">
      <w:pPr>
        <w:ind w:firstLine="56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供应商须知前附表</w:t>
      </w:r>
    </w:p>
    <w:p w14:paraId="7CD5CA06">
      <w:pPr>
        <w:ind w:firstLine="48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本表关于要采购的货物及</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的具体资料是对应答供应商须知的具体补充和修改，如有矛盾，以本前附表为准。</w:t>
      </w:r>
    </w:p>
    <w:tbl>
      <w:tblPr>
        <w:tblStyle w:val="53"/>
        <w:tblW w:w="5294"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0"/>
        <w:gridCol w:w="476"/>
        <w:gridCol w:w="1350"/>
        <w:gridCol w:w="6028"/>
      </w:tblGrid>
      <w:tr w14:paraId="45D4229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tcBorders>
              <w:top w:val="single" w:color="auto" w:sz="6" w:space="0"/>
            </w:tcBorders>
            <w:vAlign w:val="center"/>
          </w:tcPr>
          <w:p w14:paraId="30B430EE">
            <w:pPr>
              <w:keepNext w:val="0"/>
              <w:keepLines w:val="0"/>
              <w:pageBreakBefore w:val="0"/>
              <w:widowControl w:val="0"/>
              <w:kinsoku/>
              <w:wordWrap/>
              <w:overflowPunct/>
              <w:topLinePunct w:val="0"/>
              <w:autoSpaceDE/>
              <w:autoSpaceDN/>
              <w:bidi w:val="0"/>
              <w:adjustRightInd/>
              <w:snapToGrid/>
              <w:ind w:firstLine="0"/>
              <w:jc w:val="center"/>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268" w:type="pct"/>
            <w:tcBorders>
              <w:top w:val="single" w:color="auto" w:sz="6" w:space="0"/>
            </w:tcBorders>
            <w:vAlign w:val="center"/>
          </w:tcPr>
          <w:p w14:paraId="0BC5F1E8">
            <w:pPr>
              <w:keepNext w:val="0"/>
              <w:keepLines w:val="0"/>
              <w:pageBreakBefore w:val="0"/>
              <w:widowControl w:val="0"/>
              <w:kinsoku/>
              <w:wordWrap/>
              <w:overflowPunct/>
              <w:topLinePunct w:val="0"/>
              <w:autoSpaceDE/>
              <w:autoSpaceDN/>
              <w:bidi w:val="0"/>
              <w:adjustRightInd/>
              <w:snapToGrid/>
              <w:ind w:firstLine="0"/>
              <w:jc w:val="center"/>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条款号</w:t>
            </w:r>
          </w:p>
        </w:tc>
        <w:tc>
          <w:tcPr>
            <w:tcW w:w="762" w:type="pct"/>
            <w:tcBorders>
              <w:top w:val="single" w:color="auto" w:sz="6" w:space="0"/>
            </w:tcBorders>
            <w:vAlign w:val="center"/>
          </w:tcPr>
          <w:p w14:paraId="43DE03C8">
            <w:pPr>
              <w:keepNext w:val="0"/>
              <w:keepLines w:val="0"/>
              <w:pageBreakBefore w:val="0"/>
              <w:widowControl w:val="0"/>
              <w:kinsoku/>
              <w:wordWrap/>
              <w:overflowPunct/>
              <w:topLinePunct w:val="0"/>
              <w:autoSpaceDE/>
              <w:autoSpaceDN/>
              <w:bidi w:val="0"/>
              <w:adjustRightInd/>
              <w:snapToGrid/>
              <w:ind w:firstLine="0"/>
              <w:jc w:val="center"/>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内容</w:t>
            </w:r>
          </w:p>
        </w:tc>
        <w:tc>
          <w:tcPr>
            <w:tcW w:w="3402" w:type="pct"/>
            <w:tcBorders>
              <w:top w:val="single" w:color="auto" w:sz="6" w:space="0"/>
            </w:tcBorders>
            <w:vAlign w:val="center"/>
          </w:tcPr>
          <w:p w14:paraId="3743F9D5">
            <w:pPr>
              <w:keepNext w:val="0"/>
              <w:keepLines w:val="0"/>
              <w:pageBreakBefore w:val="0"/>
              <w:widowControl w:val="0"/>
              <w:kinsoku/>
              <w:wordWrap/>
              <w:overflowPunct/>
              <w:topLinePunct w:val="0"/>
              <w:autoSpaceDE/>
              <w:autoSpaceDN/>
              <w:bidi w:val="0"/>
              <w:adjustRightInd/>
              <w:snapToGrid/>
              <w:ind w:firstLine="0"/>
              <w:jc w:val="center"/>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说明与要求</w:t>
            </w:r>
          </w:p>
        </w:tc>
      </w:tr>
      <w:tr w14:paraId="6E5F7B1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7640D0C0">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68" w:type="pct"/>
            <w:vAlign w:val="center"/>
          </w:tcPr>
          <w:p w14:paraId="2F954F49">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762" w:type="pct"/>
            <w:vAlign w:val="center"/>
          </w:tcPr>
          <w:p w14:paraId="0E0F6EFA">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w:t>
            </w:r>
          </w:p>
        </w:tc>
        <w:tc>
          <w:tcPr>
            <w:tcW w:w="3402" w:type="pct"/>
            <w:vAlign w:val="center"/>
          </w:tcPr>
          <w:p w14:paraId="01211CEE">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江苏省广电有线信息网络股份有限公司，以下简称“采购人”</w:t>
            </w:r>
          </w:p>
        </w:tc>
      </w:tr>
      <w:tr w14:paraId="630B67F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60026777">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68" w:type="pct"/>
            <w:vAlign w:val="center"/>
          </w:tcPr>
          <w:p w14:paraId="57482F7F">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762" w:type="pct"/>
            <w:vAlign w:val="center"/>
          </w:tcPr>
          <w:p w14:paraId="0753113A">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代理机构</w:t>
            </w:r>
          </w:p>
        </w:tc>
        <w:tc>
          <w:tcPr>
            <w:tcW w:w="3402" w:type="pct"/>
            <w:vAlign w:val="center"/>
          </w:tcPr>
          <w:p w14:paraId="18C89BBD">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本项目无代理机构</w:t>
            </w:r>
          </w:p>
        </w:tc>
      </w:tr>
      <w:tr w14:paraId="1E6D13E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565" w:type="pct"/>
            <w:vAlign w:val="center"/>
          </w:tcPr>
          <w:p w14:paraId="479F70ED">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268" w:type="pct"/>
            <w:vAlign w:val="center"/>
          </w:tcPr>
          <w:p w14:paraId="4ABC0EE9">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762" w:type="pct"/>
            <w:vAlign w:val="center"/>
          </w:tcPr>
          <w:p w14:paraId="2B94E02E">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合格的供应商</w:t>
            </w:r>
          </w:p>
        </w:tc>
        <w:tc>
          <w:tcPr>
            <w:tcW w:w="3402" w:type="pct"/>
            <w:vAlign w:val="center"/>
          </w:tcPr>
          <w:p w14:paraId="09690EE5">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3F39B3B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59A22F6E">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268" w:type="pct"/>
            <w:vAlign w:val="center"/>
          </w:tcPr>
          <w:p w14:paraId="3E0281FA">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20.1</w:t>
            </w:r>
          </w:p>
        </w:tc>
        <w:tc>
          <w:tcPr>
            <w:tcW w:w="762" w:type="pct"/>
            <w:vAlign w:val="center"/>
          </w:tcPr>
          <w:p w14:paraId="014126B2">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保密</w:t>
            </w:r>
          </w:p>
        </w:tc>
        <w:tc>
          <w:tcPr>
            <w:tcW w:w="3402" w:type="pct"/>
            <w:vAlign w:val="center"/>
          </w:tcPr>
          <w:p w14:paraId="3B762A18">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供应商在参与本项目中，对于采购人披露和提供的所有信息应作为商业秘密对待并予以保护，未经采购人授权不得将任何信息泄漏给第三方，否则采购人有权追究供应商的责任。</w:t>
            </w:r>
          </w:p>
        </w:tc>
      </w:tr>
      <w:tr w14:paraId="78B1751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23B11082">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268" w:type="pct"/>
            <w:vAlign w:val="center"/>
          </w:tcPr>
          <w:p w14:paraId="5AD32391">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7108516E">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62" w:type="pct"/>
            <w:vAlign w:val="center"/>
          </w:tcPr>
          <w:p w14:paraId="6728EE68">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经第三方审计的财务报表</w:t>
            </w:r>
          </w:p>
        </w:tc>
        <w:tc>
          <w:tcPr>
            <w:tcW w:w="3402" w:type="pct"/>
            <w:vAlign w:val="center"/>
          </w:tcPr>
          <w:p w14:paraId="284EF8F4">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743231F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4AE4F181">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268" w:type="pct"/>
            <w:vAlign w:val="center"/>
          </w:tcPr>
          <w:p w14:paraId="4C11C418">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609CAB94">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762" w:type="pct"/>
            <w:vAlign w:val="center"/>
          </w:tcPr>
          <w:p w14:paraId="756F24F4">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响应文件的技术部分中必须包括的内容</w:t>
            </w:r>
          </w:p>
        </w:tc>
        <w:tc>
          <w:tcPr>
            <w:tcW w:w="3402" w:type="pct"/>
          </w:tcPr>
          <w:p w14:paraId="43E99CD3">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对第五章《技术需求书》的逐项应答，逐项应答必须按照服务偏离表格式，对照竞争性谈判文件需求，依据供应商本身服务，如实逐条说明所提供产品及</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37ADC31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44B4302B">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268" w:type="pct"/>
            <w:vAlign w:val="center"/>
          </w:tcPr>
          <w:p w14:paraId="4FA8AE46">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1532864E">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762" w:type="pct"/>
            <w:vAlign w:val="center"/>
          </w:tcPr>
          <w:p w14:paraId="4E570DC4">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合同文本的提供</w:t>
            </w:r>
          </w:p>
        </w:tc>
        <w:tc>
          <w:tcPr>
            <w:tcW w:w="3402" w:type="pct"/>
            <w:vAlign w:val="center"/>
          </w:tcPr>
          <w:p w14:paraId="7CB7F137">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0EE630F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202229CA">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268" w:type="pct"/>
            <w:vAlign w:val="center"/>
          </w:tcPr>
          <w:p w14:paraId="59A9FB74">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8.1</w:t>
            </w:r>
          </w:p>
        </w:tc>
        <w:tc>
          <w:tcPr>
            <w:tcW w:w="762" w:type="pct"/>
            <w:vAlign w:val="center"/>
          </w:tcPr>
          <w:p w14:paraId="69207F82">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响应文件的式样和签署</w:t>
            </w:r>
          </w:p>
        </w:tc>
        <w:tc>
          <w:tcPr>
            <w:tcW w:w="3402" w:type="pct"/>
            <w:vAlign w:val="center"/>
          </w:tcPr>
          <w:p w14:paraId="1EC88D6C">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响应文件一式3份（</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份正本、2份副本），电子版本一份（电子版文件内容必须可搜索，U盘形式）。</w:t>
            </w:r>
          </w:p>
        </w:tc>
      </w:tr>
      <w:tr w14:paraId="0F65A8C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2FF24210">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9</w:t>
            </w:r>
          </w:p>
        </w:tc>
        <w:tc>
          <w:tcPr>
            <w:tcW w:w="268" w:type="pct"/>
            <w:vAlign w:val="center"/>
          </w:tcPr>
          <w:p w14:paraId="7BDD25B8">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9.1</w:t>
            </w:r>
          </w:p>
        </w:tc>
        <w:tc>
          <w:tcPr>
            <w:tcW w:w="762" w:type="pct"/>
            <w:vAlign w:val="center"/>
          </w:tcPr>
          <w:p w14:paraId="6DFCEFBD">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3402" w:type="pct"/>
            <w:vAlign w:val="center"/>
          </w:tcPr>
          <w:p w14:paraId="1B861515">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01E37E01">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供应商必须保证所提供的服务能够完全满足采购人的项目建设需求，并充分考虑到采购人的售后服务需求。</w:t>
            </w:r>
          </w:p>
        </w:tc>
      </w:tr>
      <w:tr w14:paraId="63A1F3F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4A07DD64">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c>
          <w:tcPr>
            <w:tcW w:w="268" w:type="pct"/>
            <w:vAlign w:val="center"/>
          </w:tcPr>
          <w:p w14:paraId="2AC517AD">
            <w:pPr>
              <w:keepNext w:val="0"/>
              <w:keepLines w:val="0"/>
              <w:pageBreakBefore w:val="0"/>
              <w:widowControl w:val="0"/>
              <w:kinsoku/>
              <w:wordWrap/>
              <w:overflowPunct/>
              <w:topLinePunct w:val="0"/>
              <w:autoSpaceDE/>
              <w:autoSpaceDN/>
              <w:bidi w:val="0"/>
              <w:adjustRightInd/>
              <w:snapToGrid/>
              <w:ind w:firstLine="0"/>
              <w:jc w:val="center"/>
              <w:textAlignment w:val="auto"/>
              <w:rPr>
                <w:bCs/>
                <w:color w:val="000000" w:themeColor="text1"/>
                <w:kern w:val="44"/>
                <w:sz w:val="24"/>
                <w14:textFill>
                  <w14:solidFill>
                    <w14:schemeClr w14:val="tx1"/>
                  </w14:solidFill>
                </w14:textFill>
              </w:rPr>
            </w:pPr>
          </w:p>
        </w:tc>
        <w:tc>
          <w:tcPr>
            <w:tcW w:w="762" w:type="pct"/>
            <w:vAlign w:val="center"/>
          </w:tcPr>
          <w:p w14:paraId="662A1339">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响应文件的盖章或签字</w:t>
            </w:r>
          </w:p>
        </w:tc>
        <w:tc>
          <w:tcPr>
            <w:tcW w:w="3402" w:type="pct"/>
            <w:vAlign w:val="center"/>
          </w:tcPr>
          <w:p w14:paraId="77306791">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本条款增加规定：</w:t>
            </w:r>
          </w:p>
          <w:p w14:paraId="17021B2B">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（1）竞争性谈判文件第六章“响应文件格式”中有单位名称和法定代表人或其委托代理人签字落款的响应文件必须加盖单位公章。</w:t>
            </w:r>
          </w:p>
          <w:p w14:paraId="46D8ECE7">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（2）除上述文件以外的其他响应文件组成部分必须加盖骑缝章（骑缝章必须覆盖所有响应文件），或由法定代表人或其委托代理人逐页手签。</w:t>
            </w:r>
          </w:p>
          <w:p w14:paraId="0B05412C">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响应文件中所有标注“盖章”处均指单位公章，不能以“业务章”、“专用章”、“合同章”等代替；如确需要替代，则必须附公章对“业务章”、“专用章”、“合同章”等的授权（格式自制，且正本中必须附原件）</w:t>
            </w:r>
          </w:p>
        </w:tc>
      </w:tr>
      <w:tr w14:paraId="04AF11D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571A749F">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268" w:type="pct"/>
            <w:vAlign w:val="center"/>
          </w:tcPr>
          <w:p w14:paraId="2CF8E2B0">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10.1</w:t>
            </w:r>
          </w:p>
        </w:tc>
        <w:tc>
          <w:tcPr>
            <w:tcW w:w="762" w:type="pct"/>
            <w:vAlign w:val="center"/>
          </w:tcPr>
          <w:p w14:paraId="631D3521">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响应有效期</w:t>
            </w:r>
          </w:p>
        </w:tc>
        <w:tc>
          <w:tcPr>
            <w:tcW w:w="3402" w:type="pct"/>
            <w:vAlign w:val="center"/>
          </w:tcPr>
          <w:p w14:paraId="728C1FDB">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供应商递交的响应文件应在规定的递交响应文件截止日后的</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天内保持有效。</w:t>
            </w:r>
          </w:p>
        </w:tc>
      </w:tr>
      <w:tr w14:paraId="5EA7302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4B4C338E">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268" w:type="pct"/>
            <w:vAlign w:val="center"/>
          </w:tcPr>
          <w:p w14:paraId="4562AF3E">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62" w:type="pct"/>
            <w:vAlign w:val="center"/>
          </w:tcPr>
          <w:p w14:paraId="75E9C37F">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递交响应文件截止时间</w:t>
            </w:r>
          </w:p>
        </w:tc>
        <w:tc>
          <w:tcPr>
            <w:tcW w:w="3402" w:type="pct"/>
            <w:vAlign w:val="center"/>
          </w:tcPr>
          <w:p w14:paraId="23FDE782">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391D589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565" w:type="pct"/>
            <w:vAlign w:val="center"/>
          </w:tcPr>
          <w:p w14:paraId="4EF03944">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268" w:type="pct"/>
            <w:vAlign w:val="center"/>
          </w:tcPr>
          <w:p w14:paraId="70D1B666">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62" w:type="pct"/>
            <w:vAlign w:val="center"/>
          </w:tcPr>
          <w:p w14:paraId="384F58F2">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递交响应文件地点</w:t>
            </w:r>
          </w:p>
        </w:tc>
        <w:tc>
          <w:tcPr>
            <w:tcW w:w="3402" w:type="pct"/>
            <w:vAlign w:val="center"/>
          </w:tcPr>
          <w:p w14:paraId="57141959">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65760F9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5" w:type="pct"/>
            <w:vAlign w:val="center"/>
          </w:tcPr>
          <w:p w14:paraId="35DBF929">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268" w:type="pct"/>
            <w:vAlign w:val="center"/>
          </w:tcPr>
          <w:p w14:paraId="52F27A1A">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17.5</w:t>
            </w:r>
          </w:p>
        </w:tc>
        <w:tc>
          <w:tcPr>
            <w:tcW w:w="762" w:type="pct"/>
            <w:vAlign w:val="center"/>
          </w:tcPr>
          <w:p w14:paraId="3B4319FA">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如发现下列情况之一的，其响应文件将可能被拒绝</w:t>
            </w:r>
          </w:p>
        </w:tc>
        <w:tc>
          <w:tcPr>
            <w:tcW w:w="3402" w:type="pct"/>
            <w:vAlign w:val="center"/>
          </w:tcPr>
          <w:p w14:paraId="18486031">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）不满足竞争性谈判文件对合格供应商的基本资质要求的；</w:t>
            </w:r>
          </w:p>
          <w:p w14:paraId="2B9EFF82">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2）供应商在响应文件中提供的服务内容及质量不能实质性满足竞争性谈判文件“</w:t>
            </w:r>
            <w:r>
              <w:rPr>
                <w:rFonts w:ascii="Segoe UI Symbol" w:hAnsi="Segoe UI Symbol" w:cs="Segoe UI Symbol"/>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”号条款要求或不能提供实质性满足证明的；</w:t>
            </w:r>
          </w:p>
          <w:p w14:paraId="0DBCF18D">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3）供应商在响应文件中对于第四章《合同格式》有任何负偏离的；</w:t>
            </w:r>
          </w:p>
          <w:p w14:paraId="248B611A">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4）响应函、法人代表授权书不按照第六章《附件》的格式提供的；</w:t>
            </w:r>
          </w:p>
          <w:p w14:paraId="1218E2BD">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5）资格证明文件不全、失效或不符合竞争性谈判文件要求的；</w:t>
            </w:r>
          </w:p>
          <w:p w14:paraId="5FBF1A4A">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6）响应文件无法定代表人签字，或签字人无法定代表人有效授权的；</w:t>
            </w:r>
          </w:p>
          <w:p w14:paraId="41607A79">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7）响应文件或响应有效期不足的；</w:t>
            </w:r>
          </w:p>
          <w:p w14:paraId="2D475BE2">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8）报价超过本项目最高限价的；</w:t>
            </w:r>
          </w:p>
          <w:p w14:paraId="259CC478">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9）响应文件中提供虚假或失实资料的；</w:t>
            </w:r>
          </w:p>
          <w:p w14:paraId="0A2A017E">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10）未按照竞争性谈判文件规定的方式领取竞争性谈判文件并按要求递交响应文件的；</w:t>
            </w:r>
          </w:p>
          <w:p w14:paraId="088806B5">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1）评审委员会认为不能实质上满足竞争性谈判文件其它要求的。</w:t>
            </w:r>
          </w:p>
        </w:tc>
      </w:tr>
      <w:tr w14:paraId="47EC9DF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5" w:type="pct"/>
            <w:vAlign w:val="center"/>
          </w:tcPr>
          <w:p w14:paraId="7D41ED45">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268" w:type="pct"/>
            <w:vAlign w:val="center"/>
          </w:tcPr>
          <w:p w14:paraId="65387E34">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19</w:t>
            </w:r>
          </w:p>
        </w:tc>
        <w:tc>
          <w:tcPr>
            <w:tcW w:w="762" w:type="pct"/>
            <w:vAlign w:val="center"/>
          </w:tcPr>
          <w:p w14:paraId="434E80C2">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w:t>
            </w:r>
          </w:p>
        </w:tc>
        <w:tc>
          <w:tcPr>
            <w:tcW w:w="3402" w:type="pct"/>
            <w:vAlign w:val="center"/>
          </w:tcPr>
          <w:p w14:paraId="35AE7396">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）供应商的法定代表人或其授权代理应按采购人规定的时间到指定的地点，与评审委员会进行谈判并对评审委员会提出的问题作出澄清和答复；</w:t>
            </w:r>
          </w:p>
          <w:p w14:paraId="0095048F">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6FDC84DD">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79E204D9">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6EE0FA3B">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）评审委员会就服务、合同内容和供应商报价进行谈判，谈判后将根据综合评估结果，对供应商按综合得分从高到低排序。</w:t>
            </w:r>
          </w:p>
        </w:tc>
      </w:tr>
      <w:tr w14:paraId="493433F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565" w:type="pct"/>
            <w:vAlign w:val="center"/>
          </w:tcPr>
          <w:p w14:paraId="5B743823">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16</w:t>
            </w:r>
          </w:p>
        </w:tc>
        <w:tc>
          <w:tcPr>
            <w:tcW w:w="268" w:type="pct"/>
            <w:vAlign w:val="center"/>
          </w:tcPr>
          <w:p w14:paraId="149A6DC9">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22.1</w:t>
            </w:r>
          </w:p>
        </w:tc>
        <w:tc>
          <w:tcPr>
            <w:tcW w:w="762" w:type="pct"/>
            <w:vAlign w:val="center"/>
          </w:tcPr>
          <w:p w14:paraId="03726E0C">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成交</w:t>
            </w:r>
          </w:p>
          <w:p w14:paraId="57F47469">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供应商数量</w:t>
            </w:r>
          </w:p>
        </w:tc>
        <w:tc>
          <w:tcPr>
            <w:tcW w:w="3402" w:type="pct"/>
            <w:vAlign w:val="center"/>
          </w:tcPr>
          <w:p w14:paraId="5822C6DF">
            <w:pPr>
              <w:keepNext w:val="0"/>
              <w:keepLines w:val="0"/>
              <w:pageBreakBefore w:val="0"/>
              <w:widowControl w:val="0"/>
              <w:kinsoku/>
              <w:wordWrap/>
              <w:overflowPunct/>
              <w:topLinePunct w:val="0"/>
              <w:autoSpaceDE/>
              <w:autoSpaceDN/>
              <w:bidi w:val="0"/>
              <w:adjustRightInd/>
              <w:snapToGrid/>
              <w:ind w:firstLine="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名成交供应商。</w:t>
            </w:r>
          </w:p>
        </w:tc>
      </w:tr>
      <w:tr w14:paraId="2031236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65" w:type="pct"/>
            <w:vAlign w:val="center"/>
          </w:tcPr>
          <w:p w14:paraId="72BAC4ED">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17</w:t>
            </w:r>
          </w:p>
        </w:tc>
        <w:tc>
          <w:tcPr>
            <w:tcW w:w="268" w:type="pct"/>
            <w:vAlign w:val="center"/>
          </w:tcPr>
          <w:p w14:paraId="0221A067">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24</w:t>
            </w:r>
          </w:p>
        </w:tc>
        <w:tc>
          <w:tcPr>
            <w:tcW w:w="762" w:type="pct"/>
            <w:vAlign w:val="center"/>
          </w:tcPr>
          <w:p w14:paraId="5F133CE6">
            <w:pPr>
              <w:keepNext w:val="0"/>
              <w:keepLines w:val="0"/>
              <w:pageBreakBefore w:val="0"/>
              <w:widowControl w:val="0"/>
              <w:kinsoku/>
              <w:wordWrap/>
              <w:overflowPunct/>
              <w:topLinePunct w:val="0"/>
              <w:autoSpaceDE/>
              <w:autoSpaceDN/>
              <w:bidi w:val="0"/>
              <w:adjustRightInd/>
              <w:snapToGrid/>
              <w:ind w:firstLine="0"/>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签约</w:t>
            </w:r>
          </w:p>
        </w:tc>
        <w:tc>
          <w:tcPr>
            <w:tcW w:w="3402" w:type="pct"/>
            <w:vAlign w:val="center"/>
          </w:tcPr>
          <w:p w14:paraId="00142737">
            <w:pPr>
              <w:keepNext w:val="0"/>
              <w:keepLines w:val="0"/>
              <w:pageBreakBefore w:val="0"/>
              <w:widowControl w:val="0"/>
              <w:kinsoku/>
              <w:wordWrap/>
              <w:overflowPunct/>
              <w:topLinePunct w:val="0"/>
              <w:autoSpaceDE/>
              <w:autoSpaceDN/>
              <w:bidi w:val="0"/>
              <w:adjustRightInd/>
              <w:snapToGrid/>
              <w:ind w:firstLine="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采购人与本次成交供应商按本竞争性谈判文件第四章合同格式签订合同。</w:t>
            </w:r>
          </w:p>
        </w:tc>
      </w:tr>
    </w:tbl>
    <w:p w14:paraId="2F6A941C">
      <w:pPr>
        <w:spacing w:before="312" w:after="312"/>
        <w:ind w:firstLine="484" w:firstLineChars="202"/>
        <w:rPr>
          <w:color w:val="000000" w:themeColor="text1"/>
          <w:sz w:val="24"/>
          <w14:textFill>
            <w14:solidFill>
              <w14:schemeClr w14:val="tx1"/>
            </w14:solidFill>
          </w14:textFill>
        </w:rPr>
      </w:pPr>
    </w:p>
    <w:p w14:paraId="26C0B929">
      <w:pPr>
        <w:widowControl/>
        <w:spacing w:before="312" w:after="312"/>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4A8C1C35">
      <w:pPr>
        <w:ind w:firstLine="643"/>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w:t>
      </w:r>
    </w:p>
    <w:p w14:paraId="7C22ED93">
      <w:pPr>
        <w:spacing w:line="360" w:lineRule="auto"/>
        <w:ind w:firstLine="562"/>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一、说明</w:t>
      </w:r>
    </w:p>
    <w:p w14:paraId="630115D0">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采购人及合格的供应商</w:t>
      </w:r>
    </w:p>
    <w:p w14:paraId="3BAEBEAE">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采购人是指国内采购产品的国家机关、企业、事业单位或其它组织。本项目采购人（详见《供应商须知前附表》）。</w:t>
      </w:r>
    </w:p>
    <w:p w14:paraId="39D5E530">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合格的供应商（详见《供应商须知前附表》）。</w:t>
      </w:r>
    </w:p>
    <w:p w14:paraId="5DC64351">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费用</w:t>
      </w:r>
    </w:p>
    <w:p w14:paraId="1A117550">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供应商应承担所有与准备和参加竞争有关的费用。不论结果如何，采购人均无义务和责任承担这些费用。</w:t>
      </w:r>
    </w:p>
    <w:p w14:paraId="2ACE2D58">
      <w:pPr>
        <w:spacing w:line="360" w:lineRule="auto"/>
        <w:ind w:firstLine="562"/>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二、竞争性谈判文件</w:t>
      </w:r>
    </w:p>
    <w:p w14:paraId="42AE540C">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竞争性谈判文件构成</w:t>
      </w:r>
    </w:p>
    <w:p w14:paraId="34DB2A59">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14:textFill>
            <w14:solidFill>
              <w14:schemeClr w14:val="tx1"/>
            </w14:solidFill>
          </w14:textFill>
        </w:rPr>
        <w:t>竞争性谈判文件共六章，内容如下：</w:t>
      </w:r>
    </w:p>
    <w:p w14:paraId="56F477F1">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第一章竞争性谈判</w:t>
      </w:r>
      <w:r>
        <w:rPr>
          <w:rFonts w:ascii="宋体" w:hAnsi="宋体"/>
          <w:color w:val="000000" w:themeColor="text1"/>
          <w:sz w:val="24"/>
          <w14:textFill>
            <w14:solidFill>
              <w14:schemeClr w14:val="tx1"/>
            </w14:solidFill>
          </w14:textFill>
        </w:rPr>
        <w:t>公告</w:t>
      </w:r>
    </w:p>
    <w:p w14:paraId="7BAA29B2">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第二章竞争性谈判须知</w:t>
      </w:r>
    </w:p>
    <w:p w14:paraId="4A0E8700">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第三章评审办法</w:t>
      </w:r>
    </w:p>
    <w:p w14:paraId="2A5DF639">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第四章合同格式</w:t>
      </w:r>
    </w:p>
    <w:p w14:paraId="71BBBFC5">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第五章技术需求书</w:t>
      </w:r>
    </w:p>
    <w:p w14:paraId="4AB8EB51">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第六章竞争性谈判响应文件格式</w:t>
      </w:r>
    </w:p>
    <w:p w14:paraId="33285AEB">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2E34B0B4">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竞争性谈判文件的澄清</w:t>
      </w:r>
    </w:p>
    <w:p w14:paraId="366BC03C">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4.1 </w:t>
      </w:r>
      <w:r>
        <w:rPr>
          <w:rFonts w:hint="eastAsia" w:ascii="宋体" w:hAnsi="宋体"/>
          <w:color w:val="000000" w:themeColor="text1"/>
          <w:sz w:val="24"/>
          <w14:textFill>
            <w14:solidFill>
              <w14:schemeClr w14:val="tx1"/>
            </w14:solidFill>
          </w14:textFill>
        </w:rPr>
        <w:t>任何要求对竞争性谈判文件进行澄清的供应商，均应按规定的递交响应文件截止期五（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）天前以书面形式通知采购人。逾期的澄清要求将不被接受。</w:t>
      </w:r>
    </w:p>
    <w:p w14:paraId="5EBA8547">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竞争性谈判文件的修改</w:t>
      </w:r>
    </w:p>
    <w:p w14:paraId="3497D993">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w:t>
      </w:r>
      <w:r>
        <w:rPr>
          <w:rFonts w:hint="eastAsia" w:ascii="宋体" w:hAnsi="宋体"/>
          <w:color w:val="000000" w:themeColor="text1"/>
          <w:sz w:val="24"/>
          <w14:textFill>
            <w14:solidFill>
              <w14:schemeClr w14:val="tx1"/>
            </w14:solidFill>
          </w14:textFill>
        </w:rPr>
        <w:t>为使供应商准备响应文件时有充分时间对竞争性谈判文件的修改部分进行研究，采购人可自行决定是否延长递交响应文件截止时间。</w:t>
      </w:r>
    </w:p>
    <w:p w14:paraId="40829BA4">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5.2 </w:t>
      </w:r>
      <w:r>
        <w:rPr>
          <w:rFonts w:hint="eastAsia" w:ascii="宋体" w:hAnsi="宋体"/>
          <w:color w:val="000000" w:themeColor="text1"/>
          <w:sz w:val="24"/>
          <w14:textFill>
            <w14:solidFill>
              <w14:schemeClr w14:val="tx1"/>
            </w14:solidFill>
          </w14:textFill>
        </w:rPr>
        <w:t>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）天以前的任何时候，无论出于何种原因，采购人可主动地或在解答供应商提出的澄清问题时对竞争性谈判文件进行修改。</w:t>
      </w:r>
    </w:p>
    <w:p w14:paraId="6D99C81A">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5.3 </w:t>
      </w:r>
      <w:r>
        <w:rPr>
          <w:rFonts w:hint="eastAsia" w:ascii="宋体" w:hAnsi="宋体"/>
          <w:color w:val="000000" w:themeColor="text1"/>
          <w:sz w:val="24"/>
          <w14:textFill>
            <w14:solidFill>
              <w14:schemeClr w14:val="tx1"/>
            </w14:solidFill>
          </w14:textFill>
        </w:rPr>
        <w:t>竞争性谈判文件的修改将以书面形式在递交响应文件截止时间（包含延长了的递交响应文件截止时间）五（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）天前通知参与竞争性谈判的供应商，并对其具有约束力。供应商在收到上述通知后，应立即向采购人回函确认已收到上述通知，但是供应商的回函不作为其收到上述通知的唯一证据。</w:t>
      </w:r>
    </w:p>
    <w:p w14:paraId="3F9E925E">
      <w:pPr>
        <w:spacing w:line="360" w:lineRule="auto"/>
        <w:ind w:firstLine="562"/>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三、响应文件的编制</w:t>
      </w:r>
    </w:p>
    <w:p w14:paraId="416202FB">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响应文件的语言</w:t>
      </w:r>
    </w:p>
    <w:p w14:paraId="68192110">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 </w:t>
      </w:r>
      <w:r>
        <w:rPr>
          <w:rFonts w:hint="eastAsia" w:ascii="宋体" w:hAnsi="宋体"/>
          <w:color w:val="000000" w:themeColor="text1"/>
          <w:sz w:val="24"/>
          <w14:textFill>
            <w14:solidFill>
              <w14:schemeClr w14:val="tx1"/>
            </w14:solidFill>
          </w14:textFill>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7164066">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响应文件构成</w:t>
      </w:r>
    </w:p>
    <w:p w14:paraId="1BB15DE0">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或服务的合格性和符合竞争性谈判文件规定的文件；竞争性谈判文件要求的其它文件；供应商认为其它需提供的文件。</w:t>
      </w:r>
    </w:p>
    <w:p w14:paraId="7E6B2586">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）响应文件基本文件</w:t>
      </w:r>
    </w:p>
    <w:p w14:paraId="6F8B8CFF">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项目方案</w:t>
      </w:r>
    </w:p>
    <w:p w14:paraId="57AD14A3">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响应函（格式见附件）</w:t>
      </w:r>
    </w:p>
    <w:p w14:paraId="25FD90C0">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报价表（格式见附件）</w:t>
      </w:r>
    </w:p>
    <w:p w14:paraId="0BA6DFEF">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）供应商提交的证明其合格且中选后有能力履行合同的资格证明文件（详见《竞争性谈判公告》）以及供应商认为需提供的其它文件和证书</w:t>
      </w:r>
    </w:p>
    <w:p w14:paraId="1BE9808F">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）证明供应商所提供的产品及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67F5B248">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）竞争性谈判文件要求的其它内容和文件</w:t>
      </w:r>
    </w:p>
    <w:p w14:paraId="57C5672C">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）供应商认为其它需提供的文件或证书</w:t>
      </w:r>
    </w:p>
    <w:p w14:paraId="4B13D5DB">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6）合同文本的提供（详见《供应商须知前附表》）</w:t>
      </w:r>
    </w:p>
    <w:p w14:paraId="5300085A">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供应商提供的以上材料必须真实有效，任何一项的虚假将导致其响应文件被拒绝。</w:t>
      </w:r>
    </w:p>
    <w:p w14:paraId="434D3DB6">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响应文件的式样和签署（详见《供应商须知前附表》）</w:t>
      </w:r>
    </w:p>
    <w:p w14:paraId="054540DE">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8.1 </w:t>
      </w:r>
      <w:r>
        <w:rPr>
          <w:rFonts w:hint="eastAsia" w:ascii="宋体" w:hAnsi="宋体"/>
          <w:color w:val="000000" w:themeColor="text1"/>
          <w:sz w:val="24"/>
          <w14:textFill>
            <w14:solidFill>
              <w14:schemeClr w14:val="tx1"/>
            </w14:solidFill>
          </w14:textFill>
        </w:rPr>
        <w:t>响应文件一式3份（</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份正本、2份副本），电子版本一份。响应文件用中文编写，</w:t>
      </w:r>
      <w:r>
        <w:rPr>
          <w:rFonts w:ascii="宋体" w:hAnsi="宋体"/>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纸胶装。其中正本必须注明“正本”字样，正、副本及电子版本内容必须保持一致，副本可以用复印件。若正本和副本或电子版本不符，以正本为准。</w:t>
      </w:r>
    </w:p>
    <w:p w14:paraId="4CD63EA4">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522E0A0B">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如供应商对竞争性谈判文件个别内容不能接受，应在响应文件中另做声明，否则将视为供应商接受竞争性谈判文件全部内容。</w:t>
      </w:r>
    </w:p>
    <w:p w14:paraId="4B443A7C">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8.4 </w:t>
      </w:r>
      <w:r>
        <w:rPr>
          <w:rFonts w:hint="eastAsia" w:ascii="宋体" w:hAnsi="宋体"/>
          <w:color w:val="000000" w:themeColor="text1"/>
          <w:sz w:val="24"/>
          <w14:textFill>
            <w14:solidFill>
              <w14:schemeClr w14:val="tx1"/>
            </w14:solidFill>
          </w14:textFill>
        </w:rPr>
        <w:t>任何对响应文件行间插字、涂改和增删，必须由响应文件签字人签字或盖章后才有效。</w:t>
      </w:r>
    </w:p>
    <w:p w14:paraId="138495DE">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8.5 </w:t>
      </w:r>
      <w:r>
        <w:rPr>
          <w:rFonts w:hint="eastAsia" w:ascii="宋体" w:hAnsi="宋体"/>
          <w:color w:val="000000" w:themeColor="text1"/>
          <w:sz w:val="24"/>
          <w14:textFill>
            <w14:solidFill>
              <w14:schemeClr w14:val="tx1"/>
            </w14:solidFill>
          </w14:textFill>
        </w:rPr>
        <w:t>响应文件因字迹潦草或表达不清所引起的后果由供应商负责。</w:t>
      </w:r>
    </w:p>
    <w:p w14:paraId="607631EC">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报价</w:t>
      </w:r>
    </w:p>
    <w:p w14:paraId="3166277E">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9.1 </w:t>
      </w:r>
      <w:r>
        <w:rPr>
          <w:rFonts w:hint="eastAsia" w:ascii="宋体" w:hAnsi="宋体"/>
          <w:color w:val="000000" w:themeColor="text1"/>
          <w:sz w:val="24"/>
          <w14:textFill>
            <w14:solidFill>
              <w14:schemeClr w14:val="tx1"/>
            </w14:solidFill>
          </w14:textFill>
        </w:rPr>
        <w:t>报价：人民币报价。供应商应按照竞争性谈判文件要求，在响应文件中报出本项目包含的所有产品和服务的报价（格式见附件）。</w:t>
      </w:r>
    </w:p>
    <w:p w14:paraId="3705D0CF">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9.2 </w:t>
      </w:r>
      <w:r>
        <w:rPr>
          <w:rFonts w:hint="eastAsia" w:ascii="宋体" w:hAnsi="宋体"/>
          <w:color w:val="000000" w:themeColor="text1"/>
          <w:sz w:val="24"/>
          <w14:textFill>
            <w14:solidFill>
              <w14:schemeClr w14:val="tx1"/>
            </w14:solidFill>
          </w14:textFill>
        </w:rPr>
        <w:t>供应商的报价包括供应商为完成采购人的项目建设所发生的一切费用（包括全部产品及相关服务）且已包括与所报产品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服务相关的所有税费。供应商估算错误或漏项的风险一律由供应商承担。</w:t>
      </w:r>
    </w:p>
    <w:p w14:paraId="75286C57">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9.3 </w:t>
      </w:r>
      <w:r>
        <w:rPr>
          <w:rFonts w:hint="eastAsia" w:ascii="宋体" w:hAnsi="宋体"/>
          <w:color w:val="000000" w:themeColor="text1"/>
          <w:sz w:val="24"/>
          <w14:textFill>
            <w14:solidFill>
              <w14:schemeClr w14:val="tx1"/>
            </w14:solidFill>
          </w14:textFill>
        </w:rPr>
        <w:t>中选的价格在合同执行过程中是固定不变的，未经采购人许可不得以任何理由予以变更。以可调整或可选择的价格提交的响应文件将作为非响应性文件而予以拒绝。</w:t>
      </w:r>
    </w:p>
    <w:p w14:paraId="2AD128F6">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9.4 </w:t>
      </w:r>
      <w:r>
        <w:rPr>
          <w:rFonts w:hint="eastAsia" w:ascii="宋体" w:hAnsi="宋体"/>
          <w:color w:val="000000" w:themeColor="text1"/>
          <w:sz w:val="24"/>
          <w14:textFill>
            <w14:solidFill>
              <w14:schemeClr w14:val="tx1"/>
            </w14:solidFill>
          </w14:textFill>
        </w:rPr>
        <w:t>供应商根据本须知规定将报价分成几部分并按附件格式填写分项报价表，是为了方便采购人对响应文件进行比较，并不限制采购人以上述任何条件订立合同的权利。</w:t>
      </w:r>
    </w:p>
    <w:p w14:paraId="351D39D0">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 响应有效期（详见《供应商须知前附表》）</w:t>
      </w:r>
    </w:p>
    <w:p w14:paraId="3D3FAF3D">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供应商递交的响应文件应在规定的递交响应文件截止日后的</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天内保持有效。有效期不满足要求的响应文件将被视为非响应性文件而予以拒绝。</w:t>
      </w:r>
    </w:p>
    <w:p w14:paraId="4F32865C">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10.2 </w:t>
      </w:r>
      <w:r>
        <w:rPr>
          <w:rFonts w:hint="eastAsia" w:ascii="宋体" w:hAnsi="宋体"/>
          <w:color w:val="000000" w:themeColor="text1"/>
          <w:sz w:val="24"/>
          <w14:textFill>
            <w14:solidFill>
              <w14:schemeClr w14:val="tx1"/>
            </w14:solidFill>
          </w14:textFill>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60595109">
      <w:pPr>
        <w:spacing w:line="360" w:lineRule="auto"/>
        <w:ind w:firstLine="562"/>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四、响应文件的递交</w:t>
      </w:r>
    </w:p>
    <w:p w14:paraId="5D86A966">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响应文件的密封和标记</w:t>
      </w:r>
    </w:p>
    <w:p w14:paraId="121D93CF">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供应商应将响应文件正本和所有的副本、电子文档分开密封装在单独的信封中，且在信封上标明“正本”、“副本”、“电子文档”字样。</w:t>
      </w:r>
    </w:p>
    <w:p w14:paraId="13BC394E">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内外层信封均应：</w:t>
      </w:r>
    </w:p>
    <w:p w14:paraId="36EF154A">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）标明递交至“</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”中指明的地点。</w:t>
      </w:r>
    </w:p>
    <w:p w14:paraId="0D109B51">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）注明“</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”中指明的项目名称、编号和“在”之前不得启封的字样，并填入“</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”中规定的日期和时间。</w:t>
      </w:r>
    </w:p>
    <w:p w14:paraId="51232753">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内层信封应写明供应商名称和地址，以便若其响应文件被宣布为“迟到”响应文件时，能原封退回。</w:t>
      </w:r>
    </w:p>
    <w:p w14:paraId="4CA87E22">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如果外层信封未按本须知第</w:t>
      </w:r>
      <w:r>
        <w:rPr>
          <w:rFonts w:ascii="宋体" w:hAnsi="宋体"/>
          <w:color w:val="000000" w:themeColor="text1"/>
          <w:sz w:val="24"/>
          <w14:textFill>
            <w14:solidFill>
              <w14:schemeClr w14:val="tx1"/>
            </w14:solidFill>
          </w14:textFill>
        </w:rPr>
        <w:t>12.2</w:t>
      </w:r>
      <w:r>
        <w:rPr>
          <w:rFonts w:hint="eastAsia" w:ascii="宋体" w:hAnsi="宋体"/>
          <w:color w:val="000000" w:themeColor="text1"/>
          <w:sz w:val="24"/>
          <w14:textFill>
            <w14:solidFill>
              <w14:schemeClr w14:val="tx1"/>
            </w14:solidFill>
          </w14:textFill>
        </w:rPr>
        <w:t>条要求加写标记和密封，采购人对误投或过早启封概不负责。</w:t>
      </w:r>
    </w:p>
    <w:p w14:paraId="76FBB62A">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供应商须由其合法的授权人在递交响应文件截止时间之前将响应文件送达采购人并签字确认。供应商须承担因未送达并签字所造成的一切责任。</w:t>
      </w:r>
    </w:p>
    <w:p w14:paraId="318864F7">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递交响应文件截止时间</w:t>
      </w:r>
    </w:p>
    <w:p w14:paraId="58962D5F">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采购人收到响应文件的时间不迟于（详见《竞争性谈判公告》）</w:t>
      </w:r>
    </w:p>
    <w:p w14:paraId="145786F5">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采购人可以按本须知第</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条规定，通过修改竞争性谈判文件自行决定酌情延长递交响应文件截止时间。在此情况下，采购人和供应商受递交响应文件截止时间制约的所有权利和义务均应延长至新的截止期。</w:t>
      </w:r>
    </w:p>
    <w:p w14:paraId="7CE118A0">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迟交的响应文件</w:t>
      </w:r>
    </w:p>
    <w:p w14:paraId="627AB818">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13.1 </w:t>
      </w:r>
      <w:r>
        <w:rPr>
          <w:rFonts w:hint="eastAsia" w:ascii="宋体" w:hAnsi="宋体"/>
          <w:color w:val="000000" w:themeColor="text1"/>
          <w:sz w:val="24"/>
          <w14:textFill>
            <w14:solidFill>
              <w14:schemeClr w14:val="tx1"/>
            </w14:solidFill>
          </w14:textFill>
        </w:rPr>
        <w:t>采购人将拒绝并原封退回在规定的递交响应文件截止时间后收到的任何响应文件。</w:t>
      </w:r>
    </w:p>
    <w:p w14:paraId="18F5683B">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响应文件的修改与撤回</w:t>
      </w:r>
    </w:p>
    <w:p w14:paraId="19AC6E69">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 </w:t>
      </w:r>
      <w:r>
        <w:rPr>
          <w:rFonts w:hint="eastAsia" w:ascii="宋体" w:hAnsi="宋体"/>
          <w:color w:val="000000" w:themeColor="text1"/>
          <w:sz w:val="24"/>
          <w14:textFill>
            <w14:solidFill>
              <w14:schemeClr w14:val="tx1"/>
            </w14:solidFill>
          </w14:textFill>
        </w:rPr>
        <w:t>供应商在递交响应文件后，可以修改或撤回其响应文件，但采购人必须在规定的递交响应文件截止时间之前，收到供应商发出的修改或撤回的书面通知。</w:t>
      </w:r>
    </w:p>
    <w:p w14:paraId="071476DC">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供应商的修改或撤回通知应按本须知第</w:t>
      </w: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条规定编制、密封、标记和发送。</w:t>
      </w:r>
    </w:p>
    <w:p w14:paraId="372078B1">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14.3 </w:t>
      </w:r>
      <w:r>
        <w:rPr>
          <w:rFonts w:hint="eastAsia" w:ascii="宋体" w:hAnsi="宋体"/>
          <w:color w:val="000000" w:themeColor="text1"/>
          <w:sz w:val="24"/>
          <w14:textFill>
            <w14:solidFill>
              <w14:schemeClr w14:val="tx1"/>
            </w14:solidFill>
          </w14:textFill>
        </w:rPr>
        <w:t>在递交响应文件截止时间之后，供应商不得对其响应文件做任何修改。</w:t>
      </w:r>
    </w:p>
    <w:p w14:paraId="73C2DC90">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 </w:t>
      </w:r>
      <w:r>
        <w:rPr>
          <w:rFonts w:hint="eastAsia" w:ascii="宋体" w:hAnsi="宋体"/>
          <w:color w:val="000000" w:themeColor="text1"/>
          <w:sz w:val="24"/>
          <w14:textFill>
            <w14:solidFill>
              <w14:schemeClr w14:val="tx1"/>
            </w14:solidFill>
          </w14:textFill>
        </w:rPr>
        <w:t>从递交响应文件截止时间至供应商在响应函格式中确定的响应有效期之间的这段时间内，供应商不得撤回其响应文件，否则将取消供应商参与本项目资格。</w:t>
      </w:r>
    </w:p>
    <w:p w14:paraId="15947E58">
      <w:pPr>
        <w:spacing w:line="360" w:lineRule="auto"/>
        <w:ind w:firstLine="562"/>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五、评审</w:t>
      </w:r>
    </w:p>
    <w:p w14:paraId="7CBFBD86">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评审委员会</w:t>
      </w:r>
    </w:p>
    <w:p w14:paraId="62D6A96D">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15.1</w:t>
      </w:r>
      <w:r>
        <w:rPr>
          <w:rFonts w:hint="eastAsia" w:ascii="宋体" w:hAnsi="宋体"/>
          <w:color w:val="000000" w:themeColor="text1"/>
          <w:sz w:val="24"/>
          <w14:textFill>
            <w14:solidFill>
              <w14:schemeClr w14:val="tx1"/>
            </w14:solidFill>
          </w14:textFill>
        </w:rPr>
        <w:t>采购人根据要求组建评审委员会。评审委员会负责整个项目的评审工作。</w:t>
      </w:r>
    </w:p>
    <w:p w14:paraId="602E9C3A">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响应文件的澄清</w:t>
      </w:r>
    </w:p>
    <w:p w14:paraId="772C50E8">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7A28CD70">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w:t>
      </w:r>
      <w:r>
        <w:rPr>
          <w:rFonts w:hint="eastAsia" w:ascii="宋体" w:hAnsi="宋体"/>
          <w:color w:val="000000" w:themeColor="text1"/>
          <w:sz w:val="24"/>
          <w14:textFill>
            <w14:solidFill>
              <w14:schemeClr w14:val="tx1"/>
            </w14:solidFill>
          </w14:textFill>
        </w:rPr>
        <w:t>接到评审委员会澄清要求的供应商应派人按评审委员会通知的时间和地点做出书面澄清，书面澄清的内容须由供应商法定代表人或授权代表签署，并作为响应文件的补充部分。</w:t>
      </w:r>
    </w:p>
    <w:p w14:paraId="0A5E36F4">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16.4 </w:t>
      </w:r>
      <w:r>
        <w:rPr>
          <w:rFonts w:hint="eastAsia" w:ascii="宋体" w:hAnsi="宋体"/>
          <w:color w:val="000000" w:themeColor="text1"/>
          <w:sz w:val="24"/>
          <w14:textFill>
            <w14:solidFill>
              <w14:schemeClr w14:val="tx1"/>
            </w14:solidFill>
          </w14:textFill>
        </w:rPr>
        <w:t>接到评审委员会澄清要求的供应商如未按规定做出澄清，其风险由供应商自行承担。</w:t>
      </w:r>
    </w:p>
    <w:p w14:paraId="5B6EEC75">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响应文件的初审</w:t>
      </w:r>
    </w:p>
    <w:p w14:paraId="497218B9">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17.1 </w:t>
      </w:r>
      <w:r>
        <w:rPr>
          <w:rFonts w:hint="eastAsia" w:ascii="宋体" w:hAnsi="宋体"/>
          <w:color w:val="000000" w:themeColor="text1"/>
          <w:sz w:val="24"/>
          <w14:textFill>
            <w14:solidFill>
              <w14:schemeClr w14:val="tx1"/>
            </w14:solidFill>
          </w14:textFill>
        </w:rPr>
        <w:t>评审委员会将初步审查响应文件是否完整、总体编排是否有序、文件签署是否合格、有无计算上的错误等。只有通过初步评审的供应商才能进入资格预审的详细评审。</w:t>
      </w:r>
    </w:p>
    <w:p w14:paraId="392B5157">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17.2 </w:t>
      </w:r>
      <w:r>
        <w:rPr>
          <w:rFonts w:hint="eastAsia" w:ascii="宋体" w:hAnsi="宋体"/>
          <w:color w:val="000000" w:themeColor="text1"/>
          <w:sz w:val="24"/>
          <w14:textFill>
            <w14:solidFill>
              <w14:schemeClr w14:val="tx1"/>
            </w14:solidFill>
          </w14:textFill>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4DDC522B">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17.3 </w:t>
      </w:r>
      <w:r>
        <w:rPr>
          <w:rFonts w:hint="eastAsia" w:ascii="宋体" w:hAnsi="宋体"/>
          <w:color w:val="000000" w:themeColor="text1"/>
          <w:sz w:val="24"/>
          <w14:textFill>
            <w14:solidFill>
              <w14:schemeClr w14:val="tx1"/>
            </w14:solidFill>
          </w14:textFill>
        </w:rPr>
        <w:t>对于响应文件中不构成实质性偏差的不正规、不一致或不规则，评审委员会可以接受，但这种接受不能损害或影响任何供应商的相对排序。</w:t>
      </w:r>
    </w:p>
    <w:p w14:paraId="1849141D">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17.4 </w:t>
      </w:r>
      <w:r>
        <w:rPr>
          <w:rFonts w:hint="eastAsia" w:ascii="宋体" w:hAnsi="宋体"/>
          <w:color w:val="000000" w:themeColor="text1"/>
          <w:sz w:val="24"/>
          <w14:textFill>
            <w14:solidFill>
              <w14:schemeClr w14:val="tx1"/>
            </w14:solidFill>
          </w14:textFill>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469563DE">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17.5 </w:t>
      </w:r>
      <w:r>
        <w:rPr>
          <w:rFonts w:hint="eastAsia" w:ascii="宋体" w:hAnsi="宋体"/>
          <w:color w:val="000000" w:themeColor="text1"/>
          <w:sz w:val="24"/>
          <w14:textFill>
            <w14:solidFill>
              <w14:schemeClr w14:val="tx1"/>
            </w14:solidFill>
          </w14:textFill>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6C25127D">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17.6</w:t>
      </w:r>
      <w:r>
        <w:rPr>
          <w:rFonts w:hint="eastAsia" w:ascii="宋体" w:hAnsi="宋体"/>
          <w:color w:val="000000" w:themeColor="text1"/>
          <w:sz w:val="24"/>
          <w14:textFill>
            <w14:solidFill>
              <w14:schemeClr w14:val="tx1"/>
            </w14:solidFill>
          </w14:textFill>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65433341">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17.7 </w:t>
      </w:r>
      <w:r>
        <w:rPr>
          <w:rFonts w:hint="eastAsia" w:ascii="宋体" w:hAnsi="宋体"/>
          <w:color w:val="000000" w:themeColor="text1"/>
          <w:sz w:val="24"/>
          <w14:textFill>
            <w14:solidFill>
              <w14:schemeClr w14:val="tx1"/>
            </w14:solidFill>
          </w14:textFill>
        </w:rPr>
        <w:t>采购人保留对通过初审的供应商进行进一步谈判或议价的权利。</w:t>
      </w:r>
    </w:p>
    <w:bookmarkEnd w:id="11"/>
    <w:bookmarkEnd w:id="12"/>
    <w:bookmarkEnd w:id="13"/>
    <w:p w14:paraId="5E12298A">
      <w:pPr>
        <w:spacing w:line="360" w:lineRule="auto"/>
        <w:ind w:firstLine="562"/>
        <w:rPr>
          <w:rFonts w:hint="eastAsia" w:ascii="宋体" w:hAnsi="宋体"/>
          <w:b/>
          <w:color w:val="000000" w:themeColor="text1"/>
          <w:sz w:val="28"/>
          <w:szCs w:val="28"/>
          <w14:textFill>
            <w14:solidFill>
              <w14:schemeClr w14:val="tx1"/>
            </w14:solidFill>
          </w14:textFill>
        </w:rPr>
      </w:pPr>
      <w:bookmarkStart w:id="14" w:name="_Toc227057922"/>
      <w:bookmarkStart w:id="15" w:name="_Toc226969316"/>
      <w:bookmarkStart w:id="16" w:name="_Toc107822520"/>
      <w:r>
        <w:rPr>
          <w:rFonts w:hint="eastAsia" w:ascii="宋体" w:hAnsi="宋体"/>
          <w:b/>
          <w:color w:val="000000" w:themeColor="text1"/>
          <w:sz w:val="28"/>
          <w:szCs w:val="28"/>
          <w14:textFill>
            <w14:solidFill>
              <w14:schemeClr w14:val="tx1"/>
            </w14:solidFill>
          </w14:textFill>
        </w:rPr>
        <w:t>六、谈判和成交供应商评审</w:t>
      </w:r>
    </w:p>
    <w:p w14:paraId="79D086AB">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w:t>
      </w:r>
      <w:r>
        <w:rPr>
          <w:rFonts w:hint="eastAsia" w:ascii="宋体" w:hAnsi="宋体"/>
          <w:color w:val="000000" w:themeColor="text1"/>
          <w:sz w:val="24"/>
          <w14:textFill>
            <w14:solidFill>
              <w14:schemeClr w14:val="tx1"/>
            </w14:solidFill>
          </w14:textFill>
        </w:rPr>
        <w:t>谈判</w:t>
      </w:r>
    </w:p>
    <w:p w14:paraId="4FCB51C5">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18.1</w:t>
      </w:r>
      <w:r>
        <w:rPr>
          <w:rFonts w:hint="eastAsia" w:ascii="宋体" w:hAnsi="宋体"/>
          <w:color w:val="000000" w:themeColor="text1"/>
          <w:sz w:val="24"/>
          <w14:textFill>
            <w14:solidFill>
              <w14:schemeClr w14:val="tx1"/>
            </w14:solidFill>
          </w14:textFill>
        </w:rPr>
        <w:t>获得谈判资格的供应商应按本须知及谈判通知要求准时参加谈判，并在谈判后按要求提供递交其最终报价和相关承诺，否则将视为在报价有效期内撤回竞争性谈判响应文件，其响应文件将被拒绝。</w:t>
      </w:r>
    </w:p>
    <w:p w14:paraId="460CD1F3">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18.2</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开始时间预计为：递交竞争性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响应文件截止时间后当天（包括法定节假日，具体时间以采购人的通知为准），供应商应提前做好</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准备。</w:t>
      </w:r>
    </w:p>
    <w:p w14:paraId="74DF39E1">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18.3进行</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的各供应商应由其法定代表人或本项目的授权代表作为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代表，</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过程中可有商务、技术及售后服务等人员（总人数不超过5人）共同参加</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w:t>
      </w:r>
    </w:p>
    <w:p w14:paraId="32BC6E71">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18.4 </w:t>
      </w:r>
      <w:r>
        <w:rPr>
          <w:rFonts w:hint="eastAsia" w:ascii="宋体" w:hAnsi="宋体"/>
          <w:color w:val="000000" w:themeColor="text1"/>
          <w:sz w:val="24"/>
          <w14:textFill>
            <w14:solidFill>
              <w14:schemeClr w14:val="tx1"/>
            </w14:solidFill>
          </w14:textFill>
        </w:rPr>
        <w:t>评审委员会将与获得谈判资格的各供应商分别进行谈判，谈判内容包括但不限于报价、技术、实施及服务等。在谈判中，谈判的任何一方不得透漏与谈判有关的其它供应商的技术资料、价格和其它信息。</w:t>
      </w:r>
    </w:p>
    <w:p w14:paraId="01E5A8B7">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18.5 </w:t>
      </w:r>
      <w:r>
        <w:rPr>
          <w:rFonts w:hint="eastAsia" w:ascii="宋体" w:hAnsi="宋体"/>
          <w:color w:val="000000" w:themeColor="text1"/>
          <w:sz w:val="24"/>
          <w14:textFill>
            <w14:solidFill>
              <w14:schemeClr w14:val="tx1"/>
            </w14:solidFill>
          </w14:textFill>
        </w:rPr>
        <w:t>谈判后，参加谈判的供应商应当在规定的时间内按评审委员会的要求递交针对本项目的最终报价和相关承诺。最终报价和相关承诺须由法定代表人或本项目的授权代表签字。</w:t>
      </w:r>
    </w:p>
    <w:p w14:paraId="628628C7">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18.6 </w:t>
      </w:r>
      <w:r>
        <w:rPr>
          <w:rFonts w:hint="eastAsia" w:ascii="宋体" w:hAnsi="宋体"/>
          <w:color w:val="000000" w:themeColor="text1"/>
          <w:sz w:val="24"/>
          <w14:textFill>
            <w14:solidFill>
              <w14:schemeClr w14:val="tx1"/>
            </w14:solidFill>
          </w14:textFill>
        </w:rPr>
        <w:t>供应商应将其最终报价和相关承诺的正本一份密封装在一个信封中，信封上标明“项目名称及编号”、“供应商名称和地址”字样，并在规定的时间内递交至采购人。</w:t>
      </w:r>
    </w:p>
    <w:p w14:paraId="4FD75241">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18.7 </w:t>
      </w:r>
      <w:r>
        <w:rPr>
          <w:rFonts w:hint="eastAsia" w:ascii="宋体" w:hAnsi="宋体"/>
          <w:color w:val="000000" w:themeColor="text1"/>
          <w:sz w:val="24"/>
          <w14:textFill>
            <w14:solidFill>
              <w14:schemeClr w14:val="tx1"/>
            </w14:solidFill>
          </w14:textFill>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127B710A">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19.成交供应商的评审</w:t>
      </w:r>
    </w:p>
    <w:p w14:paraId="24AC55EA">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19.1 </w:t>
      </w:r>
      <w:r>
        <w:rPr>
          <w:rFonts w:hint="eastAsia" w:ascii="宋体" w:hAnsi="宋体"/>
          <w:color w:val="000000" w:themeColor="text1"/>
          <w:sz w:val="24"/>
          <w14:textFill>
            <w14:solidFill>
              <w14:schemeClr w14:val="tx1"/>
            </w14:solidFill>
          </w14:textFill>
        </w:rPr>
        <w:t>评审委员会将对参加谈判且实质上响应竞争性谈判文件要求的各供应商进行成交供应商的评价和比价。评审的依据为供应商递交的竞争性谈判响应文件和谈判后递交的谈判报价、最终报价及承诺。</w:t>
      </w:r>
    </w:p>
    <w:p w14:paraId="0268BE37">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19.2 </w:t>
      </w:r>
      <w:r>
        <w:rPr>
          <w:rFonts w:hint="eastAsia" w:ascii="宋体" w:hAnsi="宋体"/>
          <w:color w:val="000000" w:themeColor="text1"/>
          <w:sz w:val="24"/>
          <w14:textFill>
            <w14:solidFill>
              <w14:schemeClr w14:val="tx1"/>
            </w14:solidFill>
          </w14:textFill>
        </w:rPr>
        <w:t>谈判后，评审委员会将对参加谈判的供应商进行综合评审，采用综合评审法并考虑以下因素：</w:t>
      </w:r>
    </w:p>
    <w:p w14:paraId="0755ED0C">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注：具体评审办法详见第三章评审办法。</w:t>
      </w:r>
    </w:p>
    <w:p w14:paraId="06738729">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19.3评审委员会将根据综合评估结果，对参加</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且实质上响应竞争性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文件要求的供应商按综合得分排序向采购人推荐本项目的成交供应商候选人。</w:t>
      </w:r>
    </w:p>
    <w:p w14:paraId="1914D0EE">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19.4评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委员会发现</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的报价明显低于其他报价，有可能影响产品质量或者不能诚信履约的，且无法在评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现场合理的时间内提供书面说明并在必要时提交相关证明材料，以证明其报价合理性的，评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委员会认定该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以低于成本报价竞标，其</w:t>
      </w:r>
      <w:r>
        <w:rPr>
          <w:rFonts w:hint="eastAsia" w:ascii="宋体" w:hAnsi="宋体"/>
          <w:color w:val="000000" w:themeColor="text1"/>
          <w:sz w:val="24"/>
          <w14:textFill>
            <w14:solidFill>
              <w14:schemeClr w14:val="tx1"/>
            </w14:solidFill>
          </w14:textFill>
        </w:rPr>
        <w:t>竞争性谈判响应文件</w:t>
      </w:r>
      <w:r>
        <w:rPr>
          <w:rFonts w:ascii="宋体" w:hAnsi="宋体"/>
          <w:color w:val="000000" w:themeColor="text1"/>
          <w:sz w:val="24"/>
          <w14:textFill>
            <w14:solidFill>
              <w14:schemeClr w14:val="tx1"/>
            </w14:solidFill>
          </w14:textFill>
        </w:rPr>
        <w:t>应作为无效处理。</w:t>
      </w:r>
    </w:p>
    <w:p w14:paraId="4EA00903">
      <w:pPr>
        <w:spacing w:line="360" w:lineRule="auto"/>
        <w:ind w:firstLine="562"/>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七、保密</w:t>
      </w:r>
    </w:p>
    <w:p w14:paraId="6C86A722">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与采购人的接触</w:t>
      </w:r>
    </w:p>
    <w:p w14:paraId="04C6A48A">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20.1</w:t>
      </w:r>
      <w:r>
        <w:rPr>
          <w:rFonts w:hint="eastAsia" w:ascii="宋体" w:hAnsi="宋体"/>
          <w:color w:val="000000" w:themeColor="text1"/>
          <w:sz w:val="24"/>
          <w14:textFill>
            <w14:solidFill>
              <w14:schemeClr w14:val="tx1"/>
            </w14:solidFill>
          </w14:textFill>
        </w:rPr>
        <w:t>除本须知第</w:t>
      </w:r>
      <w:r>
        <w:rPr>
          <w:rFonts w:ascii="宋体" w:hAnsi="宋体"/>
          <w:color w:val="000000" w:themeColor="text1"/>
          <w:sz w:val="24"/>
          <w14:textFill>
            <w14:solidFill>
              <w14:schemeClr w14:val="tx1"/>
            </w14:solidFill>
          </w14:textFill>
        </w:rPr>
        <w:t>17条和第19条规定外，从递交竞争性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响应文件之日起至授予合同期间，供应商不得就与其竞争性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响应文件有关的事项与采购人接触。</w:t>
      </w:r>
    </w:p>
    <w:p w14:paraId="53A2E5DF">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20.2 </w:t>
      </w:r>
      <w:r>
        <w:rPr>
          <w:rFonts w:hint="eastAsia" w:ascii="宋体" w:hAnsi="宋体"/>
          <w:color w:val="000000" w:themeColor="text1"/>
          <w:sz w:val="24"/>
          <w14:textFill>
            <w14:solidFill>
              <w14:schemeClr w14:val="tx1"/>
            </w14:solidFill>
          </w14:textFill>
        </w:rPr>
        <w:t>供应商试图对评审委员会的评审、比较或授予合同的决定进行影响，都可能导致其响应文件被拒绝。</w:t>
      </w:r>
    </w:p>
    <w:p w14:paraId="2B598E81">
      <w:pPr>
        <w:spacing w:line="360" w:lineRule="auto"/>
        <w:ind w:firstLine="562"/>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八、合同的签订</w:t>
      </w:r>
    </w:p>
    <w:p w14:paraId="25BCB352">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合同的签订（详见《供应商须知前附表》）</w:t>
      </w:r>
    </w:p>
    <w:p w14:paraId="53381D11">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21.1评审委员会将根据供应商综合评估结果，按综合得分排序向采购人推荐本项目的</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供应商候选人。</w:t>
      </w:r>
    </w:p>
    <w:p w14:paraId="2ABFEB92">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21.2 </w:t>
      </w:r>
      <w:r>
        <w:rPr>
          <w:rFonts w:hint="eastAsia" w:ascii="宋体" w:hAnsi="宋体"/>
          <w:color w:val="000000" w:themeColor="text1"/>
          <w:sz w:val="24"/>
          <w14:textFill>
            <w14:solidFill>
              <w14:schemeClr w14:val="tx1"/>
            </w14:solidFill>
          </w14:textFill>
        </w:rPr>
        <w:t>在签订合同前，如评审委员会发现供应商存在提供虚假不实资料的，将拒绝其响应文件，并取消供应商推荐资格，同时按综合评估排序对下一个候选人能否令人满意地履行合同作类似的审查。</w:t>
      </w:r>
    </w:p>
    <w:p w14:paraId="1FBD0414">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接受和拒绝任何或所有响应文件的权力</w:t>
      </w:r>
    </w:p>
    <w:p w14:paraId="3152240C">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r>
        <w:rPr>
          <w:rFonts w:hint="eastAsia" w:ascii="宋体" w:hAnsi="宋体"/>
          <w:color w:val="000000" w:themeColor="text1"/>
          <w:sz w:val="24"/>
          <w14:textFill>
            <w14:solidFill>
              <w14:schemeClr w14:val="tx1"/>
            </w14:solidFill>
          </w14:textFill>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373D9D5A">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授予合同通知书</w:t>
      </w:r>
    </w:p>
    <w:p w14:paraId="51CA59FD">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采购人确定供应商后，将向成交供应商发出授予合同通知书。</w:t>
      </w:r>
    </w:p>
    <w:p w14:paraId="5AEB2603">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授予合同通知书是合同的一个组成部分。</w:t>
      </w:r>
    </w:p>
    <w:p w14:paraId="0A1E1889">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签订合同</w:t>
      </w:r>
    </w:p>
    <w:p w14:paraId="3F9FF246">
      <w:pPr>
        <w:spacing w:line="360" w:lineRule="auto"/>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w:t>
      </w:r>
      <w:r>
        <w:rPr>
          <w:rFonts w:hint="eastAsia" w:ascii="宋体" w:hAnsi="宋体"/>
          <w:color w:val="000000" w:themeColor="text1"/>
          <w:sz w:val="24"/>
          <w14:textFill>
            <w14:solidFill>
              <w14:schemeClr w14:val="tx1"/>
            </w14:solidFill>
          </w14:textFill>
        </w:rPr>
        <w:t>成交供应商应按授予合同通知书规定的时间、地点与采购人签订合同（格式见第四章《合同格式》），否则按响应有效期内撤回响应文件处理。</w:t>
      </w:r>
    </w:p>
    <w:p w14:paraId="761E2B3D">
      <w:pPr>
        <w:spacing w:line="360" w:lineRule="auto"/>
        <w:ind w:firstLine="480"/>
        <w:rPr>
          <w:rFonts w:eastAsia="黑体"/>
          <w:bCs/>
          <w:color w:val="000000" w:themeColor="text1"/>
          <w:kern w:val="44"/>
          <w:sz w:val="30"/>
          <w:szCs w:val="4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如果成交供应商没有按照上述规定执行，采购人将有充分理由取消该中选决定。在此情况下，采购人可与下一个候选人签订合同，或重新采购。</w:t>
      </w:r>
      <w:r>
        <w:rPr>
          <w:color w:val="000000" w:themeColor="text1"/>
          <w14:textFill>
            <w14:solidFill>
              <w14:schemeClr w14:val="tx1"/>
            </w14:solidFill>
          </w14:textFill>
        </w:rPr>
        <w:br w:type="page"/>
      </w:r>
    </w:p>
    <w:bookmarkEnd w:id="14"/>
    <w:bookmarkEnd w:id="15"/>
    <w:bookmarkEnd w:id="16"/>
    <w:p w14:paraId="7E6DABC2">
      <w:pPr>
        <w:pStyle w:val="3"/>
        <w:spacing w:before="0" w:after="0" w:line="360" w:lineRule="auto"/>
        <w:ind w:firstLine="723"/>
        <w:rPr>
          <w:b/>
          <w:color w:val="000000" w:themeColor="text1"/>
          <w:sz w:val="36"/>
          <w:szCs w:val="36"/>
          <w14:textFill>
            <w14:solidFill>
              <w14:schemeClr w14:val="tx1"/>
            </w14:solidFill>
          </w14:textFill>
        </w:rPr>
      </w:pPr>
      <w:bookmarkStart w:id="17" w:name="_Toc21730"/>
      <w:bookmarkStart w:id="18" w:name="_Toc226969352"/>
      <w:bookmarkStart w:id="19" w:name="_Toc227057958"/>
      <w:bookmarkStart w:id="20" w:name="_Toc107822556"/>
      <w:r>
        <w:rPr>
          <w:rFonts w:hint="eastAsia"/>
          <w:b/>
          <w:color w:val="000000" w:themeColor="text1"/>
          <w:sz w:val="36"/>
          <w:szCs w:val="36"/>
          <w14:textFill>
            <w14:solidFill>
              <w14:schemeClr w14:val="tx1"/>
            </w14:solidFill>
          </w14:textFill>
        </w:rPr>
        <w:t>第三章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评审办法</w:t>
      </w:r>
      <w:bookmarkEnd w:id="17"/>
    </w:p>
    <w:p w14:paraId="50632132">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须对第三章《</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办法》中的评分要求逐项说明在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中的装订页码，并将该页装订在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的首页。</w:t>
      </w:r>
    </w:p>
    <w:p w14:paraId="05FD4E6A">
      <w:pPr>
        <w:spacing w:before="312" w:after="312" w:line="360" w:lineRule="auto"/>
        <w:ind w:firstLine="480"/>
        <w:jc w:val="left"/>
        <w:rPr>
          <w:rFonts w:hint="eastAsia" w:ascii="宋体" w:hAnsi="宋体"/>
          <w:color w:val="000000" w:themeColor="text1"/>
          <w:sz w:val="24"/>
          <w14:textFill>
            <w14:solidFill>
              <w14:schemeClr w14:val="tx1"/>
            </w14:solidFill>
          </w14:textFill>
        </w:rPr>
      </w:pPr>
    </w:p>
    <w:p w14:paraId="61B5E46A">
      <w:pPr>
        <w:spacing w:before="312" w:after="312"/>
        <w:ind w:firstLine="480"/>
        <w:rPr>
          <w:rFonts w:hint="eastAsia" w:ascii="宋体" w:hAnsi="宋体"/>
          <w:color w:val="000000" w:themeColor="text1"/>
          <w:sz w:val="24"/>
          <w14:textFill>
            <w14:solidFill>
              <w14:schemeClr w14:val="tx1"/>
            </w14:solidFill>
          </w14:textFill>
        </w:rPr>
      </w:pPr>
    </w:p>
    <w:p w14:paraId="1A08A149">
      <w:pPr>
        <w:spacing w:line="360" w:lineRule="auto"/>
        <w:jc w:val="center"/>
        <w:rPr>
          <w:rFonts w:hint="eastAsia" w:ascii="黑体" w:hAnsi="黑体" w:eastAsia="黑体"/>
          <w:color w:val="000000" w:themeColor="text1"/>
          <w:sz w:val="37"/>
          <w:szCs w:val="37"/>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黑体" w:eastAsia="黑体"/>
          <w:color w:val="000000" w:themeColor="text1"/>
          <w:sz w:val="37"/>
          <w:szCs w:val="37"/>
          <w14:textFill>
            <w14:solidFill>
              <w14:schemeClr w14:val="tx1"/>
            </w14:solidFill>
          </w14:textFill>
        </w:rPr>
        <w:t>详细</w:t>
      </w:r>
      <w:r>
        <w:rPr>
          <w:rFonts w:ascii="黑体" w:hAnsi="黑体" w:eastAsia="黑体"/>
          <w:color w:val="000000" w:themeColor="text1"/>
          <w:sz w:val="37"/>
          <w:szCs w:val="37"/>
          <w14:textFill>
            <w14:solidFill>
              <w14:schemeClr w14:val="tx1"/>
            </w14:solidFill>
          </w14:textFill>
        </w:rPr>
        <w:t>评分表</w:t>
      </w:r>
    </w:p>
    <w:p w14:paraId="58201AC6">
      <w:pPr>
        <w:spacing w:line="360" w:lineRule="auto"/>
        <w:ind w:firstLine="480"/>
        <w:jc w:val="center"/>
        <w:rPr>
          <w:rFonts w:hint="eastAsia"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（满分100分）</w:t>
      </w:r>
    </w:p>
    <w:tbl>
      <w:tblPr>
        <w:tblStyle w:val="53"/>
        <w:tblW w:w="5000"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075"/>
        <w:gridCol w:w="789"/>
        <w:gridCol w:w="5485"/>
      </w:tblGrid>
      <w:tr w14:paraId="611004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319" w:type="pct"/>
            <w:gridSpan w:val="2"/>
            <w:vAlign w:val="center"/>
          </w:tcPr>
          <w:p w14:paraId="62B0130A">
            <w:pPr>
              <w:snapToGrid w:val="0"/>
              <w:spacing w:before="62" w:beforeLines="20" w:after="62" w:afterLines="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评分项目</w:t>
            </w:r>
          </w:p>
        </w:tc>
        <w:tc>
          <w:tcPr>
            <w:tcW w:w="463" w:type="pct"/>
            <w:vAlign w:val="center"/>
          </w:tcPr>
          <w:p w14:paraId="17D7632B">
            <w:pPr>
              <w:snapToGrid w:val="0"/>
              <w:spacing w:before="62" w:beforeLines="20" w:after="62" w:afterLines="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分值</w:t>
            </w:r>
          </w:p>
        </w:tc>
        <w:tc>
          <w:tcPr>
            <w:tcW w:w="3218" w:type="pct"/>
            <w:vAlign w:val="center"/>
          </w:tcPr>
          <w:p w14:paraId="3D0417C0">
            <w:pPr>
              <w:snapToGrid w:val="0"/>
              <w:spacing w:before="62" w:beforeLines="20" w:after="62" w:afterLines="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评审标准</w:t>
            </w:r>
          </w:p>
        </w:tc>
      </w:tr>
      <w:tr w14:paraId="68B322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319" w:type="pct"/>
            <w:gridSpan w:val="2"/>
            <w:vAlign w:val="center"/>
          </w:tcPr>
          <w:p w14:paraId="3E8013D8">
            <w:pPr>
              <w:widowControl/>
              <w:ind w:firstLine="422"/>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价格部分</w:t>
            </w:r>
          </w:p>
          <w:p w14:paraId="52862454">
            <w:pPr>
              <w:widowControl/>
              <w:ind w:firstLine="422"/>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（60</w:t>
            </w:r>
            <w:r>
              <w:rPr>
                <w:rFonts w:hint="eastAsia"/>
                <w:b/>
                <w:bCs/>
                <w:color w:val="000000" w:themeColor="text1"/>
                <w:kern w:val="0"/>
                <w:szCs w:val="21"/>
                <w14:textFill>
                  <w14:solidFill>
                    <w14:schemeClr w14:val="tx1"/>
                  </w14:solidFill>
                </w14:textFill>
              </w:rPr>
              <w:t>分</w:t>
            </w:r>
            <w:r>
              <w:rPr>
                <w:b/>
                <w:bCs/>
                <w:color w:val="000000" w:themeColor="text1"/>
                <w:kern w:val="0"/>
                <w:szCs w:val="21"/>
                <w14:textFill>
                  <w14:solidFill>
                    <w14:schemeClr w14:val="tx1"/>
                  </w14:solidFill>
                </w14:textFill>
              </w:rPr>
              <w:t>）</w:t>
            </w:r>
          </w:p>
        </w:tc>
        <w:tc>
          <w:tcPr>
            <w:tcW w:w="463" w:type="pct"/>
            <w:vAlign w:val="center"/>
          </w:tcPr>
          <w:p w14:paraId="7F2C82B4">
            <w:pPr>
              <w:widowControl/>
              <w:jc w:val="center"/>
              <w:rPr>
                <w:color w:val="000000" w:themeColor="text1"/>
                <w:kern w:val="0"/>
                <w:szCs w:val="21"/>
                <w14:textFill>
                  <w14:solidFill>
                    <w14:schemeClr w14:val="tx1"/>
                  </w14:solidFill>
                </w14:textFill>
              </w:rPr>
            </w:pPr>
            <w:r>
              <w:rPr>
                <w:b w:val="0"/>
                <w:bCs w:val="0"/>
                <w:color w:val="000000" w:themeColor="text1"/>
                <w:kern w:val="0"/>
                <w:szCs w:val="21"/>
                <w14:textFill>
                  <w14:solidFill>
                    <w14:schemeClr w14:val="tx1"/>
                  </w14:solidFill>
                </w14:textFill>
              </w:rPr>
              <w:t>60</w:t>
            </w:r>
          </w:p>
        </w:tc>
        <w:tc>
          <w:tcPr>
            <w:tcW w:w="3218" w:type="pct"/>
            <w:vAlign w:val="center"/>
          </w:tcPr>
          <w:p w14:paraId="699F2B93">
            <w:pPr>
              <w:widowControl/>
              <w:tabs>
                <w:tab w:val="left" w:pos="0"/>
              </w:tabs>
              <w:overflowPunct w:val="0"/>
              <w:topLinePunct/>
              <w:jc w:val="lef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一、评审价的计算：</w:t>
            </w:r>
          </w:p>
          <w:p w14:paraId="1A578DBB">
            <w:pPr>
              <w:widowControl/>
              <w:tabs>
                <w:tab w:val="left" w:pos="0"/>
              </w:tabs>
              <w:overflowPunct w:val="0"/>
              <w:topLinePunct/>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1、供应商的报价如有缺漏项，即视为不实质性响应；</w:t>
            </w:r>
          </w:p>
          <w:p w14:paraId="2BE504EB">
            <w:pPr>
              <w:widowControl/>
              <w:tabs>
                <w:tab w:val="left" w:pos="0"/>
              </w:tabs>
              <w:overflowPunct w:val="0"/>
              <w:topLinePunct/>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2、不接受选择性报价或者具有附加条件的报价；</w:t>
            </w:r>
          </w:p>
          <w:p w14:paraId="0BFA77E0">
            <w:pPr>
              <w:widowControl/>
              <w:tabs>
                <w:tab w:val="left" w:pos="0"/>
              </w:tabs>
              <w:overflowPunct w:val="0"/>
              <w:topLinePunct/>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3、响应文件中如果申报了非采购文件所要求的服务，评审时不予以折价降低评审价</w:t>
            </w:r>
            <w:r>
              <w:rPr>
                <w:rFonts w:hint="eastAsia" w:ascii="宋体" w:hAnsi="宋体" w:cs="宋体"/>
                <w:color w:val="000000" w:themeColor="text1"/>
                <w:kern w:val="0"/>
                <w:szCs w:val="21"/>
                <w:lang w:eastAsia="zh-CN"/>
                <w14:textFill>
                  <w14:solidFill>
                    <w14:schemeClr w14:val="tx1"/>
                  </w14:solidFill>
                </w14:textFill>
              </w:rPr>
              <w:t>。</w:t>
            </w:r>
          </w:p>
          <w:p w14:paraId="763461BB">
            <w:pPr>
              <w:widowControl/>
              <w:tabs>
                <w:tab w:val="left" w:pos="0"/>
              </w:tabs>
              <w:overflowPunct w:val="0"/>
              <w:topLinePunct/>
              <w:jc w:val="lef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二、价格分的计算（保留小数点后</w:t>
            </w:r>
            <w:r>
              <w:rPr>
                <w:rFonts w:ascii="宋体" w:hAnsi="宋体" w:cs="宋体"/>
                <w:b/>
                <w:color w:val="000000" w:themeColor="text1"/>
                <w:kern w:val="0"/>
                <w:szCs w:val="21"/>
                <w14:textFill>
                  <w14:solidFill>
                    <w14:schemeClr w14:val="tx1"/>
                  </w14:solidFill>
                </w14:textFill>
              </w:rPr>
              <w:t>2位）</w:t>
            </w:r>
          </w:p>
          <w:p w14:paraId="52964190">
            <w:pPr>
              <w:widowControl/>
              <w:tabs>
                <w:tab w:val="left" w:pos="0"/>
              </w:tabs>
              <w:overflowPunct w:val="0"/>
              <w:topLinePunct/>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1、评审基准价是指满足采购文件要求且谈判后价格最低的</w:t>
            </w:r>
            <w:r>
              <w:rPr>
                <w:rFonts w:hint="eastAsia" w:ascii="宋体" w:hAnsi="宋体" w:cs="宋体"/>
                <w:color w:val="000000" w:themeColor="text1"/>
                <w:kern w:val="0"/>
                <w:szCs w:val="21"/>
                <w:lang w:val="en-US" w:eastAsia="zh-CN"/>
                <w14:textFill>
                  <w14:solidFill>
                    <w14:schemeClr w14:val="tx1"/>
                  </w14:solidFill>
                </w14:textFill>
              </w:rPr>
              <w:t>含税</w:t>
            </w:r>
            <w:r>
              <w:rPr>
                <w:rFonts w:ascii="宋体" w:hAnsi="宋体" w:cs="宋体"/>
                <w:color w:val="000000" w:themeColor="text1"/>
                <w:kern w:val="0"/>
                <w:szCs w:val="21"/>
                <w14:textFill>
                  <w14:solidFill>
                    <w14:schemeClr w14:val="tx1"/>
                  </w14:solidFill>
                </w14:textFill>
              </w:rPr>
              <w:t>报价。</w:t>
            </w:r>
          </w:p>
          <w:p w14:paraId="57BC2A64">
            <w:pPr>
              <w:jc w:val="left"/>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价格分</w:t>
            </w:r>
            <w:r>
              <w:rPr>
                <w:rFonts w:hint="eastAsia"/>
                <w:color w:val="000000" w:themeColor="text1"/>
                <w:kern w:val="0"/>
                <w:szCs w:val="21"/>
                <w14:textFill>
                  <w14:solidFill>
                    <w14:schemeClr w14:val="tx1"/>
                  </w14:solidFill>
                </w14:textFill>
              </w:rPr>
              <w:t>＝（评审基准价</w:t>
            </w:r>
            <w:r>
              <w:rPr>
                <w:color w:val="000000" w:themeColor="text1"/>
                <w:kern w:val="0"/>
                <w:szCs w:val="21"/>
                <w14:textFill>
                  <w14:solidFill>
                    <w14:schemeClr w14:val="tx1"/>
                  </w14:solidFill>
                </w14:textFill>
              </w:rPr>
              <w:t>/供应商的评审价）×60</w:t>
            </w:r>
            <w:r>
              <w:rPr>
                <w:rFonts w:hint="eastAsia"/>
                <w:color w:val="000000" w:themeColor="text1"/>
                <w:kern w:val="0"/>
                <w:szCs w:val="21"/>
                <w14:textFill>
                  <w14:solidFill>
                    <w14:schemeClr w14:val="tx1"/>
                  </w14:solidFill>
                </w14:textFill>
              </w:rPr>
              <w:t>。</w:t>
            </w:r>
          </w:p>
        </w:tc>
      </w:tr>
      <w:tr w14:paraId="028BB6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restart"/>
            <w:vAlign w:val="center"/>
          </w:tcPr>
          <w:p w14:paraId="3B4B28EE">
            <w:pPr>
              <w:adjustRightInd w:val="0"/>
              <w:snapToGrid w:val="0"/>
              <w:ind w:firstLine="422"/>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商务</w:t>
            </w:r>
          </w:p>
          <w:p w14:paraId="4D6E021C">
            <w:pPr>
              <w:adjustRightInd w:val="0"/>
              <w:snapToGrid w:val="0"/>
              <w:ind w:firstLine="422"/>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部分</w:t>
            </w:r>
          </w:p>
          <w:p w14:paraId="1053C93C">
            <w:pPr>
              <w:adjustRightInd w:val="0"/>
              <w:snapToGrid w:val="0"/>
              <w:ind w:firstLine="422"/>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w:t>
            </w:r>
            <w:r>
              <w:rPr>
                <w:rFonts w:hint="eastAsia"/>
                <w:b/>
                <w:bCs/>
                <w:color w:val="000000" w:themeColor="text1"/>
                <w:kern w:val="0"/>
                <w:szCs w:val="21"/>
                <w:lang w:val="en-US" w:eastAsia="zh-CN"/>
                <w14:textFill>
                  <w14:solidFill>
                    <w14:schemeClr w14:val="tx1"/>
                  </w14:solidFill>
                </w14:textFill>
              </w:rPr>
              <w:t>20</w:t>
            </w:r>
            <w:r>
              <w:rPr>
                <w:rFonts w:hint="eastAsia"/>
                <w:b/>
                <w:bCs/>
                <w:color w:val="000000" w:themeColor="text1"/>
                <w:kern w:val="0"/>
                <w:szCs w:val="21"/>
                <w14:textFill>
                  <w14:solidFill>
                    <w14:schemeClr w14:val="tx1"/>
                  </w14:solidFill>
                </w14:textFill>
              </w:rPr>
              <w:t>分</w:t>
            </w:r>
            <w:r>
              <w:rPr>
                <w:b/>
                <w:bCs/>
                <w:color w:val="000000" w:themeColor="text1"/>
                <w:kern w:val="0"/>
                <w:szCs w:val="21"/>
                <w14:textFill>
                  <w14:solidFill>
                    <w14:schemeClr w14:val="tx1"/>
                  </w14:solidFill>
                </w14:textFill>
              </w:rPr>
              <w:t>）</w:t>
            </w:r>
          </w:p>
        </w:tc>
        <w:tc>
          <w:tcPr>
            <w:tcW w:w="631" w:type="pct"/>
            <w:vAlign w:val="center"/>
          </w:tcPr>
          <w:p w14:paraId="795BCD33">
            <w:pPr>
              <w:adjustRightInd w:val="0"/>
              <w:snapToGrid w:val="0"/>
              <w:jc w:val="left"/>
              <w:rPr>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综合实力</w:t>
            </w:r>
          </w:p>
        </w:tc>
        <w:tc>
          <w:tcPr>
            <w:tcW w:w="463" w:type="pct"/>
            <w:vAlign w:val="center"/>
          </w:tcPr>
          <w:p w14:paraId="51DC0587">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3218" w:type="pct"/>
          </w:tcPr>
          <w:p w14:paraId="00CCEA62">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根</w:t>
            </w:r>
            <w:r>
              <w:rPr>
                <w:color w:val="000000" w:themeColor="text1"/>
                <w:kern w:val="0"/>
                <w:szCs w:val="21"/>
                <w14:textFill>
                  <w14:solidFill>
                    <w14:schemeClr w14:val="tx1"/>
                  </w14:solidFill>
                </w14:textFill>
              </w:rPr>
              <w:t>据</w:t>
            </w:r>
            <w:r>
              <w:rPr>
                <w:rFonts w:hint="eastAsia"/>
                <w:color w:val="000000" w:themeColor="text1"/>
                <w:kern w:val="0"/>
                <w:szCs w:val="21"/>
                <w14:textFill>
                  <w14:solidFill>
                    <w14:schemeClr w14:val="tx1"/>
                  </w14:solidFill>
                </w14:textFill>
              </w:rPr>
              <w:t>供应商和</w:t>
            </w:r>
            <w:r>
              <w:rPr>
                <w:color w:val="000000" w:themeColor="text1"/>
                <w:kern w:val="0"/>
                <w:szCs w:val="21"/>
                <w14:textFill>
                  <w14:solidFill>
                    <w14:schemeClr w14:val="tx1"/>
                  </w14:solidFill>
                </w14:textFill>
              </w:rPr>
              <w:t>制造商的企业规模、业务范围、组织机构、研发机构、软硬件设施、发展情况、财务状况（总资产、利润等）、经营信誉（诉讼、荣誉奖项等）、管理制度等情况打分。</w:t>
            </w:r>
          </w:p>
          <w:p w14:paraId="50485903">
            <w:pPr>
              <w:pStyle w:val="393"/>
              <w:ind w:left="0" w:leftChars="0" w:firstLine="0" w:firstLineChars="0"/>
              <w:rPr>
                <w:color w:val="000000" w:themeColor="text1"/>
                <w:kern w:val="0"/>
                <w:szCs w:val="21"/>
                <w14:textFill>
                  <w14:solidFill>
                    <w14:schemeClr w14:val="tx1"/>
                  </w14:solidFill>
                </w14:textFill>
              </w:rPr>
            </w:pPr>
            <w:r>
              <w:rPr>
                <w:rStyle w:val="394"/>
                <w:rFonts w:hint="default" w:cs="Times New Roman"/>
                <w:color w:val="000000" w:themeColor="text1"/>
                <w:sz w:val="21"/>
                <w:szCs w:val="21"/>
                <w14:textFill>
                  <w14:solidFill>
                    <w14:schemeClr w14:val="tx1"/>
                  </w14:solidFill>
                </w14:textFill>
              </w:rPr>
              <w:t>优良(1，2] 分；一般[0，1]分。</w:t>
            </w:r>
          </w:p>
        </w:tc>
      </w:tr>
      <w:tr w14:paraId="544388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44EF20A5">
            <w:pPr>
              <w:adjustRightInd w:val="0"/>
              <w:snapToGrid w:val="0"/>
              <w:ind w:firstLine="422"/>
              <w:jc w:val="center"/>
              <w:rPr>
                <w:b/>
                <w:bCs/>
                <w:color w:val="000000" w:themeColor="text1"/>
                <w:kern w:val="0"/>
                <w:szCs w:val="21"/>
                <w14:textFill>
                  <w14:solidFill>
                    <w14:schemeClr w14:val="tx1"/>
                  </w14:solidFill>
                </w14:textFill>
              </w:rPr>
            </w:pPr>
          </w:p>
        </w:tc>
        <w:tc>
          <w:tcPr>
            <w:tcW w:w="631" w:type="pct"/>
            <w:vAlign w:val="center"/>
          </w:tcPr>
          <w:p w14:paraId="24C43090">
            <w:pPr>
              <w:jc w:val="left"/>
              <w:rPr>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制造商资质证书</w:t>
            </w:r>
          </w:p>
        </w:tc>
        <w:tc>
          <w:tcPr>
            <w:tcW w:w="463" w:type="pct"/>
            <w:vAlign w:val="center"/>
          </w:tcPr>
          <w:p w14:paraId="1587CDE5">
            <w:pPr>
              <w:adjustRightInd w:val="0"/>
              <w:snapToGrid w:val="0"/>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6</w:t>
            </w:r>
          </w:p>
        </w:tc>
        <w:tc>
          <w:tcPr>
            <w:tcW w:w="3218" w:type="pct"/>
            <w:vAlign w:val="center"/>
          </w:tcPr>
          <w:p w14:paraId="69D8E4E4">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lang w:val="en-US" w:eastAsia="zh-CN"/>
                <w14:textFill>
                  <w14:solidFill>
                    <w14:schemeClr w14:val="tx1"/>
                  </w14:solidFill>
                </w14:textFill>
              </w:rPr>
              <w:t>供应商</w:t>
            </w:r>
            <w:r>
              <w:rPr>
                <w:color w:val="000000" w:themeColor="text1"/>
                <w:kern w:val="0"/>
                <w:szCs w:val="21"/>
                <w14:textFill>
                  <w14:solidFill>
                    <w14:schemeClr w14:val="tx1"/>
                  </w14:solidFill>
                </w14:textFill>
              </w:rPr>
              <w:t>具有</w:t>
            </w:r>
            <w:r>
              <w:rPr>
                <w:rFonts w:hint="eastAsia"/>
                <w:color w:val="000000" w:themeColor="text1"/>
                <w:kern w:val="0"/>
                <w:szCs w:val="21"/>
                <w14:textFill>
                  <w14:solidFill>
                    <w14:schemeClr w14:val="tx1"/>
                  </w14:solidFill>
                </w14:textFill>
              </w:rPr>
              <w:t>有效的</w:t>
            </w:r>
            <w:r>
              <w:rPr>
                <w:color w:val="000000" w:themeColor="text1"/>
                <w:kern w:val="0"/>
                <w:szCs w:val="21"/>
                <w14:textFill>
                  <w14:solidFill>
                    <w14:schemeClr w14:val="tx1"/>
                  </w14:solidFill>
                </w14:textFill>
              </w:rPr>
              <w:t>ISO27040管理体系认证证书，得1分，其他情况不得分。</w:t>
            </w:r>
          </w:p>
          <w:p w14:paraId="2FBD0BBB">
            <w:pPr>
              <w:widowControl/>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r>
              <w:rPr>
                <w:rFonts w:hint="eastAsia"/>
                <w:color w:val="000000" w:themeColor="text1"/>
                <w:kern w:val="0"/>
                <w:szCs w:val="21"/>
                <w:lang w:val="en-US" w:eastAsia="zh-CN"/>
                <w14:textFill>
                  <w14:solidFill>
                    <w14:schemeClr w14:val="tx1"/>
                  </w14:solidFill>
                </w14:textFill>
              </w:rPr>
              <w:t>供应商</w:t>
            </w:r>
            <w:r>
              <w:rPr>
                <w:rFonts w:hint="eastAsia"/>
                <w:color w:val="000000" w:themeColor="text1"/>
                <w:kern w:val="0"/>
                <w:szCs w:val="21"/>
                <w14:textFill>
                  <w14:solidFill>
                    <w14:schemeClr w14:val="tx1"/>
                  </w14:solidFill>
                </w14:textFill>
              </w:rPr>
              <w:t>具有有效的软件能力成熟度集成模型认证CMMI5级得1分，其他情况不得分。</w:t>
            </w:r>
          </w:p>
          <w:p w14:paraId="1A1C8C6A">
            <w:pPr>
              <w:widowControl/>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r>
              <w:rPr>
                <w:rFonts w:hint="eastAsia"/>
                <w:color w:val="000000" w:themeColor="text1"/>
                <w:kern w:val="0"/>
                <w:szCs w:val="21"/>
                <w:lang w:val="en-US" w:eastAsia="zh-CN"/>
                <w14:textFill>
                  <w14:solidFill>
                    <w14:schemeClr w14:val="tx1"/>
                  </w14:solidFill>
                </w14:textFill>
              </w:rPr>
              <w:t>供应商</w:t>
            </w:r>
            <w:r>
              <w:rPr>
                <w:rFonts w:hint="eastAsia"/>
                <w:color w:val="000000" w:themeColor="text1"/>
                <w:kern w:val="0"/>
                <w:szCs w:val="21"/>
                <w14:textFill>
                  <w14:solidFill>
                    <w14:schemeClr w14:val="tx1"/>
                  </w14:solidFill>
                </w14:textFill>
              </w:rPr>
              <w:t>获得</w:t>
            </w:r>
            <w:r>
              <w:rPr>
                <w:color w:val="000000" w:themeColor="text1"/>
                <w:kern w:val="0"/>
                <w:szCs w:val="21"/>
                <w14:textFill>
                  <w14:solidFill>
                    <w14:schemeClr w14:val="tx1"/>
                  </w14:solidFill>
                </w14:textFill>
              </w:rPr>
              <w:t>中国信息安全测评中心颁发的国家信息安全漏洞库（CNNVD）技术支撑单位等级证书（一级）得</w:t>
            </w: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分</w:t>
            </w:r>
            <w:r>
              <w:rPr>
                <w:rFonts w:hint="eastAsia"/>
                <w:color w:val="000000" w:themeColor="text1"/>
                <w:kern w:val="0"/>
                <w:szCs w:val="21"/>
                <w14:textFill>
                  <w14:solidFill>
                    <w14:schemeClr w14:val="tx1"/>
                  </w14:solidFill>
                </w14:textFill>
              </w:rPr>
              <w:t>，其他情况不得分</w:t>
            </w:r>
            <w:r>
              <w:rPr>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br w:type="textWrapping"/>
            </w: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供应商</w:t>
            </w:r>
            <w:r>
              <w:rPr>
                <w:rFonts w:hint="eastAsia"/>
                <w:color w:val="000000" w:themeColor="text1"/>
                <w:kern w:val="0"/>
                <w:szCs w:val="21"/>
                <w14:textFill>
                  <w14:solidFill>
                    <w14:schemeClr w14:val="tx1"/>
                  </w14:solidFill>
                </w14:textFill>
              </w:rPr>
              <w:t>具有有效的中国信息安全测评中心颁发的信息安全服务资质证书（风险评估、数据安全类），每提供一项得1分，全部满足得2分，其他情况不得分。</w:t>
            </w:r>
          </w:p>
          <w:p w14:paraId="4B72A0BF">
            <w:pPr>
              <w:pStyle w:val="4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eastAsia="宋体"/>
                <w:lang w:val="en-US" w:eastAsia="zh-CN"/>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5、供应商具有有效的信息系统建设和服务能力评估体系CS3级及以上证书得1分。</w:t>
            </w:r>
          </w:p>
        </w:tc>
      </w:tr>
      <w:tr w14:paraId="1E7E04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3DD9DB4B">
            <w:pPr>
              <w:adjustRightInd w:val="0"/>
              <w:snapToGrid w:val="0"/>
              <w:ind w:firstLine="422"/>
              <w:jc w:val="center"/>
              <w:rPr>
                <w:b/>
                <w:bCs/>
                <w:color w:val="000000" w:themeColor="text1"/>
                <w:kern w:val="0"/>
                <w:szCs w:val="21"/>
                <w14:textFill>
                  <w14:solidFill>
                    <w14:schemeClr w14:val="tx1"/>
                  </w14:solidFill>
                </w14:textFill>
              </w:rPr>
            </w:pPr>
          </w:p>
        </w:tc>
        <w:tc>
          <w:tcPr>
            <w:tcW w:w="631" w:type="pct"/>
            <w:vAlign w:val="center"/>
          </w:tcPr>
          <w:p w14:paraId="69BE98D2">
            <w:pPr>
              <w:jc w:val="left"/>
              <w:rPr>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产品认证证书</w:t>
            </w:r>
          </w:p>
        </w:tc>
        <w:tc>
          <w:tcPr>
            <w:tcW w:w="463" w:type="pct"/>
            <w:vAlign w:val="center"/>
          </w:tcPr>
          <w:p w14:paraId="4FF9A28E">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3218" w:type="pct"/>
            <w:vAlign w:val="center"/>
          </w:tcPr>
          <w:p w14:paraId="2F139D15">
            <w:pPr>
              <w:widowControl/>
              <w:jc w:val="left"/>
              <w:rPr>
                <w:color w:val="000000" w:themeColor="text1"/>
                <w:kern w:val="0"/>
                <w:szCs w:val="21"/>
                <w14:textFill>
                  <w14:solidFill>
                    <w14:schemeClr w14:val="tx1"/>
                  </w14:solidFill>
                </w14:textFill>
              </w:rPr>
            </w:pPr>
            <w:r>
              <w:rPr>
                <w:rFonts w:hint="eastAsia" w:ascii="宋体" w:hAnsi="宋体"/>
                <w:color w:val="000000" w:themeColor="text1"/>
                <w:kern w:val="0"/>
                <w14:textFill>
                  <w14:solidFill>
                    <w14:schemeClr w14:val="tx1"/>
                  </w14:solidFill>
                </w14:textFill>
              </w:rPr>
              <w:t>具备可信云认证：GPU智算服务、机器学习</w:t>
            </w:r>
            <w:r>
              <w:rPr>
                <w:rFonts w:hint="eastAsia"/>
                <w:color w:val="000000" w:themeColor="text1"/>
                <w14:textFill>
                  <w14:solidFill>
                    <w14:schemeClr w14:val="tx1"/>
                  </w14:solidFill>
                </w14:textFill>
              </w:rPr>
              <w:t>智算</w:t>
            </w:r>
            <w:r>
              <w:rPr>
                <w:rFonts w:hint="eastAsia" w:ascii="宋体" w:hAnsi="宋体"/>
                <w:color w:val="000000" w:themeColor="text1"/>
                <w:kern w:val="0"/>
                <w14:textFill>
                  <w14:solidFill>
                    <w14:schemeClr w14:val="tx1"/>
                  </w14:solidFill>
                </w14:textFill>
              </w:rPr>
              <w:t>服务、面向资源的算力调度技术能力、云服务安全能力、云计算风险管理能力，每具备一项得1分，共计5分。</w:t>
            </w:r>
          </w:p>
        </w:tc>
      </w:tr>
      <w:tr w14:paraId="73B228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638DBB79">
            <w:pPr>
              <w:adjustRightInd w:val="0"/>
              <w:snapToGrid w:val="0"/>
              <w:ind w:firstLine="422"/>
              <w:jc w:val="center"/>
              <w:rPr>
                <w:b/>
                <w:bCs/>
                <w:color w:val="000000" w:themeColor="text1"/>
                <w:kern w:val="0"/>
                <w:szCs w:val="21"/>
                <w14:textFill>
                  <w14:solidFill>
                    <w14:schemeClr w14:val="tx1"/>
                  </w14:solidFill>
                </w14:textFill>
              </w:rPr>
            </w:pPr>
          </w:p>
        </w:tc>
        <w:tc>
          <w:tcPr>
            <w:tcW w:w="631" w:type="pct"/>
            <w:vAlign w:val="center"/>
          </w:tcPr>
          <w:p w14:paraId="4F5DF057">
            <w:pPr>
              <w:jc w:val="left"/>
              <w:rPr>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合同业绩</w:t>
            </w:r>
          </w:p>
        </w:tc>
        <w:tc>
          <w:tcPr>
            <w:tcW w:w="463" w:type="pct"/>
            <w:vAlign w:val="center"/>
          </w:tcPr>
          <w:p w14:paraId="61DA1C36">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3218" w:type="pct"/>
          </w:tcPr>
          <w:p w14:paraId="0F23A341">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供应商自2022年1月1日至响应文件递交截止之日承接过的类似项目业绩（如：GPU算力资源、GPU服务器、GPU云服务器等）。每提供1个符合要求的项目业绩，得1分，本项得分最高得5分。</w:t>
            </w:r>
          </w:p>
          <w:p w14:paraId="653ABAF8">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评分说明：证明材料以在2022年1月1日至响应文件递交截止之日期间的单项合同或订单为准。</w:t>
            </w:r>
          </w:p>
          <w:p w14:paraId="21FFF6F7">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1）业绩证明文件须提供合同扫描件或框架合同扫描件。（2）有效业绩证明应体现：合同名称、合同金额、服务内容、盖章页等关键内容。（3）证明材料不完整、不清晰、评标委员会无法确定业绩关键信息的将不予认可。</w:t>
            </w:r>
          </w:p>
        </w:tc>
      </w:tr>
      <w:tr w14:paraId="40FB78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88" w:type="pct"/>
            <w:vMerge w:val="continue"/>
            <w:vAlign w:val="center"/>
          </w:tcPr>
          <w:p w14:paraId="14C162F3">
            <w:pPr>
              <w:adjustRightInd w:val="0"/>
              <w:snapToGrid w:val="0"/>
              <w:ind w:firstLine="422"/>
              <w:jc w:val="center"/>
              <w:rPr>
                <w:b/>
                <w:bCs/>
                <w:color w:val="000000" w:themeColor="text1"/>
                <w:kern w:val="0"/>
                <w:szCs w:val="21"/>
                <w14:textFill>
                  <w14:solidFill>
                    <w14:schemeClr w14:val="tx1"/>
                  </w14:solidFill>
                </w14:textFill>
              </w:rPr>
            </w:pPr>
          </w:p>
        </w:tc>
        <w:tc>
          <w:tcPr>
            <w:tcW w:w="631" w:type="pct"/>
            <w:vAlign w:val="center"/>
          </w:tcPr>
          <w:p w14:paraId="59FDCEAE">
            <w:pPr>
              <w:jc w:val="left"/>
              <w:rPr>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投标文件有效性</w:t>
            </w:r>
          </w:p>
        </w:tc>
        <w:tc>
          <w:tcPr>
            <w:tcW w:w="463" w:type="pct"/>
            <w:vAlign w:val="center"/>
          </w:tcPr>
          <w:p w14:paraId="78EED135">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3218" w:type="pct"/>
            <w:vAlign w:val="center"/>
          </w:tcPr>
          <w:p w14:paraId="7CDCE2F3">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供应商响应</w:t>
            </w:r>
            <w:r>
              <w:rPr>
                <w:color w:val="000000" w:themeColor="text1"/>
                <w:kern w:val="0"/>
                <w:szCs w:val="21"/>
                <w14:textFill>
                  <w14:solidFill>
                    <w14:schemeClr w14:val="tx1"/>
                  </w14:solidFill>
                </w14:textFill>
              </w:rPr>
              <w:t>文件完全符合</w:t>
            </w:r>
            <w:r>
              <w:rPr>
                <w:rFonts w:hint="eastAsia"/>
                <w:color w:val="000000" w:themeColor="text1"/>
                <w:kern w:val="0"/>
                <w:szCs w:val="21"/>
                <w14:textFill>
                  <w14:solidFill>
                    <w14:schemeClr w14:val="tx1"/>
                  </w14:solidFill>
                </w14:textFill>
              </w:rPr>
              <w:t>谈判</w:t>
            </w:r>
            <w:r>
              <w:rPr>
                <w:color w:val="000000" w:themeColor="text1"/>
                <w:kern w:val="0"/>
                <w:szCs w:val="21"/>
                <w14:textFill>
                  <w14:solidFill>
                    <w14:schemeClr w14:val="tx1"/>
                  </w14:solidFill>
                </w14:textFill>
              </w:rPr>
              <w:t>文件的形式要求，无缺、漏项；文字清晰、描述清楚得2分；如果发现严重缺漏、负偏离或任何弄虚作假的行为，则直接取消参评资格。</w:t>
            </w:r>
          </w:p>
        </w:tc>
      </w:tr>
      <w:tr w14:paraId="08C3EB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88" w:type="pct"/>
            <w:vMerge w:val="restart"/>
            <w:vAlign w:val="center"/>
          </w:tcPr>
          <w:p w14:paraId="0A4A4920">
            <w:pPr>
              <w:adjustRightInd w:val="0"/>
              <w:snapToGrid w:val="0"/>
              <w:ind w:firstLine="422"/>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技术</w:t>
            </w:r>
          </w:p>
          <w:p w14:paraId="5EE411D0">
            <w:pPr>
              <w:adjustRightInd w:val="0"/>
              <w:snapToGrid w:val="0"/>
              <w:ind w:firstLine="422"/>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部分</w:t>
            </w:r>
          </w:p>
          <w:p w14:paraId="6E8C3373">
            <w:pPr>
              <w:adjustRightInd w:val="0"/>
              <w:snapToGrid w:val="0"/>
              <w:ind w:firstLine="422"/>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w:t>
            </w:r>
            <w:r>
              <w:rPr>
                <w:rFonts w:hint="eastAsia"/>
                <w:b/>
                <w:bCs/>
                <w:color w:val="000000" w:themeColor="text1"/>
                <w:kern w:val="0"/>
                <w:szCs w:val="21"/>
                <w:lang w:val="en-US" w:eastAsia="zh-CN"/>
                <w14:textFill>
                  <w14:solidFill>
                    <w14:schemeClr w14:val="tx1"/>
                  </w14:solidFill>
                </w14:textFill>
              </w:rPr>
              <w:t>0</w:t>
            </w:r>
            <w:r>
              <w:rPr>
                <w:rFonts w:hint="eastAsia"/>
                <w:b/>
                <w:bCs/>
                <w:color w:val="000000" w:themeColor="text1"/>
                <w:kern w:val="0"/>
                <w:szCs w:val="21"/>
                <w14:textFill>
                  <w14:solidFill>
                    <w14:schemeClr w14:val="tx1"/>
                  </w14:solidFill>
                </w14:textFill>
              </w:rPr>
              <w:t>分</w:t>
            </w:r>
            <w:r>
              <w:rPr>
                <w:b/>
                <w:bCs/>
                <w:color w:val="000000" w:themeColor="text1"/>
                <w:kern w:val="0"/>
                <w:szCs w:val="21"/>
                <w14:textFill>
                  <w14:solidFill>
                    <w14:schemeClr w14:val="tx1"/>
                  </w14:solidFill>
                </w14:textFill>
              </w:rPr>
              <w:t>）</w:t>
            </w:r>
          </w:p>
        </w:tc>
        <w:tc>
          <w:tcPr>
            <w:tcW w:w="631" w:type="pct"/>
            <w:vAlign w:val="center"/>
          </w:tcPr>
          <w:p w14:paraId="139EA948">
            <w:pPr>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技术响应</w:t>
            </w:r>
          </w:p>
        </w:tc>
        <w:tc>
          <w:tcPr>
            <w:tcW w:w="463" w:type="pct"/>
            <w:vAlign w:val="center"/>
          </w:tcPr>
          <w:p w14:paraId="48D0F537">
            <w:pPr>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8</w:t>
            </w:r>
          </w:p>
        </w:tc>
        <w:tc>
          <w:tcPr>
            <w:tcW w:w="3218" w:type="pct"/>
            <w:vAlign w:val="center"/>
          </w:tcPr>
          <w:p w14:paraId="135C1274">
            <w:pPr>
              <w:widowControl/>
              <w:spacing w:line="29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w:t>
            </w:r>
            <w:r>
              <w:rPr>
                <w:rFonts w:hint="eastAsia"/>
                <w:color w:val="000000" w:themeColor="text1"/>
                <w:kern w:val="0"/>
                <w:szCs w:val="21"/>
                <w14:textFill>
                  <w14:solidFill>
                    <w14:schemeClr w14:val="tx1"/>
                  </w14:solidFill>
                </w14:textFill>
              </w:rPr>
              <w:t>响应</w:t>
            </w:r>
            <w:r>
              <w:rPr>
                <w:color w:val="000000" w:themeColor="text1"/>
                <w:kern w:val="0"/>
                <w:szCs w:val="21"/>
                <w14:textFill>
                  <w14:solidFill>
                    <w14:schemeClr w14:val="tx1"/>
                  </w14:solidFill>
                </w14:textFill>
              </w:rPr>
              <w:t>产品对</w:t>
            </w:r>
            <w:r>
              <w:rPr>
                <w:rFonts w:hint="eastAsia"/>
                <w:color w:val="000000" w:themeColor="text1"/>
                <w:kern w:val="0"/>
                <w:szCs w:val="21"/>
                <w14:textFill>
                  <w14:solidFill>
                    <w14:schemeClr w14:val="tx1"/>
                  </w14:solidFill>
                </w14:textFill>
              </w:rPr>
              <w:t>谈判</w:t>
            </w:r>
            <w:r>
              <w:rPr>
                <w:color w:val="000000" w:themeColor="text1"/>
                <w:kern w:val="0"/>
                <w:szCs w:val="21"/>
                <w14:textFill>
                  <w14:solidFill>
                    <w14:schemeClr w14:val="tx1"/>
                  </w14:solidFill>
                </w14:textFill>
              </w:rPr>
              <w:t>文件第五章《技术需求书》的偏离情况打分，基本分</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分。</w:t>
            </w:r>
          </w:p>
          <w:p w14:paraId="4E3CACF4">
            <w:pP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关键条款（</w:t>
            </w:r>
            <w:r>
              <w:rPr>
                <w:rFonts w:hint="eastAsia"/>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号条款）不满足的直接否决投标</w:t>
            </w:r>
            <w:r>
              <w:rPr>
                <w:rFonts w:hint="eastAsia"/>
                <w:color w:val="000000" w:themeColor="text1"/>
                <w:kern w:val="0"/>
                <w:szCs w:val="21"/>
                <w14:textFill>
                  <w14:solidFill>
                    <w14:schemeClr w14:val="tx1"/>
                  </w14:solidFill>
                </w14:textFill>
              </w:rPr>
              <w:t>；非关键条款每项不满足扣</w:t>
            </w:r>
            <w:r>
              <w:rPr>
                <w:rFonts w:hint="eastAsia"/>
                <w:color w:val="000000" w:themeColor="text1"/>
                <w:kern w:val="0"/>
                <w:szCs w:val="21"/>
                <w:lang w:val="en-US" w:eastAsia="zh-CN"/>
                <w14:textFill>
                  <w14:solidFill>
                    <w14:schemeClr w14:val="tx1"/>
                  </w14:solidFill>
                </w14:textFill>
              </w:rPr>
              <w:t>2</w:t>
            </w:r>
            <w:r>
              <w:rPr>
                <w:rFonts w:hint="eastAsia"/>
                <w:color w:val="000000" w:themeColor="text1"/>
                <w:kern w:val="0"/>
                <w:szCs w:val="21"/>
                <w14:textFill>
                  <w14:solidFill>
                    <w14:schemeClr w14:val="tx1"/>
                  </w14:solidFill>
                </w14:textFill>
              </w:rPr>
              <w:t>分，基本分扣完为止。</w:t>
            </w:r>
          </w:p>
        </w:tc>
      </w:tr>
      <w:tr w14:paraId="3657AD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pct"/>
            <w:vMerge w:val="continue"/>
            <w:vAlign w:val="center"/>
          </w:tcPr>
          <w:p w14:paraId="5F1D2677">
            <w:pPr>
              <w:adjustRightInd w:val="0"/>
              <w:snapToGrid w:val="0"/>
              <w:ind w:firstLine="422"/>
              <w:jc w:val="center"/>
              <w:rPr>
                <w:b/>
                <w:bCs/>
                <w:color w:val="000000" w:themeColor="text1"/>
                <w:kern w:val="0"/>
                <w:szCs w:val="21"/>
                <w14:textFill>
                  <w14:solidFill>
                    <w14:schemeClr w14:val="tx1"/>
                  </w14:solidFill>
                </w14:textFill>
              </w:rPr>
            </w:pPr>
          </w:p>
        </w:tc>
        <w:tc>
          <w:tcPr>
            <w:tcW w:w="631" w:type="pct"/>
            <w:vAlign w:val="center"/>
          </w:tcPr>
          <w:p w14:paraId="7C598DC6">
            <w:pPr>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服务</w:t>
            </w:r>
            <w:r>
              <w:rPr>
                <w:rFonts w:hint="eastAsia" w:ascii="宋体" w:hAnsi="宋体" w:cs="宋体"/>
                <w:b/>
                <w:bCs/>
                <w:color w:val="000000" w:themeColor="text1"/>
                <w:kern w:val="0"/>
                <w:szCs w:val="21"/>
                <w14:textFill>
                  <w14:solidFill>
                    <w14:schemeClr w14:val="tx1"/>
                  </w14:solidFill>
                </w14:textFill>
              </w:rPr>
              <w:t>方案</w:t>
            </w:r>
          </w:p>
        </w:tc>
        <w:tc>
          <w:tcPr>
            <w:tcW w:w="463" w:type="pct"/>
            <w:vAlign w:val="center"/>
          </w:tcPr>
          <w:p w14:paraId="12A0F060">
            <w:pPr>
              <w:jc w:val="center"/>
              <w:rPr>
                <w:rFonts w:hint="default" w:eastAsia="宋体"/>
                <w:color w:val="000000" w:themeColor="text1"/>
                <w:kern w:val="0"/>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w:t>
            </w:r>
          </w:p>
        </w:tc>
        <w:tc>
          <w:tcPr>
            <w:tcW w:w="3218" w:type="pct"/>
            <w:vAlign w:val="center"/>
          </w:tcPr>
          <w:p w14:paraId="433247B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根据供应商提供的针对本项目的</w:t>
            </w:r>
            <w:r>
              <w:rPr>
                <w:rFonts w:hint="eastAsia" w:ascii="宋体" w:hAnsi="宋体"/>
                <w:color w:val="000000" w:themeColor="text1"/>
                <w:lang w:val="en-US" w:eastAsia="zh-CN"/>
                <w14:textFill>
                  <w14:solidFill>
                    <w14:schemeClr w14:val="tx1"/>
                  </w14:solidFill>
                </w14:textFill>
              </w:rPr>
              <w:t>服务</w:t>
            </w:r>
            <w:r>
              <w:rPr>
                <w:rFonts w:hint="eastAsia" w:ascii="宋体" w:hAnsi="宋体"/>
                <w:color w:val="000000" w:themeColor="text1"/>
                <w14:textFill>
                  <w14:solidFill>
                    <w14:schemeClr w14:val="tx1"/>
                  </w14:solidFill>
                </w14:textFill>
              </w:rPr>
              <w:t>方案</w:t>
            </w:r>
            <w:r>
              <w:rPr>
                <w:rFonts w:hint="eastAsia" w:ascii="宋体" w:hAnsi="宋体"/>
                <w:color w:val="000000" w:themeColor="text1"/>
                <w:lang w:val="en-US" w:eastAsia="zh-CN"/>
                <w14:textFill>
                  <w14:solidFill>
                    <w14:schemeClr w14:val="tx1"/>
                  </w14:solidFill>
                </w14:textFill>
              </w:rPr>
              <w:t>打分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需充分理解本项目《技术需求书》相关要求，提出对</w:t>
            </w:r>
            <w:r>
              <w:rPr>
                <w:rFonts w:hint="eastAsia" w:ascii="宋体" w:hAnsi="宋体"/>
                <w:color w:val="000000" w:themeColor="text1"/>
                <w:lang w:val="en-US" w:eastAsia="zh-CN"/>
                <w14:textFill>
                  <w14:solidFill>
                    <w14:schemeClr w14:val="tx1"/>
                  </w14:solidFill>
                </w14:textFill>
              </w:rPr>
              <w:t>采购</w:t>
            </w:r>
            <w:r>
              <w:rPr>
                <w:rFonts w:hint="eastAsia" w:ascii="宋体" w:hAnsi="宋体"/>
                <w:color w:val="000000" w:themeColor="text1"/>
                <w14:textFill>
                  <w14:solidFill>
                    <w14:schemeClr w14:val="tx1"/>
                  </w14:solidFill>
                </w14:textFill>
              </w:rPr>
              <w:t>人</w:t>
            </w:r>
            <w:r>
              <w:rPr>
                <w:rFonts w:hint="eastAsia" w:ascii="宋体" w:hAnsi="宋体"/>
                <w:color w:val="000000" w:themeColor="text1"/>
                <w:lang w:val="en-US" w:eastAsia="zh-CN"/>
                <w14:textFill>
                  <w14:solidFill>
                    <w14:schemeClr w14:val="tx1"/>
                  </w14:solidFill>
                </w14:textFill>
              </w:rPr>
              <w:t>业务开展</w:t>
            </w:r>
            <w:r>
              <w:rPr>
                <w:rFonts w:hint="eastAsia" w:ascii="宋体" w:hAnsi="宋体"/>
                <w:color w:val="000000" w:themeColor="text1"/>
                <w14:textFill>
                  <w14:solidFill>
                    <w14:schemeClr w14:val="tx1"/>
                  </w14:solidFill>
                </w14:textFill>
              </w:rPr>
              <w:t>的合理化建议。</w:t>
            </w:r>
          </w:p>
          <w:p w14:paraId="4104FB05">
            <w:pPr>
              <w:pStyle w:val="48"/>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color w:val="000000" w:themeColor="text1"/>
                <w:kern w:val="0"/>
                <w:szCs w:val="21"/>
                <w14:textFill>
                  <w14:solidFill>
                    <w14:schemeClr w14:val="tx1"/>
                  </w14:solidFill>
                </w14:textFill>
              </w:rPr>
              <w:t>优良(4-5]分；较好(2-4]；一般[0-2]分。</w:t>
            </w:r>
          </w:p>
          <w:p w14:paraId="6ED95F97">
            <w:pPr>
              <w:pStyle w:val="48"/>
              <w:keepNext w:val="0"/>
              <w:keepLines w:val="0"/>
              <w:pageBreakBefore w:val="0"/>
              <w:numPr>
                <w:ilvl w:val="0"/>
                <w:numId w:val="5"/>
              </w:numPr>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根据供应商提供的项目实施进度的时间安排打分。</w:t>
            </w:r>
          </w:p>
          <w:p w14:paraId="0C0EAB5A">
            <w:pPr>
              <w:pStyle w:val="48"/>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优良(1-2]分；一般[0-1]分。</w:t>
            </w:r>
          </w:p>
          <w:p w14:paraId="7AF57A09">
            <w:pPr>
              <w:pStyle w:val="48"/>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eastAsia="宋体"/>
                <w:color w:val="000000" w:themeColor="text1"/>
                <w:lang w:eastAsia="zh-CN"/>
                <w14:textFill>
                  <w14:solidFill>
                    <w14:schemeClr w14:val="tx1"/>
                  </w14:solidFill>
                </w14:textFill>
              </w:rPr>
            </w:pPr>
            <w:r>
              <w:rPr>
                <w:rFonts w:hint="eastAsia"/>
                <w:lang w:val="en-US" w:eastAsia="zh-CN"/>
              </w:rPr>
              <w:t>3、供应商承诺</w:t>
            </w:r>
            <w:r>
              <w:rPr>
                <w:rFonts w:hint="eastAsia"/>
              </w:rPr>
              <w:t>提供专线互联</w:t>
            </w:r>
            <w:r>
              <w:rPr>
                <w:rFonts w:hint="eastAsia"/>
                <w:lang w:val="en-US" w:eastAsia="zh-CN"/>
              </w:rPr>
              <w:t>服务（需提供承诺函并加盖公章），</w:t>
            </w:r>
            <w:r>
              <w:rPr>
                <w:rFonts w:hint="eastAsia"/>
              </w:rPr>
              <w:t>加</w:t>
            </w:r>
            <w:r>
              <w:rPr>
                <w:rFonts w:hint="eastAsia"/>
                <w:lang w:val="en-US" w:eastAsia="zh-CN"/>
              </w:rPr>
              <w:t>3</w:t>
            </w:r>
            <w:r>
              <w:rPr>
                <w:rFonts w:hint="eastAsia"/>
              </w:rPr>
              <w:t>分</w:t>
            </w:r>
            <w:r>
              <w:rPr>
                <w:rFonts w:hint="eastAsia"/>
                <w:lang w:eastAsia="zh-CN"/>
              </w:rPr>
              <w:t>。</w:t>
            </w:r>
          </w:p>
        </w:tc>
      </w:tr>
      <w:tr w14:paraId="763D5E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88" w:type="pct"/>
            <w:vMerge w:val="continue"/>
            <w:vAlign w:val="center"/>
          </w:tcPr>
          <w:p w14:paraId="5CAA8F15">
            <w:pPr>
              <w:adjustRightInd w:val="0"/>
              <w:snapToGrid w:val="0"/>
              <w:ind w:firstLine="422"/>
              <w:jc w:val="center"/>
              <w:rPr>
                <w:b/>
                <w:bCs/>
                <w:color w:val="000000" w:themeColor="text1"/>
                <w:kern w:val="0"/>
                <w:szCs w:val="21"/>
                <w14:textFill>
                  <w14:solidFill>
                    <w14:schemeClr w14:val="tx1"/>
                  </w14:solidFill>
                </w14:textFill>
              </w:rPr>
            </w:pPr>
          </w:p>
        </w:tc>
        <w:tc>
          <w:tcPr>
            <w:tcW w:w="631" w:type="pct"/>
            <w:vAlign w:val="center"/>
          </w:tcPr>
          <w:p w14:paraId="163FF8B1">
            <w:pPr>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售后</w:t>
            </w:r>
            <w:r>
              <w:rPr>
                <w:rFonts w:hint="eastAsia" w:ascii="宋体" w:hAnsi="宋体" w:cs="宋体"/>
                <w:b/>
                <w:bCs/>
                <w:color w:val="000000" w:themeColor="text1"/>
                <w:kern w:val="0"/>
                <w:szCs w:val="21"/>
                <w14:textFill>
                  <w14:solidFill>
                    <w14:schemeClr w14:val="tx1"/>
                  </w14:solidFill>
                </w14:textFill>
              </w:rPr>
              <w:t>服务能力</w:t>
            </w:r>
          </w:p>
        </w:tc>
        <w:tc>
          <w:tcPr>
            <w:tcW w:w="463" w:type="pct"/>
            <w:vAlign w:val="center"/>
          </w:tcPr>
          <w:p w14:paraId="2F344C88">
            <w:pPr>
              <w:jc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p>
        </w:tc>
        <w:tc>
          <w:tcPr>
            <w:tcW w:w="3218" w:type="pct"/>
            <w:vAlign w:val="center"/>
          </w:tcPr>
          <w:p w14:paraId="0468DA06">
            <w:pPr>
              <w:widowControl/>
              <w:ind w:left="1" w:firstLine="18" w:firstLineChars="9"/>
              <w:textAlignment w:val="center"/>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根据供应商的售后服务方案</w:t>
            </w:r>
            <w:r>
              <w:rPr>
                <w:rFonts w:hint="eastAsia"/>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包括但不限于售后服务体系、售后服务组织、售后服务方式、售后服务流程规范、线上问题处理流程、客户评价体系等情况）打分。</w:t>
            </w:r>
          </w:p>
          <w:p w14:paraId="4580B8C6">
            <w:pPr>
              <w:widowControl/>
              <w:numPr>
                <w:ilvl w:val="255"/>
                <w:numId w:val="0"/>
              </w:numPr>
              <w:jc w:val="left"/>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优良(</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]分；一般[0-</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w:t>
            </w:r>
            <w:r>
              <w:rPr>
                <w:rFonts w:ascii="宋体" w:hAnsi="宋体"/>
                <w:color w:val="000000" w:themeColor="text1"/>
                <w:szCs w:val="21"/>
                <w14:textFill>
                  <w14:solidFill>
                    <w14:schemeClr w14:val="tx1"/>
                  </w14:solidFill>
                </w14:textFill>
              </w:rPr>
              <w:t>。</w:t>
            </w:r>
          </w:p>
        </w:tc>
      </w:tr>
    </w:tbl>
    <w:p w14:paraId="2B573F56">
      <w:pPr>
        <w:pStyle w:val="3"/>
        <w:spacing w:before="0" w:after="0" w:line="360" w:lineRule="auto"/>
        <w:ind w:firstLine="600"/>
        <w:rPr>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bookmarkStart w:id="21" w:name="_Toc22799"/>
      <w:r>
        <w:rPr>
          <w:rFonts w:hint="eastAsia"/>
          <w:b/>
          <w:color w:val="000000" w:themeColor="text1"/>
          <w:sz w:val="36"/>
          <w:szCs w:val="36"/>
          <w14:textFill>
            <w14:solidFill>
              <w14:schemeClr w14:val="tx1"/>
            </w14:solidFill>
          </w14:textFill>
        </w:rPr>
        <w:t>第四章</w:t>
      </w:r>
      <w:r>
        <w:rPr>
          <w:rFonts w:hint="eastAsia"/>
          <w:b/>
          <w:color w:val="000000" w:themeColor="text1"/>
          <w:sz w:val="36"/>
          <w:szCs w:val="36"/>
          <w:lang w:val="en-US" w:eastAsia="zh-CN"/>
          <w14:textFill>
            <w14:solidFill>
              <w14:schemeClr w14:val="tx1"/>
            </w14:solidFill>
          </w14:textFill>
        </w:rPr>
        <w:t xml:space="preserve"> </w:t>
      </w:r>
      <w:r>
        <w:rPr>
          <w:b/>
          <w:color w:val="000000" w:themeColor="text1"/>
          <w:sz w:val="36"/>
          <w:szCs w:val="36"/>
          <w14:textFill>
            <w14:solidFill>
              <w14:schemeClr w14:val="tx1"/>
            </w14:solidFill>
          </w14:textFill>
        </w:rPr>
        <w:t>合同格式</w:t>
      </w:r>
      <w:bookmarkEnd w:id="21"/>
    </w:p>
    <w:p w14:paraId="4D2582DC">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对于</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章《合同格式》内容的任何负偏离均将导致废标。</w:t>
      </w:r>
    </w:p>
    <w:p w14:paraId="331A09BD">
      <w:pPr>
        <w:widowControl/>
        <w:spacing w:before="312" w:after="312" w:line="300" w:lineRule="auto"/>
        <w:ind w:firstLine="1040"/>
        <w:jc w:val="left"/>
        <w:rPr>
          <w:b/>
          <w:color w:val="000000" w:themeColor="text1"/>
          <w14:textFill>
            <w14:solidFill>
              <w14:schemeClr w14:val="tx1"/>
            </w14:solidFill>
          </w14:textFill>
        </w:rPr>
      </w:pPr>
      <w:r>
        <w:rPr>
          <w:rFonts w:eastAsia="黑体"/>
          <w:bCs/>
          <w:color w:val="000000" w:themeColor="text1"/>
          <w:sz w:val="52"/>
          <w:szCs w:val="52"/>
          <w14:textFill>
            <w14:solidFill>
              <w14:schemeClr w14:val="tx1"/>
            </w14:solidFill>
          </w14:textFill>
        </w:rPr>
        <w:br w:type="page"/>
      </w:r>
    </w:p>
    <w:p w14:paraId="08F46D02">
      <w:pPr>
        <w:spacing w:line="360" w:lineRule="auto"/>
        <w:ind w:firstLine="740"/>
        <w:jc w:val="center"/>
        <w:rPr>
          <w:rFonts w:eastAsia="黑体"/>
          <w:color w:val="000000" w:themeColor="text1"/>
          <w:sz w:val="37"/>
          <w:szCs w:val="37"/>
          <w14:textFill>
            <w14:solidFill>
              <w14:schemeClr w14:val="tx1"/>
            </w14:solidFill>
          </w14:textFill>
        </w:rPr>
      </w:pPr>
      <w:bookmarkStart w:id="22" w:name="_Toc69378621"/>
      <w:r>
        <w:rPr>
          <w:rFonts w:eastAsia="黑体"/>
          <w:color w:val="000000" w:themeColor="text1"/>
          <w:sz w:val="37"/>
          <w14:textFill>
            <w14:solidFill>
              <w14:schemeClr w14:val="tx1"/>
            </w14:solidFill>
          </w14:textFill>
        </w:rPr>
        <w:t>合同格式</w:t>
      </w:r>
    </w:p>
    <w:p w14:paraId="4D26693E">
      <w:pPr>
        <w:spacing w:before="156" w:beforeLines="50" w:line="360" w:lineRule="auto"/>
        <w:ind w:firstLine="643"/>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江苏省广电有线信息网络股份有限公司</w:t>
      </w:r>
    </w:p>
    <w:p w14:paraId="55A0568D">
      <w:pPr>
        <w:spacing w:after="120" w:line="360" w:lineRule="auto"/>
        <w:ind w:firstLine="643"/>
        <w:jc w:val="center"/>
        <w:rPr>
          <w:b/>
          <w:color w:val="000000" w:themeColor="text1"/>
          <w:sz w:val="32"/>
          <w:szCs w:val="32"/>
          <w14:textFill>
            <w14:solidFill>
              <w14:schemeClr w14:val="tx1"/>
            </w14:solidFill>
          </w14:textFill>
        </w:rPr>
      </w:pPr>
      <w:r>
        <w:rPr>
          <w:rFonts w:hint="eastAsia" w:ascii="Calibri" w:hAnsi="Calibri"/>
          <w:b/>
          <w:color w:val="000000" w:themeColor="text1"/>
          <w:sz w:val="32"/>
          <w:szCs w:val="32"/>
          <w14:textFill>
            <w14:solidFill>
              <w14:schemeClr w14:val="tx1"/>
            </w14:solidFill>
          </w14:textFill>
        </w:rPr>
        <w:t>GPU算力资源租用服务</w:t>
      </w:r>
    </w:p>
    <w:p w14:paraId="03252FB3">
      <w:pPr>
        <w:spacing w:before="156" w:beforeLines="50" w:line="360" w:lineRule="auto"/>
        <w:ind w:firstLine="643"/>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项目合同</w:t>
      </w:r>
    </w:p>
    <w:p w14:paraId="44A39CA6">
      <w:pPr>
        <w:widowControl/>
        <w:spacing w:line="360" w:lineRule="exact"/>
        <w:ind w:firstLine="422"/>
        <w:rPr>
          <w:rFonts w:hint="eastAsia"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合同名称及</w:t>
      </w:r>
      <w:r>
        <w:rPr>
          <w:rFonts w:ascii="宋体" w:hAnsi="宋体"/>
          <w:b/>
          <w:color w:val="000000" w:themeColor="text1"/>
          <w:szCs w:val="21"/>
          <w14:textFill>
            <w14:solidFill>
              <w14:schemeClr w14:val="tx1"/>
            </w14:solidFill>
          </w14:textFill>
        </w:rPr>
        <w:t>采购编号</w:t>
      </w:r>
      <w:r>
        <w:rPr>
          <w:rFonts w:hint="eastAsia" w:ascii="宋体" w:hAnsi="宋体"/>
          <w:b/>
          <w:color w:val="000000" w:themeColor="text1"/>
          <w:szCs w:val="21"/>
          <w14:textFill>
            <w14:solidFill>
              <w14:schemeClr w14:val="tx1"/>
            </w14:solidFill>
          </w14:textFill>
        </w:rPr>
        <w:t xml:space="preserve">：           </w:t>
      </w:r>
    </w:p>
    <w:p w14:paraId="53BD761B">
      <w:pPr>
        <w:widowControl/>
        <w:spacing w:line="360" w:lineRule="exact"/>
        <w:ind w:firstLine="422"/>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甲方</w:t>
      </w:r>
      <w:r>
        <w:rPr>
          <w:rFonts w:hint="eastAsia" w:ascii="宋体" w:hAnsi="宋体"/>
          <w:bCs/>
          <w:color w:val="000000" w:themeColor="text1"/>
          <w:szCs w:val="21"/>
          <w14:textFill>
            <w14:solidFill>
              <w14:schemeClr w14:val="tx1"/>
            </w14:solidFill>
          </w14:textFill>
        </w:rPr>
        <w:t>：</w:t>
      </w:r>
      <w:r>
        <w:rPr>
          <w:bCs/>
          <w:color w:val="000000" w:themeColor="text1"/>
          <w14:textFill>
            <w14:solidFill>
              <w14:schemeClr w14:val="tx1"/>
            </w14:solidFill>
          </w14:textFill>
        </w:rPr>
        <w:t>江苏省广电有线信息网络股份有限公司</w:t>
      </w:r>
    </w:p>
    <w:p w14:paraId="2668C692">
      <w:pPr>
        <w:widowControl/>
        <w:spacing w:line="360" w:lineRule="exact"/>
        <w:ind w:firstLine="422"/>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乙方：</w:t>
      </w:r>
      <w:r>
        <w:rPr>
          <w:rFonts w:hint="eastAsia"/>
          <w:bCs/>
          <w:color w:val="000000" w:themeColor="text1"/>
          <w14:textFill>
            <w14:solidFill>
              <w14:schemeClr w14:val="tx1"/>
            </w14:solidFill>
          </w14:textFill>
        </w:rPr>
        <w:t xml:space="preserve"> </w:t>
      </w:r>
    </w:p>
    <w:p w14:paraId="1C96A3EF">
      <w:pPr>
        <w:spacing w:line="360" w:lineRule="auto"/>
        <w:jc w:val="center"/>
        <w:rPr>
          <w:color w:val="000000" w:themeColor="text1"/>
          <w14:textFill>
            <w14:solidFill>
              <w14:schemeClr w14:val="tx1"/>
            </w14:solidFill>
          </w14:textFill>
        </w:rPr>
      </w:pPr>
    </w:p>
    <w:p w14:paraId="5A1BD9F2">
      <w:pPr>
        <w:spacing w:line="360" w:lineRule="auto"/>
        <w:ind w:firstLine="422" w:firstLineChars="200"/>
        <w:rPr>
          <w:rFonts w:hint="eastAsia" w:ascii="宋体" w:hAnsi="宋体"/>
          <w:color w:val="000000" w:themeColor="text1"/>
          <w:szCs w:val="21"/>
          <w14:textFill>
            <w14:solidFill>
              <w14:schemeClr w14:val="tx1"/>
            </w14:solidFill>
          </w14:textFill>
        </w:rPr>
      </w:pPr>
      <w:r>
        <w:rPr>
          <w:b/>
          <w:bCs/>
          <w:color w:val="000000" w:themeColor="text1"/>
          <w:u w:val="single"/>
          <w14:textFill>
            <w14:solidFill>
              <w14:schemeClr w14:val="tx1"/>
            </w14:solidFill>
          </w14:textFill>
        </w:rPr>
        <w:t>江苏省广电有线信息网络股份有限公司</w:t>
      </w:r>
      <w:r>
        <w:rPr>
          <w:rFonts w:hint="eastAsia" w:ascii="宋体" w:hAnsi="宋体"/>
          <w:b/>
          <w:color w:val="000000" w:themeColor="text1"/>
          <w:szCs w:val="21"/>
          <w:u w:val="single"/>
          <w14:textFill>
            <w14:solidFill>
              <w14:schemeClr w14:val="tx1"/>
            </w14:solidFill>
          </w14:textFill>
        </w:rPr>
        <w:t>（以下简称“甲方”）</w:t>
      </w:r>
      <w:r>
        <w:rPr>
          <w:rFonts w:hint="eastAsia" w:ascii="宋体" w:hAnsi="宋体"/>
          <w:color w:val="000000" w:themeColor="text1"/>
          <w:szCs w:val="21"/>
          <w14:textFill>
            <w14:solidFill>
              <w14:schemeClr w14:val="tx1"/>
            </w14:solidFill>
          </w14:textFill>
        </w:rPr>
        <w:t>就</w:t>
      </w:r>
      <w:r>
        <w:rPr>
          <w:rFonts w:hint="eastAsia"/>
          <w:b/>
          <w:bCs/>
          <w:color w:val="000000" w:themeColor="text1"/>
          <w:szCs w:val="21"/>
          <w:u w:val="single"/>
          <w14:textFill>
            <w14:solidFill>
              <w14:schemeClr w14:val="tx1"/>
            </w14:solidFill>
          </w14:textFill>
        </w:rPr>
        <w:t>江苏省广电有线信息网络股份有限公司GPU算力资源租用服务</w:t>
      </w:r>
      <w:r>
        <w:rPr>
          <w:rFonts w:hint="eastAsia" w:ascii="宋体" w:hAnsi="宋体"/>
          <w:color w:val="000000" w:themeColor="text1"/>
          <w:szCs w:val="21"/>
          <w14:textFill>
            <w14:solidFill>
              <w14:schemeClr w14:val="tx1"/>
            </w14:solidFill>
          </w14:textFill>
        </w:rPr>
        <w:t>项目采购及相关服务，组织了竞争性谈判，经评委工作组严格评审，本项目由</w:t>
      </w:r>
      <w:r>
        <w:rPr>
          <w:rFonts w:hint="eastAsia" w:ascii="宋体" w:hAnsi="宋体"/>
          <w:color w:val="000000" w:themeColor="text1"/>
          <w:szCs w:val="21"/>
          <w:u w:val="single"/>
          <w14:textFill>
            <w14:solidFill>
              <w14:schemeClr w14:val="tx1"/>
            </w14:solidFill>
          </w14:textFill>
        </w:rPr>
        <w:t xml:space="preserve">                    </w:t>
      </w:r>
      <w:r>
        <w:rPr>
          <w:b/>
          <w:color w:val="000000" w:themeColor="text1"/>
          <w:szCs w:val="21"/>
          <w:u w:val="single"/>
          <w14:textFill>
            <w14:solidFill>
              <w14:schemeClr w14:val="tx1"/>
            </w14:solidFill>
          </w14:textFill>
        </w:rPr>
        <w:t>（以下简称“乙方”）</w:t>
      </w:r>
      <w:r>
        <w:rPr>
          <w:rFonts w:ascii="宋体" w:hAnsi="宋体"/>
          <w:color w:val="000000" w:themeColor="text1"/>
          <w:szCs w:val="21"/>
          <w14:textFill>
            <w14:solidFill>
              <w14:schemeClr w14:val="tx1"/>
            </w14:solidFill>
          </w14:textFill>
        </w:rPr>
        <w:t>成交</w:t>
      </w:r>
      <w:r>
        <w:rPr>
          <w:rFonts w:hint="eastAsia" w:ascii="宋体" w:hAnsi="宋体"/>
          <w:color w:val="000000" w:themeColor="text1"/>
          <w:szCs w:val="21"/>
          <w14:textFill>
            <w14:solidFill>
              <w14:schemeClr w14:val="tx1"/>
            </w14:solidFill>
          </w14:textFill>
        </w:rPr>
        <w:t>。</w:t>
      </w:r>
    </w:p>
    <w:p w14:paraId="7984F5B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甲乙双方根据</w:t>
      </w:r>
      <w:r>
        <w:rPr>
          <w:rFonts w:hint="eastAsia" w:ascii="宋体" w:hAnsi="宋体"/>
          <w:color w:val="000000" w:themeColor="text1"/>
          <w:szCs w:val="21"/>
          <w14:textFill>
            <w14:solidFill>
              <w14:schemeClr w14:val="tx1"/>
            </w14:solidFill>
          </w14:textFill>
        </w:rPr>
        <w:t>谈判文件的规定、乙方谈判响应文件及谈判时乙方做出的书面承诺，依法签订本合同。</w:t>
      </w:r>
    </w:p>
    <w:p w14:paraId="7CD4A29C">
      <w:pPr>
        <w:spacing w:before="156" w:beforeLines="50" w:line="360" w:lineRule="auto"/>
        <w:ind w:firstLine="422" w:firstLineChars="200"/>
        <w:rPr>
          <w:b/>
          <w:color w:val="000000" w:themeColor="text1"/>
          <w:szCs w:val="21"/>
          <w14:textFill>
            <w14:solidFill>
              <w14:schemeClr w14:val="tx1"/>
            </w14:solidFill>
          </w14:textFill>
        </w:rPr>
      </w:pPr>
    </w:p>
    <w:p w14:paraId="046F2F30">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一、项目采购内容</w:t>
      </w:r>
    </w:p>
    <w:p w14:paraId="3872094C">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r>
        <w:rPr>
          <w:rFonts w:hint="eastAsia" w:ascii="宋体" w:hAnsi="宋体"/>
          <w:color w:val="000000" w:themeColor="text1"/>
          <w:szCs w:val="21"/>
          <w14:textFill>
            <w14:solidFill>
              <w14:schemeClr w14:val="tx1"/>
            </w14:solidFill>
          </w14:textFill>
        </w:rPr>
        <w:t>采购内容包括乙方按照甲方具体要求提供</w:t>
      </w:r>
      <w:r>
        <w:rPr>
          <w:rFonts w:hint="eastAsia" w:ascii="宋体" w:hAnsi="宋体"/>
          <w:b/>
          <w:bCs/>
          <w:color w:val="000000" w:themeColor="text1"/>
          <w:szCs w:val="21"/>
          <w:u w:val="single"/>
          <w14:textFill>
            <w14:solidFill>
              <w14:schemeClr w14:val="tx1"/>
            </w14:solidFill>
          </w14:textFill>
        </w:rPr>
        <w:t>“</w:t>
      </w:r>
      <w:r>
        <w:rPr>
          <w:rFonts w:hint="eastAsia"/>
          <w:b/>
          <w:bCs/>
          <w:color w:val="000000" w:themeColor="text1"/>
          <w:u w:val="single"/>
          <w14:textFill>
            <w14:solidFill>
              <w14:schemeClr w14:val="tx1"/>
            </w14:solidFill>
          </w14:textFill>
        </w:rPr>
        <w:t>江苏省广电有线信息网络股份有限公司GPU算力资源租用服务</w:t>
      </w:r>
      <w:r>
        <w:rPr>
          <w:rFonts w:hint="eastAsia" w:ascii="宋体" w:hAnsi="宋体"/>
          <w:b/>
          <w:bCs/>
          <w:color w:val="000000" w:themeColor="text1"/>
          <w:szCs w:val="21"/>
          <w:u w:val="single"/>
          <w14:textFill>
            <w14:solidFill>
              <w14:schemeClr w14:val="tx1"/>
            </w14:solidFill>
          </w14:textFill>
        </w:rPr>
        <w:t>”项目</w:t>
      </w:r>
      <w:r>
        <w:rPr>
          <w:rFonts w:hint="eastAsia"/>
          <w:color w:val="000000" w:themeColor="text1"/>
          <w:szCs w:val="21"/>
          <w14:textFill>
            <w14:solidFill>
              <w14:schemeClr w14:val="tx1"/>
            </w14:solidFill>
          </w14:textFill>
        </w:rPr>
        <w:t>所需的算力及相关服务租用，并由乙方直接完成所有系统的</w:t>
      </w:r>
      <w:r>
        <w:rPr>
          <w:rFonts w:hint="eastAsia"/>
          <w:bCs/>
          <w:color w:val="000000" w:themeColor="text1"/>
          <w:szCs w:val="21"/>
          <w14:textFill>
            <w14:solidFill>
              <w14:schemeClr w14:val="tx1"/>
            </w14:solidFill>
          </w14:textFill>
        </w:rPr>
        <w:t>规划</w:t>
      </w:r>
      <w:r>
        <w:rPr>
          <w:bCs/>
          <w:color w:val="000000" w:themeColor="text1"/>
          <w:szCs w:val="21"/>
          <w14:textFill>
            <w14:solidFill>
              <w14:schemeClr w14:val="tx1"/>
            </w14:solidFill>
          </w14:textFill>
        </w:rPr>
        <w:t>、设计、</w:t>
      </w:r>
      <w:r>
        <w:rPr>
          <w:rFonts w:hint="eastAsia"/>
          <w:bCs/>
          <w:color w:val="000000" w:themeColor="text1"/>
          <w:szCs w:val="21"/>
          <w14:textFill>
            <w14:solidFill>
              <w14:schemeClr w14:val="tx1"/>
            </w14:solidFill>
          </w14:textFill>
        </w:rPr>
        <w:t>安装</w:t>
      </w:r>
      <w:r>
        <w:rPr>
          <w:bCs/>
          <w:color w:val="000000" w:themeColor="text1"/>
          <w:szCs w:val="21"/>
          <w14:textFill>
            <w14:solidFill>
              <w14:schemeClr w14:val="tx1"/>
            </w14:solidFill>
          </w14:textFill>
        </w:rPr>
        <w:t>、调试、</w:t>
      </w:r>
      <w:r>
        <w:rPr>
          <w:rFonts w:hint="eastAsia"/>
          <w:bCs/>
          <w:color w:val="000000" w:themeColor="text1"/>
          <w:szCs w:val="21"/>
          <w14:textFill>
            <w14:solidFill>
              <w14:schemeClr w14:val="tx1"/>
            </w14:solidFill>
          </w14:textFill>
        </w:rPr>
        <w:t>培训</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测试、系统</w:t>
      </w:r>
      <w:r>
        <w:rPr>
          <w:bCs/>
          <w:color w:val="000000" w:themeColor="text1"/>
          <w:szCs w:val="21"/>
          <w14:textFill>
            <w14:solidFill>
              <w14:schemeClr w14:val="tx1"/>
            </w14:solidFill>
          </w14:textFill>
        </w:rPr>
        <w:t>升级、</w:t>
      </w:r>
      <w:r>
        <w:rPr>
          <w:rFonts w:hint="eastAsia"/>
          <w:bCs/>
          <w:color w:val="000000" w:themeColor="text1"/>
          <w:szCs w:val="21"/>
          <w14:textFill>
            <w14:solidFill>
              <w14:schemeClr w14:val="tx1"/>
            </w14:solidFill>
          </w14:textFill>
        </w:rPr>
        <w:t>应急</w:t>
      </w:r>
      <w:r>
        <w:rPr>
          <w:bCs/>
          <w:color w:val="000000" w:themeColor="text1"/>
          <w:szCs w:val="21"/>
          <w14:textFill>
            <w14:solidFill>
              <w14:schemeClr w14:val="tx1"/>
            </w14:solidFill>
          </w14:textFill>
        </w:rPr>
        <w:t>备份、</w:t>
      </w:r>
      <w:r>
        <w:rPr>
          <w:rFonts w:hint="eastAsia"/>
          <w:bCs/>
          <w:color w:val="000000" w:themeColor="text1"/>
          <w:szCs w:val="21"/>
          <w14:textFill>
            <w14:solidFill>
              <w14:schemeClr w14:val="tx1"/>
            </w14:solidFill>
          </w14:textFill>
        </w:rPr>
        <w:t>维修等</w:t>
      </w:r>
      <w:r>
        <w:rPr>
          <w:bCs/>
          <w:color w:val="000000" w:themeColor="text1"/>
          <w:szCs w:val="21"/>
          <w14:textFill>
            <w14:solidFill>
              <w14:schemeClr w14:val="tx1"/>
            </w14:solidFill>
          </w14:textFill>
        </w:rPr>
        <w:t>运维</w:t>
      </w:r>
      <w:r>
        <w:rPr>
          <w:color w:val="000000" w:themeColor="text1"/>
          <w:szCs w:val="21"/>
          <w14:textFill>
            <w14:solidFill>
              <w14:schemeClr w14:val="tx1"/>
            </w14:solidFill>
          </w14:textFill>
        </w:rPr>
        <w:t>工作。具体</w:t>
      </w:r>
      <w:r>
        <w:rPr>
          <w:rFonts w:hint="eastAsia"/>
          <w:color w:val="000000" w:themeColor="text1"/>
          <w:szCs w:val="21"/>
          <w14:textFill>
            <w14:solidFill>
              <w14:schemeClr w14:val="tx1"/>
            </w14:solidFill>
          </w14:textFill>
        </w:rPr>
        <w:t>租用</w:t>
      </w:r>
      <w:r>
        <w:rPr>
          <w:color w:val="000000" w:themeColor="text1"/>
          <w:szCs w:val="21"/>
          <w14:textFill>
            <w14:solidFill>
              <w14:schemeClr w14:val="tx1"/>
            </w14:solidFill>
          </w14:textFill>
        </w:rPr>
        <w:t>明细</w:t>
      </w:r>
      <w:r>
        <w:rPr>
          <w:rFonts w:hint="eastAsia"/>
          <w:color w:val="000000" w:themeColor="text1"/>
          <w:szCs w:val="21"/>
          <w14:textFill>
            <w14:solidFill>
              <w14:schemeClr w14:val="tx1"/>
            </w14:solidFill>
          </w14:textFill>
        </w:rPr>
        <w:t>要求</w:t>
      </w:r>
      <w:r>
        <w:rPr>
          <w:color w:val="000000" w:themeColor="text1"/>
          <w:szCs w:val="21"/>
          <w14:textFill>
            <w14:solidFill>
              <w14:schemeClr w14:val="tx1"/>
            </w14:solidFill>
          </w14:textFill>
        </w:rPr>
        <w:t>及总价等详见附件一。</w:t>
      </w:r>
    </w:p>
    <w:p w14:paraId="09DB7FAE">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二、合同总价</w:t>
      </w:r>
    </w:p>
    <w:p w14:paraId="44BDEC3C">
      <w:pPr>
        <w:numPr>
          <w:ilvl w:val="1"/>
          <w:numId w:val="6"/>
        </w:numPr>
        <w:tabs>
          <w:tab w:val="left" w:pos="0"/>
          <w:tab w:val="clear" w:pos="1155"/>
        </w:tabs>
        <w:spacing w:line="360" w:lineRule="auto"/>
        <w:ind w:left="0" w:firstLine="420" w:firstLineChars="200"/>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本合同所涉及软硬件设备服务期内服务</w:t>
      </w:r>
      <w:r>
        <w:rPr>
          <w:color w:val="000000" w:themeColor="text1"/>
          <w:szCs w:val="21"/>
          <w14:textFill>
            <w14:solidFill>
              <w14:schemeClr w14:val="tx1"/>
            </w14:solidFill>
          </w14:textFill>
        </w:rPr>
        <w:t>费用</w:t>
      </w:r>
      <w:r>
        <w:rPr>
          <w:rFonts w:hint="eastAsia"/>
          <w:color w:val="000000" w:themeColor="text1"/>
          <w:szCs w:val="21"/>
          <w14:textFill>
            <w14:solidFill>
              <w14:schemeClr w14:val="tx1"/>
            </w14:solidFill>
          </w14:textFill>
        </w:rPr>
        <w:t>总价为</w:t>
      </w:r>
      <w:r>
        <w:rPr>
          <w:rFonts w:hint="eastAsia" w:ascii="宋体" w:hAnsi="宋体"/>
          <w:b/>
          <w:color w:val="000000" w:themeColor="text1"/>
          <w:szCs w:val="21"/>
          <w14:textFill>
            <w14:solidFill>
              <w14:schemeClr w14:val="tx1"/>
            </w14:solidFill>
          </w14:textFill>
        </w:rPr>
        <w:t>（人民币大写）：</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圆整。</w:t>
      </w:r>
    </w:p>
    <w:p w14:paraId="451C9236">
      <w:pPr>
        <w:tabs>
          <w:tab w:val="left" w:pos="0"/>
        </w:tabs>
        <w:spacing w:line="360" w:lineRule="auto"/>
        <w:ind w:left="420" w:leftChars="200" w:firstLine="422"/>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（人民币小写）：￥：</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元。</w:t>
      </w:r>
    </w:p>
    <w:p w14:paraId="74220857">
      <w:pPr>
        <w:numPr>
          <w:ilvl w:val="1"/>
          <w:numId w:val="6"/>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合同总价系指按本合同的规定，乙方在完全履行了合同的义务后，甲方支付给乙方的服务</w:t>
      </w:r>
      <w:r>
        <w:rPr>
          <w:rFonts w:hint="eastAsia"/>
          <w:color w:val="000000" w:themeColor="text1"/>
          <w:szCs w:val="21"/>
          <w14:textFill>
            <w14:solidFill>
              <w14:schemeClr w14:val="tx1"/>
            </w14:solidFill>
          </w14:textFill>
        </w:rPr>
        <w:t>费用</w:t>
      </w:r>
      <w:r>
        <w:rPr>
          <w:color w:val="000000" w:themeColor="text1"/>
          <w:szCs w:val="21"/>
          <w14:textFill>
            <w14:solidFill>
              <w14:schemeClr w14:val="tx1"/>
            </w14:solidFill>
          </w14:textFill>
        </w:rPr>
        <w:t>，包括但不限于</w:t>
      </w:r>
      <w:r>
        <w:rPr>
          <w:rFonts w:hint="eastAsia"/>
          <w:color w:val="000000" w:themeColor="text1"/>
          <w:szCs w:val="21"/>
          <w14:textFill>
            <w14:solidFill>
              <w14:schemeClr w14:val="tx1"/>
            </w14:solidFill>
          </w14:textFill>
        </w:rPr>
        <w:t>项目的开发</w:t>
      </w:r>
      <w:r>
        <w:rPr>
          <w:color w:val="000000" w:themeColor="text1"/>
          <w:szCs w:val="21"/>
          <w14:textFill>
            <w14:solidFill>
              <w14:schemeClr w14:val="tx1"/>
            </w14:solidFill>
          </w14:textFill>
        </w:rPr>
        <w:t>费、包装费、运输费、保险费、安装调试费、检测验收费、培训费、</w:t>
      </w:r>
      <w:r>
        <w:rPr>
          <w:rFonts w:hint="eastAsia"/>
          <w:color w:val="000000" w:themeColor="text1"/>
          <w:szCs w:val="21"/>
          <w14:textFill>
            <w14:solidFill>
              <w14:schemeClr w14:val="tx1"/>
            </w14:solidFill>
          </w14:textFill>
        </w:rPr>
        <w:t>运营</w:t>
      </w:r>
      <w:r>
        <w:rPr>
          <w:color w:val="000000" w:themeColor="text1"/>
          <w:szCs w:val="21"/>
          <w14:textFill>
            <w14:solidFill>
              <w14:schemeClr w14:val="tx1"/>
            </w14:solidFill>
          </w14:textFill>
        </w:rPr>
        <w:t>与维护费</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专线费，以及与所供产品和服务有关的一切税费。</w:t>
      </w:r>
    </w:p>
    <w:p w14:paraId="58A6F2EE">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三、付款方式及期限</w:t>
      </w:r>
    </w:p>
    <w:p w14:paraId="17C28215">
      <w:pPr>
        <w:tabs>
          <w:tab w:val="left" w:pos="0"/>
        </w:tabs>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 xml:space="preserve">1.  </w:t>
      </w:r>
      <w:r>
        <w:rPr>
          <w:color w:val="000000" w:themeColor="text1"/>
          <w:szCs w:val="21"/>
          <w14:textFill>
            <w14:solidFill>
              <w14:schemeClr w14:val="tx1"/>
            </w14:solidFill>
          </w14:textFill>
        </w:rPr>
        <w:t>付款方式：</w:t>
      </w:r>
      <w:r>
        <w:rPr>
          <w:rFonts w:hint="eastAsia"/>
          <w:color w:val="000000" w:themeColor="text1"/>
          <w:szCs w:val="21"/>
          <w14:textFill>
            <w14:solidFill>
              <w14:schemeClr w14:val="tx1"/>
            </w14:solidFill>
          </w14:textFill>
        </w:rPr>
        <w:t>付款方禁止将货款划入其他账号或支付现金，合同总价的50</w:t>
      </w:r>
      <w:r>
        <w:rPr>
          <w:color w:val="000000" w:themeColor="text1"/>
          <w:szCs w:val="21"/>
          <w14:textFill>
            <w14:solidFill>
              <w14:schemeClr w14:val="tx1"/>
            </w14:solidFill>
          </w14:textFill>
        </w:rPr>
        <w:t>%以半年期银行承兑汇票支付，剩余部分以电汇或者转账的方式支付</w:t>
      </w:r>
      <w:r>
        <w:rPr>
          <w:rFonts w:hint="eastAsia"/>
          <w:color w:val="000000" w:themeColor="text1"/>
          <w:szCs w:val="21"/>
          <w14:textFill>
            <w14:solidFill>
              <w14:schemeClr w14:val="tx1"/>
            </w14:solidFill>
          </w14:textFill>
        </w:rPr>
        <w:t>。如收款方的账号和开户行变更，须及时以书面形式通知付款方，通知上必须同时盖有收款方的合同章和财务章。所有付款前，乙方必须按照国家有关发票管理规定，向甲方提供相应的增值税专用发票，由甲方审核认为无误后再支付相应款额，否则给甲方造成的损失由乙方承担</w:t>
      </w:r>
      <w:r>
        <w:rPr>
          <w:rFonts w:hint="eastAsia" w:ascii="宋体" w:hAnsi="宋体"/>
          <w:color w:val="000000" w:themeColor="text1"/>
          <w:szCs w:val="21"/>
          <w14:textFill>
            <w14:solidFill>
              <w14:schemeClr w14:val="tx1"/>
            </w14:solidFill>
          </w14:textFill>
        </w:rPr>
        <w:t>。</w:t>
      </w:r>
    </w:p>
    <w:p w14:paraId="1C052F81">
      <w:pPr>
        <w:tabs>
          <w:tab w:val="left" w:pos="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付款期限：</w:t>
      </w:r>
    </w:p>
    <w:p w14:paraId="0DFC3378">
      <w:pPr>
        <w:tabs>
          <w:tab w:val="left" w:pos="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（1）本合同服务期两个月，服务期内甲方有权根据业务发展情况</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按附件一中约定的算力租用单价调整算力租用数量和租用时长，乙方须完全配合甲方的调整计划。服务期起始时间以甲方首次启用相应算力开始计算，服务到期</w:t>
      </w:r>
      <w:r>
        <w:rPr>
          <w:color w:val="000000" w:themeColor="text1"/>
          <w:szCs w:val="21"/>
          <w14:textFill>
            <w14:solidFill>
              <w14:schemeClr w14:val="tx1"/>
            </w14:solidFill>
          </w14:textFill>
        </w:rPr>
        <w:t>后甲方根据</w:t>
      </w:r>
      <w:r>
        <w:rPr>
          <w:rFonts w:hint="eastAsia"/>
          <w:color w:val="000000" w:themeColor="text1"/>
          <w:szCs w:val="21"/>
          <w14:textFill>
            <w14:solidFill>
              <w14:schemeClr w14:val="tx1"/>
            </w14:solidFill>
          </w14:textFill>
        </w:rPr>
        <w:t>业务发展计划及</w:t>
      </w:r>
      <w:r>
        <w:rPr>
          <w:color w:val="000000" w:themeColor="text1"/>
          <w:szCs w:val="21"/>
          <w14:textFill>
            <w14:solidFill>
              <w14:schemeClr w14:val="tx1"/>
            </w14:solidFill>
          </w14:textFill>
        </w:rPr>
        <w:t>合同履行情况决定是否与乙方续签合同</w:t>
      </w:r>
      <w:r>
        <w:rPr>
          <w:rFonts w:hint="eastAsia"/>
          <w:color w:val="000000" w:themeColor="text1"/>
          <w:szCs w:val="21"/>
          <w14:textFill>
            <w14:solidFill>
              <w14:schemeClr w14:val="tx1"/>
            </w14:solidFill>
          </w14:textFill>
        </w:rPr>
        <w:t>或者另行签订合同。</w:t>
      </w:r>
    </w:p>
    <w:p w14:paraId="116140E6">
      <w:pPr>
        <w:numPr>
          <w:ilvl w:val="0"/>
          <w:numId w:val="0"/>
        </w:numPr>
        <w:tabs>
          <w:tab w:val="left" w:pos="0"/>
        </w:tabs>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2</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服务期结束后</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个工作日内，甲方一次性支付乙方合同总价，即</w:t>
      </w:r>
      <w:r>
        <w:rPr>
          <w:rFonts w:hint="eastAsia"/>
          <w:b/>
          <w:bCs/>
          <w:color w:val="000000" w:themeColor="text1"/>
          <w:szCs w:val="21"/>
          <w14:textFill>
            <w14:solidFill>
              <w14:schemeClr w14:val="tx1"/>
            </w14:solidFill>
          </w14:textFill>
        </w:rPr>
        <w:t>人民币</w:t>
      </w:r>
      <w:r>
        <w:rPr>
          <w:rFonts w:hint="eastAsia"/>
          <w:b/>
          <w:bCs/>
          <w:color w:val="000000" w:themeColor="text1"/>
          <w:szCs w:val="21"/>
          <w:u w:val="single"/>
          <w14:textFill>
            <w14:solidFill>
              <w14:schemeClr w14:val="tx1"/>
            </w14:solidFill>
          </w14:textFill>
        </w:rPr>
        <w:t xml:space="preserve">            </w:t>
      </w:r>
      <w:r>
        <w:rPr>
          <w:rFonts w:hint="eastAsia"/>
          <w:b/>
          <w:bCs/>
          <w:color w:val="000000" w:themeColor="text1"/>
          <w:szCs w:val="21"/>
          <w14:textFill>
            <w14:solidFill>
              <w14:schemeClr w14:val="tx1"/>
            </w14:solidFill>
          </w14:textFill>
        </w:rPr>
        <w:t>元</w:t>
      </w:r>
      <w:r>
        <w:rPr>
          <w:rFonts w:hint="eastAsia"/>
          <w:color w:val="000000" w:themeColor="text1"/>
          <w:szCs w:val="21"/>
          <w14:textFill>
            <w14:solidFill>
              <w14:schemeClr w14:val="tx1"/>
            </w14:solidFill>
          </w14:textFill>
        </w:rPr>
        <w:t>；如因甲方调整算力使用数量和时长导致合同总价发生变更，乙方应提供相应证明，甲方对上述证明核实无误后在</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个工作日内，一次性支付变更后的合同总价。</w:t>
      </w:r>
    </w:p>
    <w:p w14:paraId="3E6F6FFA">
      <w:pPr>
        <w:numPr>
          <w:ilvl w:val="0"/>
          <w:numId w:val="0"/>
        </w:numPr>
        <w:tabs>
          <w:tab w:val="left" w:pos="0"/>
        </w:tabs>
        <w:spacing w:line="360" w:lineRule="auto"/>
        <w:ind w:firstLine="420" w:firstLineChars="200"/>
        <w:rPr>
          <w:color w:val="FF0000"/>
          <w:szCs w:val="21"/>
          <w:highlight w:val="yellow"/>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w:t>
      </w:r>
      <w:r>
        <w:rPr>
          <w:rFonts w:hint="eastAsia"/>
          <w:color w:val="auto"/>
          <w:szCs w:val="21"/>
          <w:highlight w:val="none"/>
        </w:rPr>
        <w:t>服务到期一年内，若甲方因业务连续性要求无法立即停止使用，则乙方仍按不高于本合同约定的价格进行计费，甲方可</w:t>
      </w:r>
      <w:r>
        <w:rPr>
          <w:color w:val="auto"/>
          <w:szCs w:val="21"/>
          <w:highlight w:val="none"/>
        </w:rPr>
        <w:t>决定是否与乙方续签合同</w:t>
      </w:r>
      <w:r>
        <w:rPr>
          <w:rFonts w:hint="eastAsia"/>
          <w:color w:val="auto"/>
          <w:szCs w:val="21"/>
          <w:highlight w:val="none"/>
        </w:rPr>
        <w:t>或者另行签订合同，双方达成一致后对超过本合同服务期后产生的费用进行结算。</w:t>
      </w:r>
    </w:p>
    <w:p w14:paraId="54279D97">
      <w:pPr>
        <w:numPr>
          <w:ilvl w:val="0"/>
          <w:numId w:val="0"/>
        </w:numPr>
        <w:tabs>
          <w:tab w:val="left" w:pos="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服务期间如乙方违反本合同第十五条廉洁条款第二点，甲方有权全部扣除服务费总额的10%，若此时服务费总额已经全部支付，甲方有权根据此合同向乙方进一步追诉。</w:t>
      </w:r>
    </w:p>
    <w:p w14:paraId="0ED5868C">
      <w:pPr>
        <w:tabs>
          <w:tab w:val="left" w:pos="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质量保证金：质量保证金包含对履约的保证、对质量的保证和廉政的保证。在合同履行过程中，如乙方应承担履约保证、质量保证或廉政保证中约定的保证责任，甲方有权直接在</w:t>
      </w:r>
      <w:r>
        <w:rPr>
          <w:rFonts w:hint="eastAsia"/>
          <w:color w:val="000000" w:themeColor="text1"/>
          <w14:textFill>
            <w14:solidFill>
              <w14:schemeClr w14:val="tx1"/>
            </w14:solidFill>
          </w14:textFill>
        </w:rPr>
        <w:t>应付服务费</w:t>
      </w:r>
      <w:r>
        <w:rPr>
          <w:color w:val="000000" w:themeColor="text1"/>
          <w14:textFill>
            <w14:solidFill>
              <w14:schemeClr w14:val="tx1"/>
            </w14:solidFill>
          </w14:textFill>
        </w:rPr>
        <w:t>中扣除。</w:t>
      </w:r>
    </w:p>
    <w:p w14:paraId="3097506C">
      <w:pPr>
        <w:tabs>
          <w:tab w:val="left" w:pos="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4、付款前，乙方必须按照国家有关发票管理规定，向甲方开具服务类</w:t>
      </w:r>
      <w:r>
        <w:rPr>
          <w:rFonts w:hint="eastAsia"/>
          <w:color w:val="000000" w:themeColor="text1"/>
          <w14:textFill>
            <w14:solidFill>
              <w14:schemeClr w14:val="tx1"/>
            </w14:solidFill>
          </w14:textFill>
        </w:rPr>
        <w:t>增值税专用发票</w:t>
      </w:r>
      <w:r>
        <w:rPr>
          <w:rFonts w:hint="eastAsia"/>
          <w:color w:val="000000" w:themeColor="text1"/>
          <w:szCs w:val="21"/>
          <w14:textFill>
            <w14:solidFill>
              <w14:schemeClr w14:val="tx1"/>
            </w14:solidFill>
          </w14:textFill>
        </w:rPr>
        <w:t>，由甲方审核认为无误后再支付相应款项，否则给甲方造成的损失由乙方承担。</w:t>
      </w:r>
    </w:p>
    <w:p w14:paraId="37F5157A">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四、扣款细则</w:t>
      </w:r>
    </w:p>
    <w:p w14:paraId="5045C5C8">
      <w:pPr>
        <w:spacing w:line="360" w:lineRule="auto"/>
        <w:ind w:firstLine="840" w:firstLineChars="4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乙方履行义务期间，存在以下情况时，甲方可视情况进行相应的扣款。</w:t>
      </w:r>
    </w:p>
    <w:tbl>
      <w:tblPr>
        <w:tblStyle w:val="53"/>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57"/>
        <w:gridCol w:w="2700"/>
        <w:gridCol w:w="1884"/>
        <w:gridCol w:w="1360"/>
        <w:gridCol w:w="1810"/>
      </w:tblGrid>
      <w:tr w14:paraId="5F8A5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74" w:type="dxa"/>
            <w:vAlign w:val="center"/>
          </w:tcPr>
          <w:p w14:paraId="1FC1690B">
            <w:pPr>
              <w:spacing w:line="360" w:lineRule="auto"/>
              <w:jc w:val="both"/>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157" w:type="dxa"/>
            <w:vAlign w:val="center"/>
          </w:tcPr>
          <w:p w14:paraId="59E7873D">
            <w:pPr>
              <w:spacing w:line="360" w:lineRule="auto"/>
              <w:jc w:val="both"/>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费用类别</w:t>
            </w:r>
          </w:p>
        </w:tc>
        <w:tc>
          <w:tcPr>
            <w:tcW w:w="2700" w:type="dxa"/>
            <w:vAlign w:val="center"/>
          </w:tcPr>
          <w:p w14:paraId="223C0A80">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适用状况</w:t>
            </w:r>
          </w:p>
        </w:tc>
        <w:tc>
          <w:tcPr>
            <w:tcW w:w="1884" w:type="dxa"/>
            <w:vAlign w:val="center"/>
          </w:tcPr>
          <w:p w14:paraId="746B9415">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执行方法</w:t>
            </w:r>
          </w:p>
        </w:tc>
        <w:tc>
          <w:tcPr>
            <w:tcW w:w="1360" w:type="dxa"/>
            <w:vAlign w:val="center"/>
          </w:tcPr>
          <w:p w14:paraId="5E1CE3B0">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罚款金额</w:t>
            </w:r>
          </w:p>
        </w:tc>
        <w:tc>
          <w:tcPr>
            <w:tcW w:w="1810" w:type="dxa"/>
            <w:vAlign w:val="center"/>
          </w:tcPr>
          <w:p w14:paraId="1557ACBC">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14:paraId="41F24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674" w:type="dxa"/>
            <w:vAlign w:val="center"/>
          </w:tcPr>
          <w:p w14:paraId="59CFEE06">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157" w:type="dxa"/>
            <w:vAlign w:val="center"/>
          </w:tcPr>
          <w:p w14:paraId="18EB3C8A">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项目人员缺勤费用</w:t>
            </w:r>
          </w:p>
        </w:tc>
        <w:tc>
          <w:tcPr>
            <w:tcW w:w="2700" w:type="dxa"/>
            <w:vAlign w:val="center"/>
          </w:tcPr>
          <w:p w14:paraId="137E443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乙方未按照甲方的考勤要求开展工作或未经甲方同意擅自更换项目人员。</w:t>
            </w:r>
          </w:p>
        </w:tc>
        <w:tc>
          <w:tcPr>
            <w:tcW w:w="1884" w:type="dxa"/>
            <w:vAlign w:val="center"/>
          </w:tcPr>
          <w:p w14:paraId="6E0CA44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由甲方项目经理提交项目考勤表</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提交财务部扣款</w:t>
            </w:r>
          </w:p>
        </w:tc>
        <w:tc>
          <w:tcPr>
            <w:tcW w:w="1360" w:type="dxa"/>
            <w:vAlign w:val="center"/>
          </w:tcPr>
          <w:p w14:paraId="76077356">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人天</w:t>
            </w:r>
          </w:p>
        </w:tc>
        <w:tc>
          <w:tcPr>
            <w:tcW w:w="1810" w:type="dxa"/>
            <w:vAlign w:val="center"/>
          </w:tcPr>
          <w:p w14:paraId="16E09CF6">
            <w:pPr>
              <w:spacing w:line="360" w:lineRule="auto"/>
              <w:rPr>
                <w:rFonts w:hint="eastAsia" w:ascii="宋体" w:hAnsi="宋体"/>
                <w:color w:val="000000" w:themeColor="text1"/>
                <w:szCs w:val="21"/>
                <w14:textFill>
                  <w14:solidFill>
                    <w14:schemeClr w14:val="tx1"/>
                  </w14:solidFill>
                </w14:textFill>
              </w:rPr>
            </w:pPr>
          </w:p>
        </w:tc>
      </w:tr>
      <w:tr w14:paraId="1A8B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674" w:type="dxa"/>
            <w:vAlign w:val="center"/>
          </w:tcPr>
          <w:p w14:paraId="059EF5F0">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157" w:type="dxa"/>
            <w:vAlign w:val="center"/>
          </w:tcPr>
          <w:p w14:paraId="3E4DA53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项目进度滞后费用</w:t>
            </w:r>
          </w:p>
        </w:tc>
        <w:tc>
          <w:tcPr>
            <w:tcW w:w="2700" w:type="dxa"/>
            <w:vAlign w:val="center"/>
          </w:tcPr>
          <w:p w14:paraId="43C8358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乙方未按照提交的项目进度按时完成阶段性工作。</w:t>
            </w:r>
          </w:p>
        </w:tc>
        <w:tc>
          <w:tcPr>
            <w:tcW w:w="1884" w:type="dxa"/>
            <w:vAlign w:val="center"/>
          </w:tcPr>
          <w:p w14:paraId="72BB44C0">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由甲方项目经理完成项目进度确认表，提交财务部扣款</w:t>
            </w:r>
          </w:p>
        </w:tc>
        <w:tc>
          <w:tcPr>
            <w:tcW w:w="1360" w:type="dxa"/>
            <w:vAlign w:val="center"/>
          </w:tcPr>
          <w:p w14:paraId="1549747C">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天</w:t>
            </w:r>
          </w:p>
        </w:tc>
        <w:tc>
          <w:tcPr>
            <w:tcW w:w="1810" w:type="dxa"/>
            <w:vAlign w:val="center"/>
          </w:tcPr>
          <w:p w14:paraId="3E0680E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由于项目风险等不可抗力原因，进度滞后五个工作日内，提供合理说明经项目经理确认后可免责。</w:t>
            </w:r>
          </w:p>
        </w:tc>
      </w:tr>
      <w:tr w14:paraId="32F03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674" w:type="dxa"/>
            <w:vAlign w:val="center"/>
          </w:tcPr>
          <w:p w14:paraId="07C93259">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157" w:type="dxa"/>
            <w:vAlign w:val="center"/>
          </w:tcPr>
          <w:p w14:paraId="4C9D415F">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产品质量不合格</w:t>
            </w:r>
          </w:p>
        </w:tc>
        <w:tc>
          <w:tcPr>
            <w:tcW w:w="2700" w:type="dxa"/>
            <w:vAlign w:val="center"/>
          </w:tcPr>
          <w:p w14:paraId="47E1A67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乙方提交的服务不满足事先约定的质量要求。</w:t>
            </w:r>
          </w:p>
        </w:tc>
        <w:tc>
          <w:tcPr>
            <w:tcW w:w="1884" w:type="dxa"/>
            <w:vAlign w:val="center"/>
          </w:tcPr>
          <w:p w14:paraId="36BBEB9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由甲方项目经理完成产品质量缺陷说明，提交财务部扣款</w:t>
            </w:r>
          </w:p>
        </w:tc>
        <w:tc>
          <w:tcPr>
            <w:tcW w:w="1360" w:type="dxa"/>
            <w:vAlign w:val="center"/>
          </w:tcPr>
          <w:p w14:paraId="624AAB58">
            <w:pPr>
              <w:spacing w:line="360" w:lineRule="auto"/>
              <w:jc w:val="left"/>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5%~10%</w:t>
            </w:r>
          </w:p>
        </w:tc>
        <w:tc>
          <w:tcPr>
            <w:tcW w:w="1810" w:type="dxa"/>
            <w:vAlign w:val="center"/>
          </w:tcPr>
          <w:p w14:paraId="659C297B">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视问题严重程度</w:t>
            </w:r>
          </w:p>
        </w:tc>
      </w:tr>
      <w:tr w14:paraId="33EF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457C236B">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157" w:type="dxa"/>
            <w:vAlign w:val="center"/>
          </w:tcPr>
          <w:p w14:paraId="4667917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技术支持延迟或售后不合格</w:t>
            </w:r>
          </w:p>
        </w:tc>
        <w:tc>
          <w:tcPr>
            <w:tcW w:w="2700" w:type="dxa"/>
            <w:vAlign w:val="center"/>
          </w:tcPr>
          <w:p w14:paraId="0E447B0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乙方未在要求的时间内解决甲方提出的符合包修或技术支持范围的问题</w:t>
            </w:r>
          </w:p>
        </w:tc>
        <w:tc>
          <w:tcPr>
            <w:tcW w:w="1884" w:type="dxa"/>
            <w:vAlign w:val="center"/>
          </w:tcPr>
          <w:p w14:paraId="74301AC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由甲方项目经理完成售后反馈表，提交财务部扣款</w:t>
            </w:r>
          </w:p>
        </w:tc>
        <w:tc>
          <w:tcPr>
            <w:tcW w:w="1360" w:type="dxa"/>
            <w:vAlign w:val="center"/>
          </w:tcPr>
          <w:p w14:paraId="7480F5D9">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000~5000</w:t>
            </w:r>
            <w:r>
              <w:rPr>
                <w:rFonts w:hAnsi="宋体"/>
                <w:color w:val="000000" w:themeColor="text1"/>
                <w:szCs w:val="21"/>
                <w14:textFill>
                  <w14:solidFill>
                    <w14:schemeClr w14:val="tx1"/>
                  </w14:solidFill>
                </w14:textFill>
              </w:rPr>
              <w:t>元</w:t>
            </w:r>
          </w:p>
        </w:tc>
        <w:tc>
          <w:tcPr>
            <w:tcW w:w="1810" w:type="dxa"/>
            <w:vAlign w:val="center"/>
          </w:tcPr>
          <w:p w14:paraId="12647BD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视问题严重程度</w:t>
            </w:r>
          </w:p>
        </w:tc>
      </w:tr>
      <w:tr w14:paraId="5A314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16080DAF">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157" w:type="dxa"/>
            <w:vAlign w:val="center"/>
          </w:tcPr>
          <w:p w14:paraId="4E01B01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文档缺失或质量不合格</w:t>
            </w:r>
          </w:p>
        </w:tc>
        <w:tc>
          <w:tcPr>
            <w:tcW w:w="2700" w:type="dxa"/>
            <w:vAlign w:val="center"/>
          </w:tcPr>
          <w:p w14:paraId="31CD411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乙方未提供或提供的技术规范、培训材料等文档</w:t>
            </w:r>
          </w:p>
        </w:tc>
        <w:tc>
          <w:tcPr>
            <w:tcW w:w="1884" w:type="dxa"/>
            <w:vAlign w:val="center"/>
          </w:tcPr>
          <w:p w14:paraId="2A45F36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由甲方项目经理确认文档条目，提交财务部扣款</w:t>
            </w:r>
          </w:p>
        </w:tc>
        <w:tc>
          <w:tcPr>
            <w:tcW w:w="1360" w:type="dxa"/>
            <w:vAlign w:val="center"/>
          </w:tcPr>
          <w:p w14:paraId="58989D06">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1,000~5,000</w:t>
            </w:r>
            <w:r>
              <w:rPr>
                <w:rFonts w:hAnsi="宋体"/>
                <w:color w:val="000000" w:themeColor="text1"/>
                <w:szCs w:val="21"/>
                <w14:textFill>
                  <w14:solidFill>
                    <w14:schemeClr w14:val="tx1"/>
                  </w14:solidFill>
                </w14:textFill>
              </w:rPr>
              <w:t>元</w:t>
            </w:r>
          </w:p>
        </w:tc>
        <w:tc>
          <w:tcPr>
            <w:tcW w:w="1810" w:type="dxa"/>
            <w:vAlign w:val="center"/>
          </w:tcPr>
          <w:p w14:paraId="71CCD5C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视文档重要性</w:t>
            </w:r>
          </w:p>
        </w:tc>
      </w:tr>
    </w:tbl>
    <w:p w14:paraId="2E846437">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五、产品的质量要求</w:t>
      </w:r>
    </w:p>
    <w:p w14:paraId="2805532B">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乙方所提供产品</w:t>
      </w:r>
      <w:r>
        <w:rPr>
          <w:rFonts w:hint="eastAsia"/>
          <w:color w:val="000000" w:themeColor="text1"/>
          <w:szCs w:val="21"/>
          <w14:textFill>
            <w14:solidFill>
              <w14:schemeClr w14:val="tx1"/>
            </w14:solidFill>
          </w14:textFill>
        </w:rPr>
        <w:t>和</w:t>
      </w:r>
      <w:r>
        <w:rPr>
          <w:color w:val="000000" w:themeColor="text1"/>
          <w:szCs w:val="21"/>
          <w14:textFill>
            <w14:solidFill>
              <w14:schemeClr w14:val="tx1"/>
            </w14:solidFill>
          </w14:textFill>
        </w:rPr>
        <w:t>服务的</w:t>
      </w:r>
      <w:r>
        <w:rPr>
          <w:rFonts w:hint="eastAsia"/>
          <w:color w:val="000000" w:themeColor="text1"/>
          <w:szCs w:val="21"/>
          <w14:textFill>
            <w14:solidFill>
              <w14:schemeClr w14:val="tx1"/>
            </w14:solidFill>
          </w14:textFill>
        </w:rPr>
        <w:t>功能</w:t>
      </w:r>
      <w:r>
        <w:rPr>
          <w:color w:val="000000" w:themeColor="text1"/>
          <w:szCs w:val="21"/>
          <w14:textFill>
            <w14:solidFill>
              <w14:schemeClr w14:val="tx1"/>
            </w14:solidFill>
          </w14:textFill>
        </w:rPr>
        <w:t>、技术指标</w:t>
      </w:r>
      <w:r>
        <w:rPr>
          <w:rFonts w:hint="eastAsia"/>
          <w:color w:val="000000" w:themeColor="text1"/>
          <w:szCs w:val="21"/>
          <w14:textFill>
            <w14:solidFill>
              <w14:schemeClr w14:val="tx1"/>
            </w14:solidFill>
          </w14:textFill>
        </w:rPr>
        <w:t>、性能和</w:t>
      </w:r>
      <w:r>
        <w:rPr>
          <w:color w:val="000000" w:themeColor="text1"/>
          <w:szCs w:val="21"/>
          <w14:textFill>
            <w14:solidFill>
              <w14:schemeClr w14:val="tx1"/>
            </w14:solidFill>
          </w14:textFill>
        </w:rPr>
        <w:t>服务实现必须完全</w:t>
      </w:r>
      <w:r>
        <w:rPr>
          <w:rFonts w:hint="eastAsia"/>
          <w:color w:val="000000" w:themeColor="text1"/>
          <w:szCs w:val="21"/>
          <w14:textFill>
            <w14:solidFill>
              <w14:schemeClr w14:val="tx1"/>
            </w14:solidFill>
          </w14:textFill>
        </w:rPr>
        <w:t>遵守响应</w:t>
      </w:r>
      <w:r>
        <w:rPr>
          <w:color w:val="000000" w:themeColor="text1"/>
          <w:szCs w:val="21"/>
          <w14:textFill>
            <w14:solidFill>
              <w14:schemeClr w14:val="tx1"/>
            </w14:solidFill>
          </w14:textFill>
        </w:rPr>
        <w:t>文件和</w:t>
      </w:r>
      <w:r>
        <w:rPr>
          <w:rFonts w:hint="eastAsia"/>
          <w:color w:val="000000" w:themeColor="text1"/>
          <w:szCs w:val="21"/>
          <w14:textFill>
            <w14:solidFill>
              <w14:schemeClr w14:val="tx1"/>
            </w14:solidFill>
          </w14:textFill>
        </w:rPr>
        <w:t>谈判</w:t>
      </w:r>
      <w:r>
        <w:rPr>
          <w:color w:val="000000" w:themeColor="text1"/>
          <w:szCs w:val="21"/>
          <w14:textFill>
            <w14:solidFill>
              <w14:schemeClr w14:val="tx1"/>
            </w14:solidFill>
          </w14:textFill>
        </w:rPr>
        <w:t>时做出的书面承诺；乙方保证所提供的</w:t>
      </w:r>
      <w:r>
        <w:rPr>
          <w:rFonts w:hint="eastAsia"/>
          <w:color w:val="000000" w:themeColor="text1"/>
          <w:szCs w:val="21"/>
          <w14:textFill>
            <w14:solidFill>
              <w14:schemeClr w14:val="tx1"/>
            </w14:solidFill>
          </w14:textFill>
        </w:rPr>
        <w:t>产</w:t>
      </w:r>
      <w:r>
        <w:rPr>
          <w:color w:val="000000" w:themeColor="text1"/>
          <w:szCs w:val="21"/>
          <w14:textFill>
            <w14:solidFill>
              <w14:schemeClr w14:val="tx1"/>
            </w14:solidFill>
          </w14:textFill>
        </w:rPr>
        <w:t>品</w:t>
      </w:r>
      <w:r>
        <w:rPr>
          <w:rFonts w:hint="eastAsia"/>
          <w:color w:val="000000" w:themeColor="text1"/>
          <w:szCs w:val="21"/>
          <w14:textFill>
            <w14:solidFill>
              <w14:schemeClr w14:val="tx1"/>
            </w14:solidFill>
          </w14:textFill>
        </w:rPr>
        <w:t>和</w:t>
      </w:r>
      <w:r>
        <w:rPr>
          <w:color w:val="000000" w:themeColor="text1"/>
          <w:szCs w:val="21"/>
          <w14:textFill>
            <w14:solidFill>
              <w14:schemeClr w14:val="tx1"/>
            </w14:solidFill>
          </w14:textFill>
        </w:rPr>
        <w:t>服务</w:t>
      </w:r>
      <w:r>
        <w:rPr>
          <w:rFonts w:hint="eastAsia"/>
          <w:color w:val="000000" w:themeColor="text1"/>
          <w:szCs w:val="21"/>
          <w14:textFill>
            <w14:solidFill>
              <w14:schemeClr w14:val="tx1"/>
            </w14:solidFill>
          </w14:textFill>
        </w:rPr>
        <w:t>合法合规</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不存在权利瑕疵，并且符合相应技术规定的品质和规格要求，若技术性能无相应说明，则按国家或国际有关部门最新颁布的标准及规范为准。</w:t>
      </w:r>
    </w:p>
    <w:p w14:paraId="6F547382">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六、系统提交</w:t>
      </w:r>
    </w:p>
    <w:p w14:paraId="538753FE">
      <w:pPr>
        <w:numPr>
          <w:ilvl w:val="0"/>
          <w:numId w:val="7"/>
        </w:numPr>
        <w:tabs>
          <w:tab w:val="left" w:pos="0"/>
          <w:tab w:val="left" w:pos="426"/>
          <w:tab w:val="clear" w:pos="1155"/>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乙方提交</w:t>
      </w:r>
      <w:r>
        <w:rPr>
          <w:color w:val="000000" w:themeColor="text1"/>
          <w:szCs w:val="21"/>
          <w14:textFill>
            <w14:solidFill>
              <w14:schemeClr w14:val="tx1"/>
            </w14:solidFill>
          </w14:textFill>
        </w:rPr>
        <w:t>时应提供</w:t>
      </w:r>
      <w:r>
        <w:rPr>
          <w:rFonts w:hint="eastAsia" w:ascii="宋体" w:hAnsi="宋体"/>
          <w:color w:val="000000" w:themeColor="text1"/>
          <w:szCs w:val="21"/>
          <w14:textFill>
            <w14:solidFill>
              <w14:schemeClr w14:val="tx1"/>
            </w14:solidFill>
          </w14:textFill>
        </w:rPr>
        <w:t>采购</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中所要求提交的资料。</w:t>
      </w:r>
    </w:p>
    <w:p w14:paraId="09AE0ABF">
      <w:pPr>
        <w:numPr>
          <w:ilvl w:val="0"/>
          <w:numId w:val="7"/>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算力资源启用后</w:t>
      </w:r>
      <w:r>
        <w:rPr>
          <w:color w:val="000000" w:themeColor="text1"/>
          <w:szCs w:val="21"/>
          <w14:textFill>
            <w14:solidFill>
              <w14:schemeClr w14:val="tx1"/>
            </w14:solidFill>
          </w14:textFill>
        </w:rPr>
        <w:t>，甲方负责清点</w:t>
      </w:r>
      <w:r>
        <w:rPr>
          <w:rFonts w:hint="eastAsia"/>
          <w:color w:val="000000" w:themeColor="text1"/>
          <w:szCs w:val="21"/>
          <w14:textFill>
            <w14:solidFill>
              <w14:schemeClr w14:val="tx1"/>
            </w14:solidFill>
          </w14:textFill>
        </w:rPr>
        <w:t>资源内容</w:t>
      </w:r>
      <w:r>
        <w:rPr>
          <w:color w:val="000000" w:themeColor="text1"/>
          <w:szCs w:val="21"/>
          <w14:textFill>
            <w14:solidFill>
              <w14:schemeClr w14:val="tx1"/>
            </w14:solidFill>
          </w14:textFill>
        </w:rPr>
        <w:t>。</w:t>
      </w:r>
    </w:p>
    <w:p w14:paraId="74DF0232">
      <w:pPr>
        <w:numPr>
          <w:ilvl w:val="0"/>
          <w:numId w:val="7"/>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甲方有权拒</w:t>
      </w:r>
      <w:r>
        <w:rPr>
          <w:rFonts w:hint="eastAsia"/>
          <w:color w:val="000000" w:themeColor="text1"/>
          <w:szCs w:val="21"/>
          <w14:textFill>
            <w14:solidFill>
              <w14:schemeClr w14:val="tx1"/>
            </w14:solidFill>
          </w14:textFill>
        </w:rPr>
        <w:t>绝验</w:t>
      </w:r>
      <w:r>
        <w:rPr>
          <w:color w:val="000000" w:themeColor="text1"/>
          <w:szCs w:val="21"/>
          <w14:textFill>
            <w14:solidFill>
              <w14:schemeClr w14:val="tx1"/>
            </w14:solidFill>
          </w14:textFill>
        </w:rPr>
        <w:t>收现场的被损坏或有缺陷的或不符合</w:t>
      </w:r>
      <w:r>
        <w:rPr>
          <w:rFonts w:hint="eastAsia"/>
          <w:color w:val="000000" w:themeColor="text1"/>
          <w:szCs w:val="21"/>
          <w14:textFill>
            <w14:solidFill>
              <w14:schemeClr w14:val="tx1"/>
            </w14:solidFill>
          </w14:textFill>
        </w:rPr>
        <w:t>谈判文件、谈判响应文件和谈判时卖方做出的书面承诺的任何产品。</w:t>
      </w:r>
    </w:p>
    <w:p w14:paraId="2A643CF0">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七、运输费用</w:t>
      </w:r>
    </w:p>
    <w:p w14:paraId="628297EE">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乙方承担所有</w:t>
      </w:r>
      <w:r>
        <w:rPr>
          <w:rFonts w:hint="eastAsia"/>
          <w:color w:val="000000" w:themeColor="text1"/>
          <w:szCs w:val="21"/>
          <w14:textFill>
            <w14:solidFill>
              <w14:schemeClr w14:val="tx1"/>
            </w14:solidFill>
          </w14:textFill>
        </w:rPr>
        <w:t>因履行本合同约定的义务所产生的</w:t>
      </w:r>
      <w:r>
        <w:rPr>
          <w:color w:val="000000" w:themeColor="text1"/>
          <w:szCs w:val="21"/>
          <w14:textFill>
            <w14:solidFill>
              <w14:schemeClr w14:val="tx1"/>
            </w14:solidFill>
          </w14:textFill>
        </w:rPr>
        <w:t>运输、装卸和保险等费用。</w:t>
      </w:r>
    </w:p>
    <w:p w14:paraId="470B7002">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八、服务提供周期</w:t>
      </w:r>
    </w:p>
    <w:p w14:paraId="1CD4E1C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乙方应在20</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5年</w:t>
      </w:r>
      <w:r>
        <w:rPr>
          <w:rFonts w:ascii="宋体" w:hAnsi="宋体"/>
          <w:color w:val="000000" w:themeColor="text1"/>
          <w:szCs w:val="21"/>
          <w14:textFill>
            <w14:solidFill>
              <w14:schemeClr w14:val="tx1"/>
            </w14:solidFill>
          </w14:textFill>
        </w:rPr>
        <w:t>____</w:t>
      </w:r>
      <w:r>
        <w:rPr>
          <w:rFonts w:hint="eastAsia" w:ascii="宋体" w:hAnsi="宋体"/>
          <w:color w:val="000000" w:themeColor="text1"/>
          <w:szCs w:val="21"/>
          <w14:textFill>
            <w14:solidFill>
              <w14:schemeClr w14:val="tx1"/>
            </w14:solidFill>
          </w14:textFill>
        </w:rPr>
        <w:t>月底前完成系统供货、调试、测试以及其他相关工作。乙方</w:t>
      </w:r>
      <w:r>
        <w:rPr>
          <w:rFonts w:ascii="宋体" w:hAnsi="宋体"/>
          <w:color w:val="000000" w:themeColor="text1"/>
          <w:szCs w:val="21"/>
          <w14:textFill>
            <w14:solidFill>
              <w14:schemeClr w14:val="tx1"/>
            </w14:solidFill>
          </w14:textFill>
        </w:rPr>
        <w:t>每逾期一</w:t>
      </w:r>
      <w:r>
        <w:rPr>
          <w:rFonts w:hint="eastAsia" w:ascii="宋体" w:hAnsi="宋体"/>
          <w:color w:val="000000" w:themeColor="text1"/>
          <w:szCs w:val="21"/>
          <w14:textFill>
            <w14:solidFill>
              <w14:schemeClr w14:val="tx1"/>
            </w14:solidFill>
          </w14:textFill>
        </w:rPr>
        <w:t>天</w:t>
      </w:r>
      <w:r>
        <w:rPr>
          <w:rFonts w:ascii="宋体" w:hAnsi="宋体"/>
          <w:color w:val="000000" w:themeColor="text1"/>
          <w:szCs w:val="21"/>
          <w14:textFill>
            <w14:solidFill>
              <w14:schemeClr w14:val="tx1"/>
            </w14:solidFill>
          </w14:textFill>
        </w:rPr>
        <w:t>交</w:t>
      </w:r>
      <w:r>
        <w:rPr>
          <w:rFonts w:hint="eastAsia" w:ascii="宋体" w:hAnsi="宋体"/>
          <w:color w:val="000000" w:themeColor="text1"/>
          <w:szCs w:val="21"/>
          <w14:textFill>
            <w14:solidFill>
              <w14:schemeClr w14:val="tx1"/>
            </w14:solidFill>
          </w14:textFill>
        </w:rPr>
        <w:t>付</w:t>
      </w:r>
      <w:r>
        <w:rPr>
          <w:rFonts w:ascii="宋体" w:hAnsi="宋体"/>
          <w:color w:val="000000" w:themeColor="text1"/>
          <w:szCs w:val="21"/>
          <w14:textFill>
            <w14:solidFill>
              <w14:schemeClr w14:val="tx1"/>
            </w14:solidFill>
          </w14:textFill>
        </w:rPr>
        <w:t>（不足一</w:t>
      </w:r>
      <w:r>
        <w:rPr>
          <w:rFonts w:hint="eastAsia" w:ascii="宋体" w:hAnsi="宋体"/>
          <w:color w:val="000000" w:themeColor="text1"/>
          <w:szCs w:val="21"/>
          <w14:textFill>
            <w14:solidFill>
              <w14:schemeClr w14:val="tx1"/>
            </w14:solidFill>
          </w14:textFill>
        </w:rPr>
        <w:t>天</w:t>
      </w:r>
      <w:r>
        <w:rPr>
          <w:rFonts w:ascii="宋体" w:hAnsi="宋体"/>
          <w:color w:val="000000" w:themeColor="text1"/>
          <w:szCs w:val="21"/>
          <w14:textFill>
            <w14:solidFill>
              <w14:schemeClr w14:val="tx1"/>
            </w14:solidFill>
          </w14:textFill>
        </w:rPr>
        <w:t>按一</w:t>
      </w:r>
      <w:r>
        <w:rPr>
          <w:rFonts w:hint="eastAsia" w:ascii="宋体" w:hAnsi="宋体"/>
          <w:color w:val="000000" w:themeColor="text1"/>
          <w:szCs w:val="21"/>
          <w14:textFill>
            <w14:solidFill>
              <w14:schemeClr w14:val="tx1"/>
            </w14:solidFill>
          </w14:textFill>
        </w:rPr>
        <w:t>天</w:t>
      </w:r>
      <w:r>
        <w:rPr>
          <w:rFonts w:ascii="宋体" w:hAnsi="宋体"/>
          <w:color w:val="000000" w:themeColor="text1"/>
          <w:szCs w:val="21"/>
          <w14:textFill>
            <w14:solidFill>
              <w14:schemeClr w14:val="tx1"/>
            </w14:solidFill>
          </w14:textFill>
        </w:rPr>
        <w:t>计算），按</w:t>
      </w:r>
      <w:r>
        <w:rPr>
          <w:rFonts w:hint="eastAsia" w:ascii="宋体" w:hAnsi="宋体"/>
          <w:color w:val="000000" w:themeColor="text1"/>
          <w:szCs w:val="21"/>
          <w14:textFill>
            <w14:solidFill>
              <w14:schemeClr w14:val="tx1"/>
            </w14:solidFill>
          </w14:textFill>
        </w:rPr>
        <w:t>服务费</w:t>
      </w:r>
      <w:r>
        <w:rPr>
          <w:rFonts w:ascii="宋体" w:hAnsi="宋体"/>
          <w:color w:val="000000" w:themeColor="text1"/>
          <w:szCs w:val="21"/>
          <w14:textFill>
            <w14:solidFill>
              <w14:schemeClr w14:val="tx1"/>
            </w14:solidFill>
          </w14:textFill>
        </w:rPr>
        <w:t>总价的5‰收取滞纳金，滞纳金从</w:t>
      </w:r>
      <w:r>
        <w:rPr>
          <w:rFonts w:hint="eastAsia" w:ascii="宋体" w:hAnsi="宋体"/>
          <w:color w:val="000000" w:themeColor="text1"/>
          <w:szCs w:val="21"/>
          <w14:textFill>
            <w14:solidFill>
              <w14:schemeClr w14:val="tx1"/>
            </w14:solidFill>
          </w14:textFill>
        </w:rPr>
        <w:t>服务费</w:t>
      </w:r>
      <w:r>
        <w:rPr>
          <w:rFonts w:ascii="宋体" w:hAnsi="宋体"/>
          <w:color w:val="000000" w:themeColor="text1"/>
          <w:szCs w:val="21"/>
          <w14:textFill>
            <w14:solidFill>
              <w14:schemeClr w14:val="tx1"/>
            </w14:solidFill>
          </w14:textFill>
        </w:rPr>
        <w:t>中扣除。如逾期时间超过6周仍未能交付全部或部分</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，在不妨碍</w:t>
      </w: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其他救济手段的情况下，</w:t>
      </w: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可以向</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发出书面违约通知从而全部或部分地终止合同，并向</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索赔。</w:t>
      </w:r>
    </w:p>
    <w:p w14:paraId="2DE776F3">
      <w:pPr>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乙方逾期</w:t>
      </w:r>
      <w:r>
        <w:rPr>
          <w:rFonts w:hint="eastAsia"/>
          <w:color w:val="000000" w:themeColor="text1"/>
          <w:szCs w:val="21"/>
          <w14:textFill>
            <w14:solidFill>
              <w14:schemeClr w14:val="tx1"/>
            </w14:solidFill>
          </w14:textFill>
        </w:rPr>
        <w:t>交付</w:t>
      </w:r>
      <w:r>
        <w:rPr>
          <w:color w:val="000000" w:themeColor="text1"/>
          <w:szCs w:val="21"/>
          <w14:textFill>
            <w14:solidFill>
              <w14:schemeClr w14:val="tx1"/>
            </w14:solidFill>
          </w14:textFill>
        </w:rPr>
        <w:t>，甲方接受的，不影响甲方追究乙方逾期</w:t>
      </w:r>
      <w:r>
        <w:rPr>
          <w:rFonts w:hint="eastAsia"/>
          <w:color w:val="000000" w:themeColor="text1"/>
          <w:szCs w:val="21"/>
          <w14:textFill>
            <w14:solidFill>
              <w14:schemeClr w14:val="tx1"/>
            </w14:solidFill>
          </w14:textFill>
        </w:rPr>
        <w:t>交付</w:t>
      </w:r>
      <w:r>
        <w:rPr>
          <w:color w:val="000000" w:themeColor="text1"/>
          <w:szCs w:val="21"/>
          <w14:textFill>
            <w14:solidFill>
              <w14:schemeClr w14:val="tx1"/>
            </w14:solidFill>
          </w14:textFill>
        </w:rPr>
        <w:t>的违约责任。</w:t>
      </w:r>
    </w:p>
    <w:p w14:paraId="007C6AAF">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九</w:t>
      </w:r>
      <w:r>
        <w:rPr>
          <w:rFonts w:hint="eastAsia"/>
          <w:b/>
          <w:color w:val="000000" w:themeColor="text1"/>
          <w:szCs w:val="21"/>
          <w14:textFill>
            <w14:solidFill>
              <w14:schemeClr w14:val="tx1"/>
            </w14:solidFill>
          </w14:textFill>
        </w:rPr>
        <w:t>、售后服务</w:t>
      </w:r>
    </w:p>
    <w:p w14:paraId="4015666F">
      <w:pPr>
        <w:pStyle w:val="336"/>
        <w:keepNext w:val="0"/>
        <w:keepLines w:val="0"/>
        <w:pageBreakBefore w:val="0"/>
        <w:numPr>
          <w:ilvl w:val="0"/>
          <w:numId w:val="8"/>
        </w:numPr>
        <w:tabs>
          <w:tab w:val="left" w:pos="0"/>
          <w:tab w:val="left" w:pos="426"/>
          <w:tab w:val="clear" w:pos="1155"/>
        </w:tabs>
        <w:kinsoku/>
        <w:wordWrap/>
        <w:overflowPunct/>
        <w:topLinePunct w:val="0"/>
        <w:bidi w:val="0"/>
        <w:snapToGrid/>
        <w:spacing w:beforeLines="0" w:line="360" w:lineRule="auto"/>
        <w:ind w:left="0" w:firstLine="420" w:firstLineChars="200"/>
        <w:textAlignment w:val="auto"/>
        <w:rPr>
          <w:rFonts w:ascii="Calibri" w:hAnsi="Calibri" w:cs="Times New Roman"/>
          <w:color w:val="000000" w:themeColor="text1"/>
          <w:kern w:val="2"/>
          <w:sz w:val="21"/>
          <w:szCs w:val="21"/>
          <w14:textFill>
            <w14:solidFill>
              <w14:schemeClr w14:val="tx1"/>
            </w14:solidFill>
          </w14:textFill>
        </w:rPr>
      </w:pPr>
      <w:r>
        <w:rPr>
          <w:rFonts w:hint="eastAsia" w:ascii="Calibri" w:hAnsi="Calibri" w:cs="Times New Roman"/>
          <w:color w:val="000000" w:themeColor="text1"/>
          <w:kern w:val="2"/>
          <w:sz w:val="21"/>
          <w:szCs w:val="21"/>
          <w14:textFill>
            <w14:solidFill>
              <w14:schemeClr w14:val="tx1"/>
            </w14:solidFill>
          </w14:textFill>
        </w:rPr>
        <w:t>服务响应时间：乙方提供每周</w:t>
      </w:r>
      <w:r>
        <w:rPr>
          <w:rFonts w:ascii="Calibri" w:hAnsi="Calibri" w:cs="Times New Roman"/>
          <w:color w:val="000000" w:themeColor="text1"/>
          <w:kern w:val="2"/>
          <w:sz w:val="21"/>
          <w:szCs w:val="21"/>
          <w14:textFill>
            <w14:solidFill>
              <w14:schemeClr w14:val="tx1"/>
            </w14:solidFill>
          </w14:textFill>
        </w:rPr>
        <w:t>7</w:t>
      </w:r>
      <w:r>
        <w:rPr>
          <w:rFonts w:hint="eastAsia" w:ascii="Calibri" w:hAnsi="Calibri" w:cs="Times New Roman"/>
          <w:color w:val="000000" w:themeColor="text1"/>
          <w:kern w:val="2"/>
          <w:sz w:val="21"/>
          <w:szCs w:val="21"/>
          <w14:textFill>
            <w14:solidFill>
              <w14:schemeClr w14:val="tx1"/>
            </w14:solidFill>
          </w14:textFill>
        </w:rPr>
        <w:t>天×</w:t>
      </w:r>
      <w:r>
        <w:rPr>
          <w:rFonts w:ascii="Calibri" w:hAnsi="Calibri" w:cs="Times New Roman"/>
          <w:color w:val="000000" w:themeColor="text1"/>
          <w:kern w:val="2"/>
          <w:sz w:val="21"/>
          <w:szCs w:val="21"/>
          <w14:textFill>
            <w14:solidFill>
              <w14:schemeClr w14:val="tx1"/>
            </w14:solidFill>
          </w14:textFill>
        </w:rPr>
        <w:t>24</w:t>
      </w:r>
      <w:r>
        <w:rPr>
          <w:rFonts w:hint="eastAsia" w:ascii="Calibri" w:hAnsi="Calibri" w:cs="Times New Roman"/>
          <w:color w:val="000000" w:themeColor="text1"/>
          <w:kern w:val="2"/>
          <w:sz w:val="21"/>
          <w:szCs w:val="21"/>
          <w14:textFill>
            <w14:solidFill>
              <w14:schemeClr w14:val="tx1"/>
            </w14:solidFill>
          </w14:textFill>
        </w:rPr>
        <w:t>小时的技术支持和服务。如果出现技术问题或故障，乙方应按响应文</w:t>
      </w:r>
    </w:p>
    <w:p w14:paraId="10078645">
      <w:pPr>
        <w:keepNext w:val="0"/>
        <w:keepLines w:val="0"/>
        <w:pageBreakBefore w:val="0"/>
        <w:kinsoku/>
        <w:wordWrap/>
        <w:overflowPunct/>
        <w:topLinePunct w:val="0"/>
        <w:bidi w:val="0"/>
        <w:snapToGrid/>
        <w:spacing w:line="360" w:lineRule="auto"/>
        <w:ind w:left="0"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件和谈判时做出的书面承诺提供相应的服务和技术支持。</w:t>
      </w:r>
      <w:r>
        <w:rPr>
          <w:rFonts w:hint="eastAsia"/>
          <w:color w:val="000000" w:themeColor="text1"/>
          <w14:textFill>
            <w14:solidFill>
              <w14:schemeClr w14:val="tx1"/>
            </w14:solidFill>
          </w14:textFill>
        </w:rPr>
        <w:t>重大技术故障乙方需要明确处理的时间。</w:t>
      </w:r>
    </w:p>
    <w:p w14:paraId="0BB6D11F">
      <w:pPr>
        <w:pStyle w:val="336"/>
        <w:keepNext w:val="0"/>
        <w:keepLines w:val="0"/>
        <w:pageBreakBefore w:val="0"/>
        <w:numPr>
          <w:ilvl w:val="0"/>
          <w:numId w:val="8"/>
        </w:numPr>
        <w:tabs>
          <w:tab w:val="left" w:pos="0"/>
          <w:tab w:val="left" w:pos="426"/>
          <w:tab w:val="clear" w:pos="1155"/>
        </w:tabs>
        <w:kinsoku/>
        <w:wordWrap/>
        <w:overflowPunct/>
        <w:topLinePunct w:val="0"/>
        <w:bidi w:val="0"/>
        <w:snapToGrid/>
        <w:spacing w:beforeLines="0" w:line="360" w:lineRule="auto"/>
        <w:ind w:left="0" w:firstLine="420" w:firstLineChars="200"/>
        <w:textAlignment w:val="auto"/>
        <w:rPr>
          <w:rFonts w:ascii="Calibri" w:hAnsi="Calibri" w:cs="Times New Roman"/>
          <w:color w:val="000000" w:themeColor="text1"/>
          <w:kern w:val="2"/>
          <w:sz w:val="21"/>
          <w:szCs w:val="21"/>
          <w14:textFill>
            <w14:solidFill>
              <w14:schemeClr w14:val="tx1"/>
            </w14:solidFill>
          </w14:textFill>
        </w:rPr>
      </w:pPr>
      <w:r>
        <w:rPr>
          <w:rFonts w:hint="eastAsia" w:ascii="Calibri" w:hAnsi="Calibri" w:cs="Times New Roman"/>
          <w:color w:val="000000" w:themeColor="text1"/>
          <w:kern w:val="2"/>
          <w:sz w:val="21"/>
          <w:szCs w:val="21"/>
          <w14:textFill>
            <w14:solidFill>
              <w14:schemeClr w14:val="tx1"/>
            </w14:solidFill>
          </w14:textFill>
        </w:rPr>
        <w:t>乙方须</w:t>
      </w:r>
      <w:r>
        <w:rPr>
          <w:rFonts w:ascii="Calibri" w:hAnsi="Calibri" w:cs="Times New Roman"/>
          <w:color w:val="000000" w:themeColor="text1"/>
          <w:kern w:val="2"/>
          <w:sz w:val="21"/>
          <w:szCs w:val="21"/>
          <w14:textFill>
            <w14:solidFill>
              <w14:schemeClr w14:val="tx1"/>
            </w14:solidFill>
          </w14:textFill>
        </w:rPr>
        <w:t>保证所有售后服务均由</w:t>
      </w:r>
      <w:r>
        <w:rPr>
          <w:rFonts w:hint="eastAsia" w:ascii="Calibri" w:hAnsi="Calibri" w:cs="Times New Roman"/>
          <w:color w:val="000000" w:themeColor="text1"/>
          <w:kern w:val="2"/>
          <w:sz w:val="21"/>
          <w:szCs w:val="21"/>
          <w14:textFill>
            <w14:solidFill>
              <w14:schemeClr w14:val="tx1"/>
            </w14:solidFill>
          </w14:textFill>
        </w:rPr>
        <w:t>乙方</w:t>
      </w:r>
      <w:r>
        <w:rPr>
          <w:rFonts w:ascii="Calibri" w:hAnsi="Calibri" w:cs="Times New Roman"/>
          <w:color w:val="000000" w:themeColor="text1"/>
          <w:kern w:val="2"/>
          <w:sz w:val="21"/>
          <w:szCs w:val="21"/>
          <w14:textFill>
            <w14:solidFill>
              <w14:schemeClr w14:val="tx1"/>
            </w14:solidFill>
          </w14:textFill>
        </w:rPr>
        <w:t>直接提供</w:t>
      </w:r>
      <w:r>
        <w:rPr>
          <w:rFonts w:hint="eastAsia" w:ascii="Calibri" w:hAnsi="Calibri" w:cs="Times New Roman"/>
          <w:color w:val="000000" w:themeColor="text1"/>
          <w:kern w:val="2"/>
          <w:sz w:val="21"/>
          <w:szCs w:val="21"/>
          <w14:textFill>
            <w14:solidFill>
              <w14:schemeClr w14:val="tx1"/>
            </w14:solidFill>
          </w14:textFill>
        </w:rPr>
        <w:t>。</w:t>
      </w:r>
      <w:r>
        <w:rPr>
          <w:rFonts w:ascii="Calibri" w:hAnsi="Calibri" w:cs="Times New Roman"/>
          <w:color w:val="000000" w:themeColor="text1"/>
          <w:kern w:val="2"/>
          <w:sz w:val="21"/>
          <w:szCs w:val="21"/>
          <w14:textFill>
            <w14:solidFill>
              <w14:schemeClr w14:val="tx1"/>
            </w14:solidFill>
          </w14:textFill>
        </w:rPr>
        <w:t>对于</w:t>
      </w:r>
      <w:r>
        <w:rPr>
          <w:rFonts w:hint="eastAsia" w:ascii="Calibri" w:hAnsi="Calibri" w:cs="Times New Roman"/>
          <w:color w:val="000000" w:themeColor="text1"/>
          <w:kern w:val="2"/>
          <w:sz w:val="21"/>
          <w:szCs w:val="21"/>
          <w14:textFill>
            <w14:solidFill>
              <w14:schemeClr w14:val="tx1"/>
            </w14:solidFill>
          </w14:textFill>
        </w:rPr>
        <w:t>甲方</w:t>
      </w:r>
      <w:r>
        <w:rPr>
          <w:rFonts w:ascii="Calibri" w:hAnsi="Calibri" w:cs="Times New Roman"/>
          <w:color w:val="000000" w:themeColor="text1"/>
          <w:kern w:val="2"/>
          <w:sz w:val="21"/>
          <w:szCs w:val="21"/>
          <w14:textFill>
            <w14:solidFill>
              <w14:schemeClr w14:val="tx1"/>
            </w14:solidFill>
          </w14:textFill>
        </w:rPr>
        <w:t>电话、邮件等各种渠道的技术咨询，要给予及时响应。</w:t>
      </w:r>
    </w:p>
    <w:p w14:paraId="7F8153BF">
      <w:pPr>
        <w:keepNext w:val="0"/>
        <w:keepLines w:val="0"/>
        <w:pageBreakBefore w:val="0"/>
        <w:numPr>
          <w:ilvl w:val="0"/>
          <w:numId w:val="9"/>
        </w:numPr>
        <w:tabs>
          <w:tab w:val="left" w:pos="0"/>
          <w:tab w:val="left" w:pos="426"/>
          <w:tab w:val="left" w:pos="1155"/>
        </w:tabs>
        <w:kinsoku/>
        <w:wordWrap/>
        <w:overflowPunct/>
        <w:topLinePunct w:val="0"/>
        <w:bidi w:val="0"/>
        <w:snapToGrid/>
        <w:spacing w:line="360" w:lineRule="auto"/>
        <w:ind w:left="0"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在甲方使用</w:t>
      </w:r>
      <w:r>
        <w:rPr>
          <w:rFonts w:hint="eastAsia"/>
          <w:color w:val="000000" w:themeColor="text1"/>
          <w:szCs w:val="21"/>
          <w14:textFill>
            <w14:solidFill>
              <w14:schemeClr w14:val="tx1"/>
            </w14:solidFill>
          </w14:textFill>
        </w:rPr>
        <w:t>的乙方</w:t>
      </w:r>
      <w:r>
        <w:rPr>
          <w:color w:val="000000" w:themeColor="text1"/>
          <w:szCs w:val="21"/>
          <w14:textFill>
            <w14:solidFill>
              <w14:schemeClr w14:val="tx1"/>
            </w14:solidFill>
          </w14:textFill>
        </w:rPr>
        <w:t>产品时</w:t>
      </w:r>
      <w:r>
        <w:rPr>
          <w:rFonts w:hint="eastAsia"/>
          <w:color w:val="000000" w:themeColor="text1"/>
          <w:szCs w:val="21"/>
          <w14:textFill>
            <w14:solidFill>
              <w14:schemeClr w14:val="tx1"/>
            </w14:solidFill>
          </w14:textFill>
        </w:rPr>
        <w:t>出现问题时</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须积极配合，</w:t>
      </w:r>
      <w:r>
        <w:rPr>
          <w:rFonts w:hint="eastAsia"/>
          <w:color w:val="000000" w:themeColor="text1"/>
          <w:szCs w:val="21"/>
          <w14:textFill>
            <w14:solidFill>
              <w14:schemeClr w14:val="tx1"/>
            </w14:solidFill>
          </w14:textFill>
        </w:rPr>
        <w:t>配合甲方</w:t>
      </w:r>
      <w:r>
        <w:rPr>
          <w:color w:val="000000" w:themeColor="text1"/>
          <w:szCs w:val="21"/>
          <w14:textFill>
            <w14:solidFill>
              <w14:schemeClr w14:val="tx1"/>
            </w14:solidFill>
          </w14:textFill>
        </w:rPr>
        <w:t>与有关方</w:t>
      </w:r>
      <w:r>
        <w:rPr>
          <w:rFonts w:hint="eastAsia"/>
          <w:color w:val="000000" w:themeColor="text1"/>
          <w:szCs w:val="21"/>
          <w14:textFill>
            <w14:solidFill>
              <w14:schemeClr w14:val="tx1"/>
            </w14:solidFill>
          </w14:textFill>
        </w:rPr>
        <w:t>面</w:t>
      </w:r>
      <w:r>
        <w:rPr>
          <w:color w:val="000000" w:themeColor="text1"/>
          <w:szCs w:val="21"/>
          <w14:textFill>
            <w14:solidFill>
              <w14:schemeClr w14:val="tx1"/>
            </w14:solidFill>
          </w14:textFill>
        </w:rPr>
        <w:t>接洽，及时定位问题原因、寻求解决方案。</w:t>
      </w:r>
    </w:p>
    <w:p w14:paraId="1F76BD26">
      <w:pPr>
        <w:keepNext w:val="0"/>
        <w:keepLines w:val="0"/>
        <w:pageBreakBefore w:val="0"/>
        <w:numPr>
          <w:ilvl w:val="0"/>
          <w:numId w:val="9"/>
        </w:numPr>
        <w:tabs>
          <w:tab w:val="left" w:pos="0"/>
          <w:tab w:val="left" w:pos="426"/>
          <w:tab w:val="left" w:pos="1155"/>
        </w:tabs>
        <w:kinsoku/>
        <w:wordWrap/>
        <w:overflowPunct/>
        <w:topLinePunct w:val="0"/>
        <w:bidi w:val="0"/>
        <w:snapToGrid/>
        <w:spacing w:line="360" w:lineRule="auto"/>
        <w:ind w:left="0"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在</w:t>
      </w:r>
      <w:r>
        <w:rPr>
          <w:rFonts w:hint="eastAsia"/>
          <w:color w:val="000000" w:themeColor="text1"/>
          <w:szCs w:val="21"/>
          <w14:textFill>
            <w14:solidFill>
              <w14:schemeClr w14:val="tx1"/>
            </w14:solidFill>
          </w14:textFill>
        </w:rPr>
        <w:t>服务期内</w:t>
      </w:r>
      <w:r>
        <w:rPr>
          <w:color w:val="000000" w:themeColor="text1"/>
          <w:szCs w:val="21"/>
          <w14:textFill>
            <w14:solidFill>
              <w14:schemeClr w14:val="tx1"/>
            </w14:solidFill>
          </w14:textFill>
        </w:rPr>
        <w:t>，甲方在使用乙方</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中不论何种原因造成的故障，乙方在接到甲方要求修复的通知后：</w:t>
      </w:r>
    </w:p>
    <w:p w14:paraId="294330E6">
      <w:pPr>
        <w:keepNext w:val="0"/>
        <w:keepLines w:val="0"/>
        <w:pageBreakBefore w:val="0"/>
        <w:tabs>
          <w:tab w:val="left" w:pos="0"/>
          <w:tab w:val="left" w:pos="53"/>
        </w:tabs>
        <w:kinsoku/>
        <w:wordWrap/>
        <w:overflowPunct/>
        <w:topLinePunct w:val="0"/>
        <w:bidi w:val="0"/>
        <w:snapToGrid/>
        <w:spacing w:line="360" w:lineRule="auto"/>
        <w:ind w:left="0" w:firstLine="42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电话支持：</w:t>
      </w:r>
      <w:r>
        <w:rPr>
          <w:color w:val="000000" w:themeColor="text1"/>
          <w:szCs w:val="21"/>
          <w14:textFill>
            <w14:solidFill>
              <w14:schemeClr w14:val="tx1"/>
            </w14:solidFill>
          </w14:textFill>
        </w:rPr>
        <w:t>乙方</w:t>
      </w:r>
      <w:r>
        <w:rPr>
          <w:color w:val="000000" w:themeColor="text1"/>
          <w14:textFill>
            <w14:solidFill>
              <w14:schemeClr w14:val="tx1"/>
            </w14:solidFill>
          </w14:textFill>
        </w:rPr>
        <w:t>为甲方提供7</w:t>
      </w:r>
      <w:r>
        <w:rPr>
          <w:rFonts w:ascii="微软雅黑" w:hAnsi="微软雅黑" w:eastAsia="微软雅黑" w:cs="微软雅黑"/>
          <w:color w:val="000000" w:themeColor="text1"/>
          <w:sz w:val="16"/>
          <w:szCs w:val="16"/>
          <w:shd w:val="clear" w:color="auto" w:fill="FFFFFF"/>
          <w14:textFill>
            <w14:solidFill>
              <w14:schemeClr w14:val="tx1"/>
            </w14:solidFill>
          </w14:textFill>
        </w:rPr>
        <w:t>×</w:t>
      </w:r>
      <w:r>
        <w:rPr>
          <w:color w:val="000000" w:themeColor="text1"/>
          <w14:textFill>
            <w14:solidFill>
              <w14:schemeClr w14:val="tx1"/>
            </w14:solidFill>
          </w14:textFill>
        </w:rPr>
        <w:t>24（每周7天，每天24小时，下同）电话支持服务。</w:t>
      </w:r>
    </w:p>
    <w:p w14:paraId="11B7B615">
      <w:pPr>
        <w:keepNext w:val="0"/>
        <w:keepLines w:val="0"/>
        <w:pageBreakBefore w:val="0"/>
        <w:kinsoku/>
        <w:wordWrap/>
        <w:overflowPunct/>
        <w:topLinePunct w:val="0"/>
        <w:bidi w:val="0"/>
        <w:snapToGrid/>
        <w:spacing w:line="360" w:lineRule="auto"/>
        <w:ind w:left="0" w:firstLine="420" w:firstLineChars="200"/>
        <w:textAlignment w:val="auto"/>
        <w:rPr>
          <w:color w:val="000000" w:themeColor="text1"/>
          <w:u w:val="single"/>
          <w14:textFill>
            <w14:solidFill>
              <w14:schemeClr w14:val="tx1"/>
            </w14:solidFill>
          </w14:textFill>
        </w:rPr>
      </w:pPr>
      <w:r>
        <w:rPr>
          <w:color w:val="000000" w:themeColor="text1"/>
          <w:szCs w:val="21"/>
          <w14:textFill>
            <w14:solidFill>
              <w14:schemeClr w14:val="tx1"/>
            </w14:solidFill>
          </w14:textFill>
        </w:rPr>
        <w:t>乙方</w:t>
      </w:r>
      <w:r>
        <w:rPr>
          <w:color w:val="000000" w:themeColor="text1"/>
          <w14:textFill>
            <w14:solidFill>
              <w14:schemeClr w14:val="tx1"/>
            </w14:solidFill>
          </w14:textFill>
        </w:rPr>
        <w:t>24小时故障报修电话：</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p w14:paraId="4FD104E4">
      <w:pPr>
        <w:pStyle w:val="22"/>
        <w:keepNext w:val="0"/>
        <w:keepLines w:val="0"/>
        <w:pageBreakBefore w:val="0"/>
        <w:tabs>
          <w:tab w:val="left" w:pos="417"/>
        </w:tabs>
        <w:kinsoku/>
        <w:wordWrap/>
        <w:overflowPunct/>
        <w:topLinePunct w:val="0"/>
        <w:bidi w:val="0"/>
        <w:snapToGrid/>
        <w:spacing w:after="0" w:line="360" w:lineRule="auto"/>
        <w:ind w:left="0" w:firstLine="420" w:firstLineChars="200"/>
        <w:textAlignment w:val="auto"/>
        <w:rPr>
          <w:rFonts w:ascii="Calibri" w:hAnsi="Calibri"/>
          <w:color w:val="000000" w:themeColor="text1"/>
          <w:kern w:val="2"/>
          <w:sz w:val="21"/>
          <w:szCs w:val="21"/>
          <w14:textFill>
            <w14:solidFill>
              <w14:schemeClr w14:val="tx1"/>
            </w14:solidFill>
          </w14:textFill>
        </w:rPr>
      </w:pPr>
      <w:r>
        <w:rPr>
          <w:rFonts w:ascii="Calibri" w:hAnsi="Calibri"/>
          <w:color w:val="000000" w:themeColor="text1"/>
          <w:kern w:val="2"/>
          <w:sz w:val="21"/>
          <w:szCs w:val="21"/>
          <w14:textFill>
            <w14:solidFill>
              <w14:schemeClr w14:val="tx1"/>
            </w14:solidFill>
          </w14:textFill>
        </w:rPr>
        <w:t xml:space="preserve">技术支持电话：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ascii="Calibri" w:hAnsi="Calibri"/>
          <w:color w:val="000000" w:themeColor="text1"/>
          <w:kern w:val="2"/>
          <w:sz w:val="21"/>
          <w:szCs w:val="21"/>
          <w14:textFill>
            <w14:solidFill>
              <w14:schemeClr w14:val="tx1"/>
            </w14:solidFill>
          </w14:textFill>
        </w:rPr>
        <w:t xml:space="preserve">   </w:t>
      </w:r>
    </w:p>
    <w:p w14:paraId="20B580B0">
      <w:pPr>
        <w:keepNext w:val="0"/>
        <w:keepLines w:val="0"/>
        <w:pageBreakBefore w:val="0"/>
        <w:tabs>
          <w:tab w:val="left" w:pos="0"/>
        </w:tabs>
        <w:kinsoku/>
        <w:wordWrap/>
        <w:overflowPunct/>
        <w:topLinePunct w:val="0"/>
        <w:bidi w:val="0"/>
        <w:snapToGrid/>
        <w:spacing w:line="360" w:lineRule="auto"/>
        <w:ind w:left="0" w:firstLine="420" w:firstLineChars="200"/>
        <w:textAlignment w:val="auto"/>
        <w:rPr>
          <w:color w:val="000000" w:themeColor="text1"/>
          <w14:textFill>
            <w14:solidFill>
              <w14:schemeClr w14:val="tx1"/>
            </w14:solidFill>
          </w14:textFill>
        </w:rPr>
      </w:pPr>
      <w:r>
        <w:rPr>
          <w:color w:val="000000" w:themeColor="text1"/>
          <w:szCs w:val="21"/>
          <w14:textFill>
            <w14:solidFill>
              <w14:schemeClr w14:val="tx1"/>
            </w14:solidFill>
          </w14:textFill>
        </w:rPr>
        <w:t>b.</w:t>
      </w:r>
      <w:r>
        <w:rPr>
          <w:rFonts w:hint="eastAsia"/>
          <w:color w:val="000000" w:themeColor="text1"/>
          <w:szCs w:val="21"/>
          <w14:textFill>
            <w14:solidFill>
              <w14:schemeClr w14:val="tx1"/>
            </w14:solidFill>
          </w14:textFill>
        </w:rPr>
        <w:t>故障</w:t>
      </w:r>
      <w:r>
        <w:rPr>
          <w:color w:val="000000" w:themeColor="text1"/>
          <w:szCs w:val="21"/>
          <w14:textFill>
            <w14:solidFill>
              <w14:schemeClr w14:val="tx1"/>
            </w14:solidFill>
          </w14:textFill>
        </w:rPr>
        <w:t>应急事件要求。</w:t>
      </w:r>
    </w:p>
    <w:tbl>
      <w:tblPr>
        <w:tblStyle w:val="53"/>
        <w:tblpPr w:leftFromText="180" w:rightFromText="180" w:vertAnchor="text" w:horzAnchor="page" w:tblpX="2136" w:tblpY="474"/>
        <w:tblOverlap w:val="never"/>
        <w:tblW w:w="7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609"/>
        <w:gridCol w:w="1446"/>
        <w:gridCol w:w="992"/>
        <w:gridCol w:w="1417"/>
        <w:gridCol w:w="1501"/>
      </w:tblGrid>
      <w:tr w14:paraId="692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6E169BF4">
            <w:pPr>
              <w:pStyle w:val="361"/>
              <w:keepNext w:val="0"/>
              <w:keepLines w:val="0"/>
              <w:pageBreakBefore w:val="0"/>
              <w:kinsoku/>
              <w:wordWrap/>
              <w:overflowPunct/>
              <w:topLinePunct w:val="0"/>
              <w:autoSpaceDE/>
              <w:autoSpaceDN/>
              <w:bidi w:val="0"/>
              <w:adjustRightInd/>
              <w:snapToGrid/>
              <w:spacing w:before="0" w:line="240" w:lineRule="auto"/>
              <w:ind w:left="0" w:leftChars="0"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故障</w:t>
            </w:r>
          </w:p>
          <w:p w14:paraId="7469CC6F">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级别</w:t>
            </w:r>
          </w:p>
        </w:tc>
        <w:tc>
          <w:tcPr>
            <w:tcW w:w="1609" w:type="dxa"/>
            <w:vAlign w:val="center"/>
          </w:tcPr>
          <w:p w14:paraId="19D4B4A3">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故障</w:t>
            </w:r>
          </w:p>
          <w:p w14:paraId="1022A3DD">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描述</w:t>
            </w:r>
          </w:p>
        </w:tc>
        <w:tc>
          <w:tcPr>
            <w:tcW w:w="1446" w:type="dxa"/>
            <w:vAlign w:val="center"/>
          </w:tcPr>
          <w:p w14:paraId="1BF5162D">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发生</w:t>
            </w:r>
          </w:p>
          <w:p w14:paraId="24607B5D">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时段</w:t>
            </w:r>
          </w:p>
        </w:tc>
        <w:tc>
          <w:tcPr>
            <w:tcW w:w="992" w:type="dxa"/>
            <w:vAlign w:val="center"/>
          </w:tcPr>
          <w:p w14:paraId="24696F69">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电话</w:t>
            </w:r>
          </w:p>
          <w:p w14:paraId="7BE3D3B3">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响应</w:t>
            </w:r>
          </w:p>
        </w:tc>
        <w:tc>
          <w:tcPr>
            <w:tcW w:w="1417" w:type="dxa"/>
            <w:vAlign w:val="center"/>
          </w:tcPr>
          <w:p w14:paraId="6E3D81F2">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现场</w:t>
            </w:r>
          </w:p>
          <w:p w14:paraId="48AF0DEF">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响应</w:t>
            </w:r>
          </w:p>
        </w:tc>
        <w:tc>
          <w:tcPr>
            <w:tcW w:w="1501" w:type="dxa"/>
            <w:vAlign w:val="center"/>
          </w:tcPr>
          <w:p w14:paraId="7EB66EC0">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解决</w:t>
            </w:r>
          </w:p>
          <w:p w14:paraId="37C3AF4A">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时限</w:t>
            </w:r>
          </w:p>
        </w:tc>
      </w:tr>
      <w:tr w14:paraId="620E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Merge w:val="restart"/>
            <w:vAlign w:val="center"/>
          </w:tcPr>
          <w:p w14:paraId="52DC1BAC">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紧急</w:t>
            </w:r>
          </w:p>
          <w:p w14:paraId="611E68E1">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故障</w:t>
            </w:r>
          </w:p>
        </w:tc>
        <w:tc>
          <w:tcPr>
            <w:tcW w:w="1609" w:type="dxa"/>
            <w:vMerge w:val="restart"/>
            <w:vAlign w:val="center"/>
          </w:tcPr>
          <w:p w14:paraId="66AA5FF2">
            <w:pPr>
              <w:keepNext w:val="0"/>
              <w:keepLines w:val="0"/>
              <w:pageBreakBefore w:val="0"/>
              <w:tabs>
                <w:tab w:val="left" w:pos="2412"/>
              </w:tabs>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服务</w:t>
            </w:r>
          </w:p>
          <w:p w14:paraId="312FA972">
            <w:pPr>
              <w:keepNext w:val="0"/>
              <w:keepLines w:val="0"/>
              <w:pageBreakBefore w:val="0"/>
              <w:tabs>
                <w:tab w:val="left" w:pos="2412"/>
              </w:tabs>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中断</w:t>
            </w:r>
          </w:p>
        </w:tc>
        <w:tc>
          <w:tcPr>
            <w:tcW w:w="1446" w:type="dxa"/>
            <w:vAlign w:val="center"/>
          </w:tcPr>
          <w:p w14:paraId="0C844EC9">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重点</w:t>
            </w:r>
            <w:r>
              <w:rPr>
                <w:color w:val="000000" w:themeColor="text1"/>
                <w:szCs w:val="21"/>
                <w14:textFill>
                  <w14:solidFill>
                    <w14:schemeClr w14:val="tx1"/>
                  </w14:solidFill>
                </w14:textFill>
              </w:rPr>
              <w:t>保障期</w:t>
            </w:r>
          </w:p>
          <w:p w14:paraId="4ACF3CBA">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时段</w:t>
            </w:r>
          </w:p>
        </w:tc>
        <w:tc>
          <w:tcPr>
            <w:tcW w:w="992" w:type="dxa"/>
            <w:vAlign w:val="center"/>
          </w:tcPr>
          <w:p w14:paraId="0B597EE5">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立即</w:t>
            </w:r>
          </w:p>
          <w:p w14:paraId="0365CA12">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响应</w:t>
            </w:r>
          </w:p>
        </w:tc>
        <w:tc>
          <w:tcPr>
            <w:tcW w:w="1417" w:type="dxa"/>
            <w:vAlign w:val="center"/>
          </w:tcPr>
          <w:p w14:paraId="7305D4D3">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现场解决</w:t>
            </w:r>
          </w:p>
        </w:tc>
        <w:tc>
          <w:tcPr>
            <w:tcW w:w="1501" w:type="dxa"/>
            <w:vAlign w:val="center"/>
          </w:tcPr>
          <w:p w14:paraId="41C29D03">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1～20分钟</w:t>
            </w:r>
          </w:p>
        </w:tc>
      </w:tr>
      <w:tr w14:paraId="5E7A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29" w:type="dxa"/>
            <w:vMerge w:val="continue"/>
            <w:vAlign w:val="center"/>
          </w:tcPr>
          <w:p w14:paraId="58D5B639">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p>
        </w:tc>
        <w:tc>
          <w:tcPr>
            <w:tcW w:w="1609" w:type="dxa"/>
            <w:vMerge w:val="continue"/>
            <w:vAlign w:val="center"/>
          </w:tcPr>
          <w:p w14:paraId="19BC7BF4">
            <w:pPr>
              <w:keepNext w:val="0"/>
              <w:keepLines w:val="0"/>
              <w:pageBreakBefore w:val="0"/>
              <w:tabs>
                <w:tab w:val="left" w:pos="2412"/>
              </w:tabs>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p>
        </w:tc>
        <w:tc>
          <w:tcPr>
            <w:tcW w:w="1446" w:type="dxa"/>
            <w:vAlign w:val="center"/>
          </w:tcPr>
          <w:p w14:paraId="6EEC11E9">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时段</w:t>
            </w:r>
          </w:p>
        </w:tc>
        <w:tc>
          <w:tcPr>
            <w:tcW w:w="992" w:type="dxa"/>
            <w:vAlign w:val="center"/>
          </w:tcPr>
          <w:p w14:paraId="7178026A">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立即</w:t>
            </w:r>
          </w:p>
          <w:p w14:paraId="24019691">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响应</w:t>
            </w:r>
          </w:p>
        </w:tc>
        <w:tc>
          <w:tcPr>
            <w:tcW w:w="1417" w:type="dxa"/>
            <w:vAlign w:val="center"/>
          </w:tcPr>
          <w:p w14:paraId="6BFA0E77">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30分钟内</w:t>
            </w:r>
          </w:p>
        </w:tc>
        <w:tc>
          <w:tcPr>
            <w:tcW w:w="1501" w:type="dxa"/>
            <w:vAlign w:val="center"/>
          </w:tcPr>
          <w:p w14:paraId="7309EA9B">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1～20分钟</w:t>
            </w:r>
          </w:p>
        </w:tc>
      </w:tr>
      <w:tr w14:paraId="4F91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9" w:type="dxa"/>
            <w:vMerge w:val="restart"/>
            <w:vAlign w:val="center"/>
          </w:tcPr>
          <w:p w14:paraId="1139CD4F">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严重</w:t>
            </w:r>
          </w:p>
          <w:p w14:paraId="7185FA68">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故障</w:t>
            </w:r>
          </w:p>
        </w:tc>
        <w:tc>
          <w:tcPr>
            <w:tcW w:w="1609" w:type="dxa"/>
            <w:vMerge w:val="restart"/>
            <w:vAlign w:val="center"/>
          </w:tcPr>
          <w:p w14:paraId="3BE45627">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系统缓慢</w:t>
            </w:r>
          </w:p>
        </w:tc>
        <w:tc>
          <w:tcPr>
            <w:tcW w:w="1446" w:type="dxa"/>
            <w:vAlign w:val="center"/>
          </w:tcPr>
          <w:p w14:paraId="41C9DF13">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重点</w:t>
            </w:r>
            <w:r>
              <w:rPr>
                <w:color w:val="000000" w:themeColor="text1"/>
                <w:szCs w:val="21"/>
                <w14:textFill>
                  <w14:solidFill>
                    <w14:schemeClr w14:val="tx1"/>
                  </w14:solidFill>
                </w14:textFill>
              </w:rPr>
              <w:t>保障期</w:t>
            </w:r>
          </w:p>
          <w:p w14:paraId="787FAB9F">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时段</w:t>
            </w:r>
          </w:p>
        </w:tc>
        <w:tc>
          <w:tcPr>
            <w:tcW w:w="992" w:type="dxa"/>
            <w:vAlign w:val="center"/>
          </w:tcPr>
          <w:p w14:paraId="54E7FD27">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立即</w:t>
            </w:r>
          </w:p>
          <w:p w14:paraId="62E7ADE3">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响应</w:t>
            </w:r>
          </w:p>
        </w:tc>
        <w:tc>
          <w:tcPr>
            <w:tcW w:w="1417" w:type="dxa"/>
            <w:vAlign w:val="center"/>
          </w:tcPr>
          <w:p w14:paraId="6D06CCCE">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现场解决</w:t>
            </w:r>
          </w:p>
        </w:tc>
        <w:tc>
          <w:tcPr>
            <w:tcW w:w="1501" w:type="dxa"/>
            <w:vAlign w:val="center"/>
          </w:tcPr>
          <w:p w14:paraId="38EBF7E4">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1～60分钟</w:t>
            </w:r>
          </w:p>
        </w:tc>
      </w:tr>
      <w:tr w14:paraId="17A4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29" w:type="dxa"/>
            <w:vMerge w:val="continue"/>
            <w:vAlign w:val="center"/>
          </w:tcPr>
          <w:p w14:paraId="265E8A31">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p>
        </w:tc>
        <w:tc>
          <w:tcPr>
            <w:tcW w:w="1609" w:type="dxa"/>
            <w:vMerge w:val="continue"/>
            <w:vAlign w:val="center"/>
          </w:tcPr>
          <w:p w14:paraId="13E8342C">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p>
        </w:tc>
        <w:tc>
          <w:tcPr>
            <w:tcW w:w="1446" w:type="dxa"/>
            <w:vAlign w:val="center"/>
          </w:tcPr>
          <w:p w14:paraId="4E264291">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时段</w:t>
            </w:r>
          </w:p>
        </w:tc>
        <w:tc>
          <w:tcPr>
            <w:tcW w:w="992" w:type="dxa"/>
            <w:vAlign w:val="center"/>
          </w:tcPr>
          <w:p w14:paraId="2CD49290">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立即</w:t>
            </w:r>
          </w:p>
          <w:p w14:paraId="720768A3">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响应</w:t>
            </w:r>
          </w:p>
        </w:tc>
        <w:tc>
          <w:tcPr>
            <w:tcW w:w="1417" w:type="dxa"/>
            <w:vAlign w:val="center"/>
          </w:tcPr>
          <w:p w14:paraId="21463C9D">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30分钟内</w:t>
            </w:r>
          </w:p>
        </w:tc>
        <w:tc>
          <w:tcPr>
            <w:tcW w:w="1501" w:type="dxa"/>
            <w:vAlign w:val="center"/>
          </w:tcPr>
          <w:p w14:paraId="1E900F34">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1～60分钟</w:t>
            </w:r>
          </w:p>
        </w:tc>
      </w:tr>
      <w:tr w14:paraId="3FC5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29" w:type="dxa"/>
            <w:vMerge w:val="restart"/>
            <w:vAlign w:val="center"/>
          </w:tcPr>
          <w:p w14:paraId="0C5D5C0D">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中级</w:t>
            </w:r>
          </w:p>
          <w:p w14:paraId="74A10BAD">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故障</w:t>
            </w:r>
          </w:p>
        </w:tc>
        <w:tc>
          <w:tcPr>
            <w:tcW w:w="1609" w:type="dxa"/>
            <w:vMerge w:val="restart"/>
            <w:vAlign w:val="center"/>
          </w:tcPr>
          <w:p w14:paraId="6149EB73">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关键性bug</w:t>
            </w:r>
          </w:p>
        </w:tc>
        <w:tc>
          <w:tcPr>
            <w:tcW w:w="1446" w:type="dxa"/>
            <w:vAlign w:val="center"/>
          </w:tcPr>
          <w:p w14:paraId="6BDA8180">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重点</w:t>
            </w:r>
            <w:r>
              <w:rPr>
                <w:color w:val="000000" w:themeColor="text1"/>
                <w:szCs w:val="21"/>
                <w14:textFill>
                  <w14:solidFill>
                    <w14:schemeClr w14:val="tx1"/>
                  </w14:solidFill>
                </w14:textFill>
              </w:rPr>
              <w:t>保障期</w:t>
            </w:r>
          </w:p>
          <w:p w14:paraId="38A70CD4">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时段</w:t>
            </w:r>
          </w:p>
        </w:tc>
        <w:tc>
          <w:tcPr>
            <w:tcW w:w="992" w:type="dxa"/>
          </w:tcPr>
          <w:p w14:paraId="7BA3E845">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立即</w:t>
            </w:r>
          </w:p>
          <w:p w14:paraId="5A12954D">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w:t>
            </w:r>
          </w:p>
        </w:tc>
        <w:tc>
          <w:tcPr>
            <w:tcW w:w="1417" w:type="dxa"/>
            <w:vAlign w:val="center"/>
          </w:tcPr>
          <w:p w14:paraId="15F69D17">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现场响应</w:t>
            </w:r>
          </w:p>
        </w:tc>
        <w:tc>
          <w:tcPr>
            <w:tcW w:w="1501" w:type="dxa"/>
            <w:vMerge w:val="restart"/>
            <w:vAlign w:val="center"/>
          </w:tcPr>
          <w:p w14:paraId="30F54756">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不超过</w:t>
            </w:r>
          </w:p>
          <w:p w14:paraId="4CBE68C3">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1周</w:t>
            </w:r>
          </w:p>
        </w:tc>
      </w:tr>
      <w:tr w14:paraId="3642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9" w:type="dxa"/>
            <w:vMerge w:val="continue"/>
            <w:vAlign w:val="center"/>
          </w:tcPr>
          <w:p w14:paraId="23970011">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p>
        </w:tc>
        <w:tc>
          <w:tcPr>
            <w:tcW w:w="1609" w:type="dxa"/>
            <w:vMerge w:val="continue"/>
            <w:vAlign w:val="center"/>
          </w:tcPr>
          <w:p w14:paraId="72EA5740">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p>
        </w:tc>
        <w:tc>
          <w:tcPr>
            <w:tcW w:w="1446" w:type="dxa"/>
            <w:vAlign w:val="center"/>
          </w:tcPr>
          <w:p w14:paraId="2322329B">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时段</w:t>
            </w:r>
          </w:p>
        </w:tc>
        <w:tc>
          <w:tcPr>
            <w:tcW w:w="992" w:type="dxa"/>
          </w:tcPr>
          <w:p w14:paraId="71FC1DA0">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立即</w:t>
            </w:r>
          </w:p>
          <w:p w14:paraId="7009819A">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w:t>
            </w:r>
          </w:p>
        </w:tc>
        <w:tc>
          <w:tcPr>
            <w:tcW w:w="1417" w:type="dxa"/>
            <w:vAlign w:val="center"/>
          </w:tcPr>
          <w:p w14:paraId="37BDE22A">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一个</w:t>
            </w:r>
          </w:p>
          <w:p w14:paraId="0A9A2A6C">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工作日内</w:t>
            </w:r>
          </w:p>
        </w:tc>
        <w:tc>
          <w:tcPr>
            <w:tcW w:w="1501" w:type="dxa"/>
            <w:vMerge w:val="continue"/>
            <w:vAlign w:val="center"/>
          </w:tcPr>
          <w:p w14:paraId="575A1772">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p>
        </w:tc>
      </w:tr>
      <w:tr w14:paraId="0407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9" w:type="dxa"/>
            <w:vMerge w:val="restart"/>
            <w:vAlign w:val="center"/>
          </w:tcPr>
          <w:p w14:paraId="2BD08720">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低级</w:t>
            </w:r>
          </w:p>
          <w:p w14:paraId="79DCAF43">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故障</w:t>
            </w:r>
          </w:p>
        </w:tc>
        <w:tc>
          <w:tcPr>
            <w:tcW w:w="1609" w:type="dxa"/>
            <w:vMerge w:val="restart"/>
            <w:vAlign w:val="center"/>
          </w:tcPr>
          <w:p w14:paraId="223C98F9">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非关键性bug</w:t>
            </w:r>
          </w:p>
        </w:tc>
        <w:tc>
          <w:tcPr>
            <w:tcW w:w="1446" w:type="dxa"/>
            <w:vAlign w:val="center"/>
          </w:tcPr>
          <w:p w14:paraId="09C55736">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重点</w:t>
            </w:r>
            <w:r>
              <w:rPr>
                <w:color w:val="000000" w:themeColor="text1"/>
                <w:szCs w:val="21"/>
                <w14:textFill>
                  <w14:solidFill>
                    <w14:schemeClr w14:val="tx1"/>
                  </w14:solidFill>
                </w14:textFill>
              </w:rPr>
              <w:t>保障期</w:t>
            </w:r>
          </w:p>
          <w:p w14:paraId="72AF626B">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时段</w:t>
            </w:r>
          </w:p>
        </w:tc>
        <w:tc>
          <w:tcPr>
            <w:tcW w:w="992" w:type="dxa"/>
          </w:tcPr>
          <w:p w14:paraId="4D5F9EBA">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立即</w:t>
            </w:r>
          </w:p>
          <w:p w14:paraId="68592926">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w:t>
            </w:r>
          </w:p>
        </w:tc>
        <w:tc>
          <w:tcPr>
            <w:tcW w:w="1417" w:type="dxa"/>
            <w:vAlign w:val="center"/>
          </w:tcPr>
          <w:p w14:paraId="3F8C8001">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现场解决</w:t>
            </w:r>
          </w:p>
        </w:tc>
        <w:tc>
          <w:tcPr>
            <w:tcW w:w="1501" w:type="dxa"/>
            <w:vMerge w:val="restart"/>
            <w:vAlign w:val="center"/>
          </w:tcPr>
          <w:p w14:paraId="0C17811B">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不超过</w:t>
            </w:r>
          </w:p>
          <w:p w14:paraId="7CC09B02">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2周</w:t>
            </w:r>
          </w:p>
        </w:tc>
      </w:tr>
      <w:tr w14:paraId="618A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29" w:type="dxa"/>
            <w:vMerge w:val="continue"/>
            <w:vAlign w:val="center"/>
          </w:tcPr>
          <w:p w14:paraId="313B1F20">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p>
        </w:tc>
        <w:tc>
          <w:tcPr>
            <w:tcW w:w="1609" w:type="dxa"/>
            <w:vMerge w:val="continue"/>
            <w:vAlign w:val="center"/>
          </w:tcPr>
          <w:p w14:paraId="4425DD73">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p>
        </w:tc>
        <w:tc>
          <w:tcPr>
            <w:tcW w:w="1446" w:type="dxa"/>
            <w:vAlign w:val="center"/>
          </w:tcPr>
          <w:p w14:paraId="7BAD61E9">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时段</w:t>
            </w:r>
          </w:p>
        </w:tc>
        <w:tc>
          <w:tcPr>
            <w:tcW w:w="992" w:type="dxa"/>
          </w:tcPr>
          <w:p w14:paraId="45921F61">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立即</w:t>
            </w:r>
          </w:p>
          <w:p w14:paraId="11CAB045">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w:t>
            </w:r>
          </w:p>
        </w:tc>
        <w:tc>
          <w:tcPr>
            <w:tcW w:w="1417" w:type="dxa"/>
            <w:vAlign w:val="center"/>
          </w:tcPr>
          <w:p w14:paraId="27D90D5A">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一个</w:t>
            </w:r>
          </w:p>
          <w:p w14:paraId="4CE1F7B5">
            <w:pPr>
              <w:keepNext w:val="0"/>
              <w:keepLines w:val="0"/>
              <w:pageBreakBefore w:val="0"/>
              <w:kinsoku/>
              <w:wordWrap/>
              <w:overflowPunct/>
              <w:topLinePunct w:val="0"/>
              <w:autoSpaceDE/>
              <w:autoSpaceDN/>
              <w:bidi w:val="0"/>
              <w:adjustRightInd/>
              <w:snapToGrid/>
              <w:ind w:firstLine="0" w:firstLineChars="0"/>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工作日内</w:t>
            </w:r>
          </w:p>
        </w:tc>
        <w:tc>
          <w:tcPr>
            <w:tcW w:w="1501" w:type="dxa"/>
            <w:vMerge w:val="continue"/>
            <w:vAlign w:val="center"/>
          </w:tcPr>
          <w:p w14:paraId="13E8B592">
            <w:pPr>
              <w:pStyle w:val="361"/>
              <w:keepNext w:val="0"/>
              <w:keepLines w:val="0"/>
              <w:pageBreakBefore w:val="0"/>
              <w:kinsoku/>
              <w:wordWrap/>
              <w:overflowPunct/>
              <w:topLinePunct w:val="0"/>
              <w:autoSpaceDE/>
              <w:autoSpaceDN/>
              <w:bidi w:val="0"/>
              <w:adjustRightInd/>
              <w:snapToGrid/>
              <w:spacing w:before="0" w:line="240" w:lineRule="auto"/>
              <w:ind w:firstLine="0" w:firstLineChars="0"/>
              <w:jc w:val="center"/>
              <w:textAlignment w:val="auto"/>
              <w:rPr>
                <w:color w:val="000000" w:themeColor="text1"/>
                <w:kern w:val="2"/>
                <w:sz w:val="21"/>
                <w:szCs w:val="21"/>
                <w14:textFill>
                  <w14:solidFill>
                    <w14:schemeClr w14:val="tx1"/>
                  </w14:solidFill>
                </w14:textFill>
              </w:rPr>
            </w:pPr>
          </w:p>
        </w:tc>
      </w:tr>
    </w:tbl>
    <w:p w14:paraId="13D9F0CD">
      <w:pPr>
        <w:tabs>
          <w:tab w:val="left" w:pos="0"/>
          <w:tab w:val="left" w:pos="426"/>
        </w:tabs>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重点保障期</w:t>
      </w:r>
      <w:r>
        <w:rPr>
          <w:color w:val="000000" w:themeColor="text1"/>
          <w14:textFill>
            <w14:solidFill>
              <w14:schemeClr w14:val="tx1"/>
            </w14:solidFill>
          </w14:textFill>
        </w:rPr>
        <w:t>时段是指</w:t>
      </w:r>
      <w:r>
        <w:rPr>
          <w:rFonts w:hint="eastAsia"/>
          <w:color w:val="000000" w:themeColor="text1"/>
          <w14:textFill>
            <w14:solidFill>
              <w14:schemeClr w14:val="tx1"/>
            </w14:solidFill>
          </w14:textFill>
        </w:rPr>
        <w:t>两会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重大</w:t>
      </w:r>
      <w:r>
        <w:rPr>
          <w:color w:val="000000" w:themeColor="text1"/>
          <w14:textFill>
            <w14:solidFill>
              <w14:schemeClr w14:val="tx1"/>
            </w14:solidFill>
          </w14:textFill>
        </w:rPr>
        <w:t>节日</w:t>
      </w:r>
      <w:r>
        <w:rPr>
          <w:rFonts w:hint="eastAsia"/>
          <w:color w:val="000000" w:themeColor="text1"/>
          <w14:textFill>
            <w14:solidFill>
              <w14:schemeClr w14:val="tx1"/>
            </w14:solidFill>
          </w14:textFill>
        </w:rPr>
        <w:t>、国家</w:t>
      </w:r>
      <w:r>
        <w:rPr>
          <w:color w:val="000000" w:themeColor="text1"/>
          <w14:textFill>
            <w14:solidFill>
              <w14:schemeClr w14:val="tx1"/>
            </w14:solidFill>
          </w14:textFill>
        </w:rPr>
        <w:t>或</w:t>
      </w:r>
      <w:r>
        <w:rPr>
          <w:rFonts w:hint="eastAsia"/>
          <w:color w:val="000000" w:themeColor="text1"/>
          <w14:textFill>
            <w14:solidFill>
              <w14:schemeClr w14:val="tx1"/>
            </w14:solidFill>
          </w14:textFill>
        </w:rPr>
        <w:t>上级</w:t>
      </w:r>
      <w:r>
        <w:rPr>
          <w:color w:val="000000" w:themeColor="text1"/>
          <w14:textFill>
            <w14:solidFill>
              <w14:schemeClr w14:val="tx1"/>
            </w14:solidFill>
          </w14:textFill>
        </w:rPr>
        <w:t>单位要求的</w:t>
      </w:r>
      <w:r>
        <w:rPr>
          <w:rFonts w:hint="eastAsia"/>
          <w:color w:val="000000" w:themeColor="text1"/>
          <w14:textFill>
            <w14:solidFill>
              <w14:schemeClr w14:val="tx1"/>
            </w14:solidFill>
          </w14:textFill>
        </w:rPr>
        <w:t>安全</w:t>
      </w:r>
      <w:r>
        <w:rPr>
          <w:color w:val="000000" w:themeColor="text1"/>
          <w14:textFill>
            <w14:solidFill>
              <w14:schemeClr w14:val="tx1"/>
            </w14:solidFill>
          </w14:textFill>
        </w:rPr>
        <w:t>保障时期。</w:t>
      </w:r>
    </w:p>
    <w:p w14:paraId="2AF79535">
      <w:pPr>
        <w:tabs>
          <w:tab w:val="left" w:pos="0"/>
          <w:tab w:val="left" w:pos="426"/>
        </w:tabs>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中级故障和低级故障发生，甲方出具</w:t>
      </w:r>
      <w:r>
        <w:rPr>
          <w:rFonts w:hint="eastAsia"/>
          <w:color w:val="000000" w:themeColor="text1"/>
          <w14:textFill>
            <w14:solidFill>
              <w14:schemeClr w14:val="tx1"/>
            </w14:solidFill>
          </w14:textFill>
        </w:rPr>
        <w:t>邮件</w:t>
      </w:r>
      <w:r>
        <w:rPr>
          <w:color w:val="000000" w:themeColor="text1"/>
          <w14:textFill>
            <w14:solidFill>
              <w14:schemeClr w14:val="tx1"/>
            </w14:solidFill>
          </w14:textFill>
        </w:rPr>
        <w:t>或书面的故障情况通知单，双方技术人员</w:t>
      </w:r>
      <w:r>
        <w:rPr>
          <w:rFonts w:hint="eastAsia"/>
          <w:color w:val="000000" w:themeColor="text1"/>
          <w14:textFill>
            <w14:solidFill>
              <w14:schemeClr w14:val="tx1"/>
            </w14:solidFill>
          </w14:textFill>
        </w:rPr>
        <w:t>邮件</w:t>
      </w:r>
      <w:r>
        <w:rPr>
          <w:color w:val="000000" w:themeColor="text1"/>
          <w14:textFill>
            <w14:solidFill>
              <w14:schemeClr w14:val="tx1"/>
            </w14:solidFill>
          </w14:textFill>
        </w:rPr>
        <w:t>回复或签字确认。对于紧急故障和严重故障，甲方以信函的形式通知乙方，乙方在接收到信函后3日内给予甲方书面确认，并详述故障原因和解决办法。</w:t>
      </w:r>
    </w:p>
    <w:p w14:paraId="7723D696">
      <w:pPr>
        <w:numPr>
          <w:ilvl w:val="0"/>
          <w:numId w:val="9"/>
        </w:numPr>
        <w:tabs>
          <w:tab w:val="left" w:pos="0"/>
          <w:tab w:val="left" w:pos="426"/>
          <w:tab w:val="left"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技术交流：乙方应当针对本项目与甲方进行现场技术交流，以提高甲方操作和维护水平。</w:t>
      </w:r>
    </w:p>
    <w:p w14:paraId="34EC2B82">
      <w:pPr>
        <w:numPr>
          <w:ilvl w:val="0"/>
          <w:numId w:val="9"/>
        </w:numPr>
        <w:tabs>
          <w:tab w:val="left" w:pos="0"/>
          <w:tab w:val="left" w:pos="426"/>
          <w:tab w:val="left"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如果在系统发生故障后，乙方未能按合同要求时间排除故障，甲方有权请第三方解决问题，由此产生的费用由乙方承担。造成甲方业务损失的，由乙方承担相应责任。</w:t>
      </w:r>
    </w:p>
    <w:p w14:paraId="634DED2C">
      <w:pPr>
        <w:numPr>
          <w:ilvl w:val="0"/>
          <w:numId w:val="9"/>
        </w:numPr>
        <w:tabs>
          <w:tab w:val="left" w:pos="0"/>
          <w:tab w:val="left" w:pos="426"/>
          <w:tab w:val="left"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服务改进：乙方提供的项目服务人员态度与能力不符合项目要求，甲方提出改进要求，3个工作日内没有明显改进，乙方项目经理5</w:t>
      </w:r>
      <w:r>
        <w:rPr>
          <w:rFonts w:ascii="微软雅黑" w:hAnsi="微软雅黑" w:eastAsia="微软雅黑" w:cs="微软雅黑"/>
          <w:color w:val="000000" w:themeColor="text1"/>
          <w:sz w:val="16"/>
          <w:szCs w:val="16"/>
          <w:shd w:val="clear" w:color="auto" w:fill="FFFFFF"/>
          <w14:textFill>
            <w14:solidFill>
              <w14:schemeClr w14:val="tx1"/>
            </w14:solidFill>
          </w14:textFill>
        </w:rPr>
        <w:t>×</w:t>
      </w:r>
      <w:r>
        <w:rPr>
          <w:color w:val="000000" w:themeColor="text1"/>
          <w:szCs w:val="21"/>
          <w14:textFill>
            <w14:solidFill>
              <w14:schemeClr w14:val="tx1"/>
            </w14:solidFill>
          </w14:textFill>
        </w:rPr>
        <w:t>8（每周5天，每天8小时，下同）在现场监督改进，3个工作日仍然没有明显改进，乙方项目经理的上级领导5</w:t>
      </w:r>
      <w:r>
        <w:rPr>
          <w:rFonts w:ascii="微软雅黑" w:hAnsi="微软雅黑" w:eastAsia="微软雅黑" w:cs="微软雅黑"/>
          <w:color w:val="000000" w:themeColor="text1"/>
          <w:sz w:val="16"/>
          <w:szCs w:val="16"/>
          <w:shd w:val="clear" w:color="auto" w:fill="FFFFFF"/>
          <w14:textFill>
            <w14:solidFill>
              <w14:schemeClr w14:val="tx1"/>
            </w14:solidFill>
          </w14:textFill>
        </w:rPr>
        <w:t>×</w:t>
      </w:r>
      <w:r>
        <w:rPr>
          <w:color w:val="000000" w:themeColor="text1"/>
          <w:szCs w:val="21"/>
          <w14:textFill>
            <w14:solidFill>
              <w14:schemeClr w14:val="tx1"/>
            </w14:solidFill>
          </w14:textFill>
        </w:rPr>
        <w:t>8在现场监督改进，依次类推，直到大中华服务总经理（或同级别经理）5</w:t>
      </w:r>
      <w:r>
        <w:rPr>
          <w:rFonts w:ascii="微软雅黑" w:hAnsi="微软雅黑" w:eastAsia="微软雅黑" w:cs="微软雅黑"/>
          <w:color w:val="000000" w:themeColor="text1"/>
          <w:sz w:val="16"/>
          <w:szCs w:val="16"/>
          <w:shd w:val="clear" w:color="auto" w:fill="FFFFFF"/>
          <w14:textFill>
            <w14:solidFill>
              <w14:schemeClr w14:val="tx1"/>
            </w14:solidFill>
          </w14:textFill>
        </w:rPr>
        <w:t>×</w:t>
      </w:r>
      <w:r>
        <w:rPr>
          <w:color w:val="000000" w:themeColor="text1"/>
          <w:szCs w:val="21"/>
          <w14:textFill>
            <w14:solidFill>
              <w14:schemeClr w14:val="tx1"/>
            </w14:solidFill>
          </w14:textFill>
        </w:rPr>
        <w:t>8在现场监督，直到完全改进。</w:t>
      </w:r>
    </w:p>
    <w:p w14:paraId="3F908DBF">
      <w:pPr>
        <w:numPr>
          <w:ilvl w:val="0"/>
          <w:numId w:val="9"/>
        </w:numPr>
        <w:tabs>
          <w:tab w:val="left" w:pos="0"/>
          <w:tab w:val="left" w:pos="426"/>
          <w:tab w:val="left" w:pos="1155"/>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服务期</w:t>
      </w:r>
      <w:r>
        <w:rPr>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服务期</w:t>
      </w:r>
      <w:r>
        <w:rPr>
          <w:color w:val="000000" w:themeColor="text1"/>
          <w:szCs w:val="21"/>
          <w14:textFill>
            <w14:solidFill>
              <w14:schemeClr w14:val="tx1"/>
            </w14:solidFill>
          </w14:textFill>
        </w:rPr>
        <w:t>内</w:t>
      </w: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免费</w:t>
      </w:r>
      <w:r>
        <w:rPr>
          <w:rFonts w:hint="eastAsia"/>
          <w:color w:val="000000" w:themeColor="text1"/>
          <w:szCs w:val="21"/>
          <w14:textFill>
            <w14:solidFill>
              <w14:schemeClr w14:val="tx1"/>
            </w14:solidFill>
          </w14:textFill>
        </w:rPr>
        <w:t>维护算力资源涉及的</w:t>
      </w:r>
      <w:r>
        <w:rPr>
          <w:color w:val="000000" w:themeColor="text1"/>
          <w:szCs w:val="21"/>
          <w14:textFill>
            <w14:solidFill>
              <w14:schemeClr w14:val="tx1"/>
            </w14:solidFill>
          </w14:textFill>
        </w:rPr>
        <w:t>软硬件系统，确保正常运行。</w:t>
      </w:r>
      <w:r>
        <w:rPr>
          <w:rFonts w:hint="eastAsia" w:ascii="宋体" w:hAnsi="宋体"/>
          <w:color w:val="000000" w:themeColor="text1"/>
          <w:szCs w:val="21"/>
          <w14:textFill>
            <w14:solidFill>
              <w14:schemeClr w14:val="tx1"/>
            </w14:solidFill>
          </w14:textFill>
        </w:rPr>
        <w:t>服务期</w:t>
      </w:r>
      <w:r>
        <w:rPr>
          <w:rFonts w:hint="eastAsia"/>
          <w:color w:val="000000" w:themeColor="text1"/>
          <w14:textFill>
            <w14:solidFill>
              <w14:schemeClr w14:val="tx1"/>
            </w14:solidFill>
          </w14:textFill>
        </w:rPr>
        <w:t>内若乙方提供的算力服务性能不达标，由乙方免费升级替换</w:t>
      </w:r>
      <w:r>
        <w:rPr>
          <w:rFonts w:hint="eastAsia"/>
          <w:color w:val="000000" w:themeColor="text1"/>
          <w:szCs w:val="21"/>
          <w14:textFill>
            <w14:solidFill>
              <w14:schemeClr w14:val="tx1"/>
            </w14:solidFill>
          </w14:textFill>
        </w:rPr>
        <w:t>，替换和升级费用由乙方承担，替换和升级方案需最小化甲方的系统迁移成本。</w:t>
      </w:r>
    </w:p>
    <w:p w14:paraId="279AAD48">
      <w:pPr>
        <w:numPr>
          <w:ilvl w:val="0"/>
          <w:numId w:val="9"/>
        </w:numPr>
        <w:tabs>
          <w:tab w:val="left" w:pos="0"/>
          <w:tab w:val="left" w:pos="1155"/>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服务期结束：</w:t>
      </w:r>
      <w:r>
        <w:rPr>
          <w:color w:val="000000" w:themeColor="text1"/>
          <w:szCs w:val="21"/>
          <w14:textFill>
            <w14:solidFill>
              <w14:schemeClr w14:val="tx1"/>
            </w14:solidFill>
          </w14:textFill>
        </w:rPr>
        <w:t>如甲方不再续租，乙方需配合甲方进行系统和数据迁移</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如</w:t>
      </w:r>
      <w:r>
        <w:rPr>
          <w:rFonts w:hint="eastAsia"/>
          <w:color w:val="000000" w:themeColor="text1"/>
          <w:szCs w:val="21"/>
          <w14:textFill>
            <w14:solidFill>
              <w14:schemeClr w14:val="tx1"/>
            </w14:solidFill>
          </w14:textFill>
        </w:rPr>
        <w:t>因</w:t>
      </w:r>
      <w:r>
        <w:rPr>
          <w:color w:val="000000" w:themeColor="text1"/>
          <w:szCs w:val="21"/>
          <w14:textFill>
            <w14:solidFill>
              <w14:schemeClr w14:val="tx1"/>
            </w14:solidFill>
          </w14:textFill>
        </w:rPr>
        <w:t>乙方原因</w:t>
      </w:r>
      <w:r>
        <w:rPr>
          <w:rFonts w:hint="eastAsia"/>
          <w:color w:val="000000" w:themeColor="text1"/>
          <w:szCs w:val="21"/>
          <w14:textFill>
            <w14:solidFill>
              <w14:schemeClr w14:val="tx1"/>
            </w14:solidFill>
          </w14:textFill>
        </w:rPr>
        <w:t>终止</w:t>
      </w:r>
      <w:r>
        <w:rPr>
          <w:color w:val="000000" w:themeColor="text1"/>
          <w:szCs w:val="21"/>
          <w14:textFill>
            <w14:solidFill>
              <w14:schemeClr w14:val="tx1"/>
            </w14:solidFill>
          </w14:textFill>
        </w:rPr>
        <w:t>租用服务，</w:t>
      </w: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需配合甲方进行系统和数据迁移，并赔偿</w:t>
      </w:r>
      <w:r>
        <w:rPr>
          <w:rFonts w:hint="eastAsia"/>
          <w:color w:val="000000" w:themeColor="text1"/>
          <w:szCs w:val="21"/>
          <w14:textFill>
            <w14:solidFill>
              <w14:schemeClr w14:val="tx1"/>
            </w14:solidFill>
          </w14:textFill>
        </w:rPr>
        <w:t>迁移</w:t>
      </w:r>
      <w:r>
        <w:rPr>
          <w:color w:val="000000" w:themeColor="text1"/>
          <w:szCs w:val="21"/>
          <w14:textFill>
            <w14:solidFill>
              <w14:schemeClr w14:val="tx1"/>
            </w14:solidFill>
          </w14:textFill>
        </w:rPr>
        <w:t>实施费用</w:t>
      </w:r>
      <w:r>
        <w:rPr>
          <w:rFonts w:hint="eastAsia"/>
          <w:color w:val="000000" w:themeColor="text1"/>
          <w:szCs w:val="21"/>
          <w14:textFill>
            <w14:solidFill>
              <w14:schemeClr w14:val="tx1"/>
            </w14:solidFill>
          </w14:textFill>
        </w:rPr>
        <w:t>。</w:t>
      </w:r>
    </w:p>
    <w:p w14:paraId="73F67546">
      <w:pPr>
        <w:numPr>
          <w:ilvl w:val="0"/>
          <w:numId w:val="9"/>
        </w:numPr>
        <w:tabs>
          <w:tab w:val="left" w:pos="0"/>
          <w:tab w:val="left"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培训：包括</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文件和</w:t>
      </w:r>
      <w:r>
        <w:rPr>
          <w:rFonts w:hint="eastAsia"/>
          <w:color w:val="000000" w:themeColor="text1"/>
          <w:szCs w:val="21"/>
          <w14:textFill>
            <w14:solidFill>
              <w14:schemeClr w14:val="tx1"/>
            </w14:solidFill>
          </w14:textFill>
        </w:rPr>
        <w:t>询标</w:t>
      </w:r>
      <w:r>
        <w:rPr>
          <w:color w:val="000000" w:themeColor="text1"/>
          <w:szCs w:val="21"/>
          <w14:textFill>
            <w14:solidFill>
              <w14:schemeClr w14:val="tx1"/>
            </w14:solidFill>
          </w14:textFill>
        </w:rPr>
        <w:t>时做出的书面承诺的培训。</w:t>
      </w:r>
      <w:r>
        <w:rPr>
          <w:rFonts w:hAnsi="宋体"/>
          <w:color w:val="000000" w:themeColor="text1"/>
          <w:szCs w:val="21"/>
          <w14:textFill>
            <w14:solidFill>
              <w14:schemeClr w14:val="tx1"/>
            </w14:solidFill>
          </w14:textFill>
        </w:rPr>
        <w:t>乙方应对甲方人员进行技术培训，使甲方人员具备独立管理、维护测试和故障处理等工作的能力，培训内容包含但不限于</w:t>
      </w:r>
      <w:r>
        <w:rPr>
          <w:rFonts w:hint="eastAsia" w:hAnsi="宋体"/>
          <w:color w:val="000000" w:themeColor="text1"/>
          <w:szCs w:val="21"/>
          <w14:textFill>
            <w14:solidFill>
              <w14:schemeClr w14:val="tx1"/>
            </w14:solidFill>
          </w14:textFill>
        </w:rPr>
        <w:t>系统的</w:t>
      </w:r>
      <w:r>
        <w:rPr>
          <w:rFonts w:hAnsi="宋体"/>
          <w:color w:val="000000" w:themeColor="text1"/>
          <w:szCs w:val="21"/>
          <w14:textFill>
            <w14:solidFill>
              <w14:schemeClr w14:val="tx1"/>
            </w14:solidFill>
          </w14:textFill>
        </w:rPr>
        <w:t>相关技术原理、性能、操作使用方法、维护管理的技术、实际的操作练习等。</w:t>
      </w:r>
      <w:r>
        <w:rPr>
          <w:color w:val="000000" w:themeColor="text1"/>
          <w:szCs w:val="21"/>
          <w14:textFill>
            <w14:solidFill>
              <w14:schemeClr w14:val="tx1"/>
            </w14:solidFill>
          </w14:textFill>
        </w:rPr>
        <w:t>乙方另行提供的其它培训，往返路程费用、住宿及餐饮等费用由乙方承担。</w:t>
      </w:r>
    </w:p>
    <w:p w14:paraId="387EB298">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十、技术和资料的保密事项</w:t>
      </w:r>
    </w:p>
    <w:p w14:paraId="6F963600">
      <w:pPr>
        <w:numPr>
          <w:ilvl w:val="0"/>
          <w:numId w:val="10"/>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甲、乙双方同意，在任何时候，不论是合同有效期内还是合同终止以后，对任何一方提供的秘密信息或双方共有的秘密信息均实行严格保密。</w:t>
      </w:r>
    </w:p>
    <w:p w14:paraId="70A29476">
      <w:pPr>
        <w:numPr>
          <w:ilvl w:val="0"/>
          <w:numId w:val="10"/>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甲方在未得到乙方许可前提下，不得向任何第三方透露乙方提供的文档和资料的商业秘密和技术秘密。</w:t>
      </w:r>
    </w:p>
    <w:p w14:paraId="28265374">
      <w:pPr>
        <w:numPr>
          <w:ilvl w:val="0"/>
          <w:numId w:val="10"/>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乙方有责任对</w:t>
      </w:r>
      <w:r>
        <w:rPr>
          <w:rFonts w:hint="eastAsia"/>
          <w:color w:val="000000" w:themeColor="text1"/>
          <w:szCs w:val="21"/>
          <w14:textFill>
            <w14:solidFill>
              <w14:schemeClr w14:val="tx1"/>
            </w14:solidFill>
          </w14:textFill>
        </w:rPr>
        <w:t>合同执行</w:t>
      </w:r>
      <w:r>
        <w:rPr>
          <w:color w:val="000000" w:themeColor="text1"/>
          <w:szCs w:val="21"/>
          <w14:textFill>
            <w14:solidFill>
              <w14:schemeClr w14:val="tx1"/>
            </w14:solidFill>
          </w14:textFill>
        </w:rPr>
        <w:t>中涉及的甲方商业情报、技术情报及相关文档资料保密。未得到甲方书面许可前提下，不得向任何第三方透露软件开发或使用过程中所涉及的甲方的商业秘密和技术秘密。</w:t>
      </w:r>
    </w:p>
    <w:p w14:paraId="615C41DC">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十</w:t>
      </w:r>
      <w:r>
        <w:rPr>
          <w:rFonts w:hint="eastAsia"/>
          <w:b/>
          <w:color w:val="000000" w:themeColor="text1"/>
          <w:szCs w:val="21"/>
          <w:lang w:val="en-US" w:eastAsia="zh-CN"/>
          <w14:textFill>
            <w14:solidFill>
              <w14:schemeClr w14:val="tx1"/>
            </w14:solidFill>
          </w14:textFill>
        </w:rPr>
        <w:t>一</w:t>
      </w:r>
      <w:r>
        <w:rPr>
          <w:rFonts w:hint="eastAsia"/>
          <w:b/>
          <w:color w:val="000000" w:themeColor="text1"/>
          <w:szCs w:val="21"/>
          <w14:textFill>
            <w14:solidFill>
              <w14:schemeClr w14:val="tx1"/>
            </w14:solidFill>
          </w14:textFill>
        </w:rPr>
        <w:t>、双方责任</w:t>
      </w:r>
    </w:p>
    <w:p w14:paraId="2B578205">
      <w:pPr>
        <w:tabs>
          <w:tab w:val="left" w:pos="0"/>
        </w:tabs>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甲方责任</w:t>
      </w:r>
    </w:p>
    <w:p w14:paraId="5723BF46">
      <w:pPr>
        <w:numPr>
          <w:ilvl w:val="0"/>
          <w:numId w:val="11"/>
        </w:numPr>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甲方需为乙方提供项目实施便利，积极配合乙方进行项目实施安装及调试</w:t>
      </w:r>
      <w:r>
        <w:rPr>
          <w:rFonts w:hint="eastAsia"/>
          <w:color w:val="000000" w:themeColor="text1"/>
          <w:szCs w:val="21"/>
          <w14:textFill>
            <w14:solidFill>
              <w14:schemeClr w14:val="tx1"/>
            </w14:solidFill>
          </w14:textFill>
        </w:rPr>
        <w:t>，但是由此发生的各类设备连接</w:t>
      </w:r>
      <w:r>
        <w:rPr>
          <w:color w:val="000000" w:themeColor="text1"/>
          <w:szCs w:val="21"/>
          <w14:textFill>
            <w14:solidFill>
              <w14:schemeClr w14:val="tx1"/>
            </w14:solidFill>
          </w14:textFill>
        </w:rPr>
        <w:t>、安装</w:t>
      </w:r>
      <w:r>
        <w:rPr>
          <w:rFonts w:hint="eastAsia"/>
          <w:color w:val="000000" w:themeColor="text1"/>
          <w:szCs w:val="21"/>
          <w14:textFill>
            <w14:solidFill>
              <w14:schemeClr w14:val="tx1"/>
            </w14:solidFill>
          </w14:textFill>
        </w:rPr>
        <w:t>材料、实施费用由乙方自行承担</w:t>
      </w:r>
      <w:r>
        <w:rPr>
          <w:color w:val="000000" w:themeColor="text1"/>
          <w:szCs w:val="21"/>
          <w14:textFill>
            <w14:solidFill>
              <w14:schemeClr w14:val="tx1"/>
            </w14:solidFill>
          </w14:textFill>
        </w:rPr>
        <w:t>。</w:t>
      </w:r>
    </w:p>
    <w:p w14:paraId="116DC8E2">
      <w:pPr>
        <w:numPr>
          <w:ilvl w:val="0"/>
          <w:numId w:val="11"/>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甲方需为乙方协调各方关系提供便利。</w:t>
      </w:r>
    </w:p>
    <w:p w14:paraId="3BC04185">
      <w:pPr>
        <w:numPr>
          <w:ilvl w:val="0"/>
          <w:numId w:val="11"/>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甲方应指派管理人员、技术人员参加项目系统安装、系统测试和其它工作。</w:t>
      </w:r>
    </w:p>
    <w:p w14:paraId="599E66BA">
      <w:pPr>
        <w:numPr>
          <w:ilvl w:val="0"/>
          <w:numId w:val="11"/>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因乙方未按合同质量或要求交付产品，甲方有权拒收，甲方的该项权利不因产品在启运前通过甲方的验收而受到任何限制或影响。</w:t>
      </w:r>
    </w:p>
    <w:p w14:paraId="2CD7DE7D">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乙方责任</w:t>
      </w:r>
    </w:p>
    <w:p w14:paraId="707F30FB">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乙方承诺：除</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文件及后续书面承诺标明的偏离外，乙方提供的产品和服务均满足</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文件要求。</w:t>
      </w:r>
    </w:p>
    <w:p w14:paraId="5A8709A3">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乙方应按照</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文件、乙方后续书面承诺的技术要求以及甲、乙双方协定补充文件，提供合格的产品，并保证通过甲方的验收，否则将按乙方不履行合同处理。</w:t>
      </w:r>
    </w:p>
    <w:p w14:paraId="0989A72E">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承诺</w:t>
      </w:r>
      <w:r>
        <w:rPr>
          <w:rFonts w:hint="eastAsia"/>
          <w:color w:val="000000" w:themeColor="text1"/>
          <w:szCs w:val="21"/>
          <w14:textFill>
            <w14:solidFill>
              <w14:schemeClr w14:val="tx1"/>
            </w14:solidFill>
          </w14:textFill>
        </w:rPr>
        <w:t>本合同</w:t>
      </w:r>
      <w:r>
        <w:rPr>
          <w:color w:val="000000" w:themeColor="text1"/>
          <w:szCs w:val="21"/>
          <w14:textFill>
            <w14:solidFill>
              <w14:schemeClr w14:val="tx1"/>
            </w14:solidFill>
          </w14:textFill>
        </w:rPr>
        <w:t>涉及的</w:t>
      </w:r>
      <w:r>
        <w:rPr>
          <w:rFonts w:hint="eastAsia"/>
          <w:color w:val="000000" w:themeColor="text1"/>
          <w:szCs w:val="21"/>
          <w14:textFill>
            <w14:solidFill>
              <w14:schemeClr w14:val="tx1"/>
            </w14:solidFill>
          </w14:textFill>
        </w:rPr>
        <w:t>云</w:t>
      </w:r>
      <w:r>
        <w:rPr>
          <w:color w:val="000000" w:themeColor="text1"/>
          <w:szCs w:val="21"/>
          <w14:textFill>
            <w14:solidFill>
              <w14:schemeClr w14:val="tx1"/>
            </w14:solidFill>
          </w14:textFill>
        </w:rPr>
        <w:t>服务</w:t>
      </w:r>
      <w:r>
        <w:rPr>
          <w:rFonts w:hint="eastAsia"/>
          <w:color w:val="000000" w:themeColor="text1"/>
          <w:szCs w:val="21"/>
          <w14:textFill>
            <w14:solidFill>
              <w14:schemeClr w14:val="tx1"/>
            </w14:solidFill>
          </w14:textFill>
        </w:rPr>
        <w:t>由乙方直接完成所有系统的</w:t>
      </w:r>
      <w:r>
        <w:rPr>
          <w:rFonts w:hint="eastAsia"/>
          <w:bCs/>
          <w:color w:val="000000" w:themeColor="text1"/>
          <w:szCs w:val="21"/>
          <w14:textFill>
            <w14:solidFill>
              <w14:schemeClr w14:val="tx1"/>
            </w14:solidFill>
          </w14:textFill>
        </w:rPr>
        <w:t>规划</w:t>
      </w:r>
      <w:r>
        <w:rPr>
          <w:bCs/>
          <w:color w:val="000000" w:themeColor="text1"/>
          <w:szCs w:val="21"/>
          <w14:textFill>
            <w14:solidFill>
              <w14:schemeClr w14:val="tx1"/>
            </w14:solidFill>
          </w14:textFill>
        </w:rPr>
        <w:t>、设计、</w:t>
      </w:r>
      <w:r>
        <w:rPr>
          <w:rFonts w:hint="eastAsia"/>
          <w:bCs/>
          <w:color w:val="000000" w:themeColor="text1"/>
          <w:szCs w:val="21"/>
          <w14:textFill>
            <w14:solidFill>
              <w14:schemeClr w14:val="tx1"/>
            </w14:solidFill>
          </w14:textFill>
        </w:rPr>
        <w:t>安装</w:t>
      </w:r>
      <w:r>
        <w:rPr>
          <w:bCs/>
          <w:color w:val="000000" w:themeColor="text1"/>
          <w:szCs w:val="21"/>
          <w14:textFill>
            <w14:solidFill>
              <w14:schemeClr w14:val="tx1"/>
            </w14:solidFill>
          </w14:textFill>
        </w:rPr>
        <w:t>、调试、</w:t>
      </w:r>
      <w:r>
        <w:rPr>
          <w:rFonts w:hint="eastAsia"/>
          <w:bCs/>
          <w:color w:val="000000" w:themeColor="text1"/>
          <w:szCs w:val="21"/>
          <w14:textFill>
            <w14:solidFill>
              <w14:schemeClr w14:val="tx1"/>
            </w14:solidFill>
          </w14:textFill>
        </w:rPr>
        <w:t>培训</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测试、迁移</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系统</w:t>
      </w:r>
      <w:r>
        <w:rPr>
          <w:bCs/>
          <w:color w:val="000000" w:themeColor="text1"/>
          <w:szCs w:val="21"/>
          <w14:textFill>
            <w14:solidFill>
              <w14:schemeClr w14:val="tx1"/>
            </w14:solidFill>
          </w14:textFill>
        </w:rPr>
        <w:t>升级、</w:t>
      </w:r>
      <w:r>
        <w:rPr>
          <w:rFonts w:hint="eastAsia"/>
          <w:bCs/>
          <w:color w:val="000000" w:themeColor="text1"/>
          <w:szCs w:val="21"/>
          <w14:textFill>
            <w14:solidFill>
              <w14:schemeClr w14:val="tx1"/>
            </w14:solidFill>
          </w14:textFill>
        </w:rPr>
        <w:t>应急</w:t>
      </w:r>
      <w:r>
        <w:rPr>
          <w:bCs/>
          <w:color w:val="000000" w:themeColor="text1"/>
          <w:szCs w:val="21"/>
          <w14:textFill>
            <w14:solidFill>
              <w14:schemeClr w14:val="tx1"/>
            </w14:solidFill>
          </w14:textFill>
        </w:rPr>
        <w:t>备份、</w:t>
      </w:r>
      <w:r>
        <w:rPr>
          <w:rFonts w:hint="eastAsia"/>
          <w:bCs/>
          <w:color w:val="000000" w:themeColor="text1"/>
          <w:szCs w:val="21"/>
          <w14:textFill>
            <w14:solidFill>
              <w14:schemeClr w14:val="tx1"/>
            </w14:solidFill>
          </w14:textFill>
        </w:rPr>
        <w:t>维修</w:t>
      </w:r>
      <w:r>
        <w:rPr>
          <w:bCs/>
          <w:color w:val="000000" w:themeColor="text1"/>
          <w:szCs w:val="21"/>
          <w14:textFill>
            <w14:solidFill>
              <w14:schemeClr w14:val="tx1"/>
            </w14:solidFill>
          </w14:textFill>
        </w:rPr>
        <w:t>和驻场服务</w:t>
      </w:r>
      <w:r>
        <w:rPr>
          <w:rFonts w:hint="eastAsia"/>
          <w:bCs/>
          <w:color w:val="000000" w:themeColor="text1"/>
          <w:szCs w:val="21"/>
          <w14:textFill>
            <w14:solidFill>
              <w14:schemeClr w14:val="tx1"/>
            </w14:solidFill>
          </w14:textFill>
        </w:rPr>
        <w:t>等</w:t>
      </w:r>
      <w:r>
        <w:rPr>
          <w:bCs/>
          <w:color w:val="000000" w:themeColor="text1"/>
          <w:szCs w:val="21"/>
          <w14:textFill>
            <w14:solidFill>
              <w14:schemeClr w14:val="tx1"/>
            </w14:solidFill>
          </w14:textFill>
        </w:rPr>
        <w:t>运维</w:t>
      </w:r>
      <w:r>
        <w:rPr>
          <w:color w:val="000000" w:themeColor="text1"/>
          <w:szCs w:val="21"/>
          <w14:textFill>
            <w14:solidFill>
              <w14:schemeClr w14:val="tx1"/>
            </w14:solidFill>
          </w14:textFill>
        </w:rPr>
        <w:t>工作</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乙方</w:t>
      </w:r>
      <w:r>
        <w:rPr>
          <w:rFonts w:hint="eastAsia"/>
          <w:color w:val="000000" w:themeColor="text1"/>
          <w:szCs w:val="21"/>
          <w14:textFill>
            <w14:solidFill>
              <w14:schemeClr w14:val="tx1"/>
            </w14:solidFill>
          </w14:textFill>
        </w:rPr>
        <w:t>负责</w:t>
      </w:r>
      <w:r>
        <w:rPr>
          <w:color w:val="000000" w:themeColor="text1"/>
          <w:szCs w:val="21"/>
          <w14:textFill>
            <w14:solidFill>
              <w14:schemeClr w14:val="tx1"/>
            </w14:solidFill>
          </w14:textFill>
        </w:rPr>
        <w:t>承担</w:t>
      </w: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服务过程中的相应</w:t>
      </w:r>
      <w:r>
        <w:rPr>
          <w:rFonts w:hint="eastAsia"/>
          <w:color w:val="000000" w:themeColor="text1"/>
          <w:szCs w:val="21"/>
          <w14:textFill>
            <w14:solidFill>
              <w14:schemeClr w14:val="tx1"/>
            </w14:solidFill>
          </w14:textFill>
        </w:rPr>
        <w:t>违约</w:t>
      </w:r>
      <w:r>
        <w:rPr>
          <w:color w:val="000000" w:themeColor="text1"/>
          <w:szCs w:val="21"/>
          <w14:textFill>
            <w14:solidFill>
              <w14:schemeClr w14:val="tx1"/>
            </w14:solidFill>
          </w14:textFill>
        </w:rPr>
        <w:t>责任</w:t>
      </w:r>
      <w:r>
        <w:rPr>
          <w:rFonts w:hint="eastAsia"/>
          <w:color w:val="000000" w:themeColor="text1"/>
          <w:szCs w:val="21"/>
          <w14:textFill>
            <w14:solidFill>
              <w14:schemeClr w14:val="tx1"/>
            </w14:solidFill>
          </w14:textFill>
        </w:rPr>
        <w:t>。</w:t>
      </w:r>
    </w:p>
    <w:p w14:paraId="00DF57F2">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在系统安装、调试、开发过程中，乙方须保证不影响甲方现有系统的正常运行和现有业务的正常发展。</w:t>
      </w:r>
    </w:p>
    <w:p w14:paraId="133D964A">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乙方保证在系统安装、调试、开发过程中不非法使用第三方软件。</w:t>
      </w:r>
      <w:r>
        <w:rPr>
          <w:rFonts w:hint="eastAsia"/>
          <w:color w:val="000000" w:themeColor="text1"/>
          <w:szCs w:val="21"/>
          <w14:textFill>
            <w14:solidFill>
              <w14:schemeClr w14:val="tx1"/>
            </w14:solidFill>
          </w14:textFill>
        </w:rPr>
        <w:t>不侵犯第三人含知识产权在内的任何合法权益，否则，甲方有权立即解除合同，乙方应承担甲方由此遭受的全部损失。</w:t>
      </w:r>
    </w:p>
    <w:p w14:paraId="3CBB5147">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乙方在产品安装、调试、开发过程中须派驻足够的有经验的工程技术人员到施工现场进行安装指导，在甲方的组织安排下负责完成系统调试、现场性能试验和验收，服从甲方的现场安排。</w:t>
      </w:r>
    </w:p>
    <w:p w14:paraId="7929DF34">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乙方按照要求提供产品</w:t>
      </w:r>
      <w:r>
        <w:rPr>
          <w:rFonts w:hint="eastAsia"/>
          <w:color w:val="000000" w:themeColor="text1"/>
          <w:szCs w:val="21"/>
          <w14:textFill>
            <w14:solidFill>
              <w14:schemeClr w14:val="tx1"/>
            </w14:solidFill>
          </w14:textFill>
        </w:rPr>
        <w:t>功能</w:t>
      </w:r>
      <w:r>
        <w:rPr>
          <w:color w:val="000000" w:themeColor="text1"/>
          <w:szCs w:val="21"/>
          <w14:textFill>
            <w14:solidFill>
              <w14:schemeClr w14:val="tx1"/>
            </w14:solidFill>
          </w14:textFill>
        </w:rPr>
        <w:t>和性能检测记录、调试记录等</w:t>
      </w:r>
      <w:r>
        <w:rPr>
          <w:rFonts w:hint="eastAsia"/>
          <w:color w:val="000000" w:themeColor="text1"/>
          <w:szCs w:val="21"/>
          <w14:textFill>
            <w14:solidFill>
              <w14:schemeClr w14:val="tx1"/>
            </w14:solidFill>
          </w14:textFill>
        </w:rPr>
        <w:t>测试</w:t>
      </w:r>
      <w:r>
        <w:rPr>
          <w:color w:val="000000" w:themeColor="text1"/>
          <w:szCs w:val="21"/>
          <w14:textFill>
            <w14:solidFill>
              <w14:schemeClr w14:val="tx1"/>
            </w14:solidFill>
          </w14:textFill>
        </w:rPr>
        <w:t>报告，且需</w:t>
      </w:r>
      <w:r>
        <w:rPr>
          <w:rFonts w:hint="eastAsia"/>
          <w:color w:val="000000" w:themeColor="text1"/>
          <w:szCs w:val="21"/>
          <w14:textFill>
            <w14:solidFill>
              <w14:schemeClr w14:val="tx1"/>
            </w14:solidFill>
          </w14:textFill>
        </w:rPr>
        <w:t>符合或</w:t>
      </w:r>
      <w:r>
        <w:rPr>
          <w:color w:val="000000" w:themeColor="text1"/>
          <w:szCs w:val="21"/>
          <w14:textFill>
            <w14:solidFill>
              <w14:schemeClr w14:val="tx1"/>
            </w14:solidFill>
          </w14:textFill>
        </w:rPr>
        <w:t>优于</w:t>
      </w:r>
      <w:r>
        <w:rPr>
          <w:rFonts w:hint="eastAsia"/>
          <w:color w:val="000000" w:themeColor="text1"/>
          <w:szCs w:val="21"/>
          <w14:textFill>
            <w14:solidFill>
              <w14:schemeClr w14:val="tx1"/>
            </w14:solidFill>
          </w14:textFill>
        </w:rPr>
        <w:t>乙方响应</w:t>
      </w:r>
      <w:r>
        <w:rPr>
          <w:color w:val="000000" w:themeColor="text1"/>
          <w:szCs w:val="21"/>
          <w14:textFill>
            <w14:solidFill>
              <w14:schemeClr w14:val="tx1"/>
            </w14:solidFill>
          </w14:textFill>
        </w:rPr>
        <w:t>文件和询标时做出的书面承诺中明确</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标书要求。</w:t>
      </w:r>
    </w:p>
    <w:p w14:paraId="5664BE48">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乙方负责</w:t>
      </w:r>
      <w:r>
        <w:rPr>
          <w:rFonts w:hint="eastAsia"/>
          <w:color w:val="000000" w:themeColor="text1"/>
          <w:szCs w:val="21"/>
          <w14:textFill>
            <w14:solidFill>
              <w14:schemeClr w14:val="tx1"/>
            </w14:solidFill>
          </w14:textFill>
        </w:rPr>
        <w:t>配合甲方</w:t>
      </w:r>
      <w:r>
        <w:rPr>
          <w:color w:val="000000" w:themeColor="text1"/>
          <w:szCs w:val="21"/>
          <w14:textFill>
            <w14:solidFill>
              <w14:schemeClr w14:val="tx1"/>
            </w14:solidFill>
          </w14:textFill>
        </w:rPr>
        <w:t>的监控系统集成和联调。</w:t>
      </w:r>
    </w:p>
    <w:p w14:paraId="71E4BBAD">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乙方负责配合相关厂家，定期检查</w:t>
      </w:r>
      <w:r>
        <w:rPr>
          <w:rFonts w:hint="eastAsia"/>
          <w:color w:val="000000" w:themeColor="text1"/>
          <w:szCs w:val="21"/>
          <w14:textFill>
            <w14:solidFill>
              <w14:schemeClr w14:val="tx1"/>
            </w14:solidFill>
          </w14:textFill>
        </w:rPr>
        <w:t>系统</w:t>
      </w:r>
      <w:r>
        <w:rPr>
          <w:color w:val="000000" w:themeColor="text1"/>
          <w:szCs w:val="21"/>
          <w14:textFill>
            <w14:solidFill>
              <w14:schemeClr w14:val="tx1"/>
            </w14:solidFill>
          </w14:textFill>
        </w:rPr>
        <w:t>、及时排查</w:t>
      </w:r>
      <w:r>
        <w:rPr>
          <w:rFonts w:hint="eastAsia"/>
          <w:color w:val="000000" w:themeColor="text1"/>
          <w:szCs w:val="21"/>
          <w14:textFill>
            <w14:solidFill>
              <w14:schemeClr w14:val="tx1"/>
            </w14:solidFill>
          </w14:textFill>
        </w:rPr>
        <w:t>系统</w:t>
      </w:r>
      <w:r>
        <w:rPr>
          <w:color w:val="000000" w:themeColor="text1"/>
          <w:szCs w:val="21"/>
          <w14:textFill>
            <w14:solidFill>
              <w14:schemeClr w14:val="tx1"/>
            </w14:solidFill>
          </w14:textFill>
        </w:rPr>
        <w:t>故障。</w:t>
      </w:r>
    </w:p>
    <w:p w14:paraId="6F00CEC9">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乙方未按合同规定的质量要求交付产品</w:t>
      </w:r>
      <w:r>
        <w:rPr>
          <w:rFonts w:hint="eastAsia"/>
          <w:color w:val="000000" w:themeColor="text1"/>
          <w:szCs w:val="21"/>
          <w14:textFill>
            <w14:solidFill>
              <w14:schemeClr w14:val="tx1"/>
            </w14:solidFill>
          </w14:textFill>
        </w:rPr>
        <w:t>和</w:t>
      </w:r>
      <w:r>
        <w:rPr>
          <w:color w:val="000000" w:themeColor="text1"/>
          <w:szCs w:val="21"/>
          <w14:textFill>
            <w14:solidFill>
              <w14:schemeClr w14:val="tx1"/>
            </w14:solidFill>
          </w14:textFill>
        </w:rPr>
        <w:t>服务，甲方拒收时，乙方应承担合同的违约责任。</w:t>
      </w:r>
    </w:p>
    <w:p w14:paraId="0D09E770">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迟延履行，甲方书面确定一个合理的期限，如乙方仍不能履行，按乙方不履行合同处理。</w:t>
      </w:r>
    </w:p>
    <w:p w14:paraId="50007540">
      <w:pPr>
        <w:numPr>
          <w:ilvl w:val="0"/>
          <w:numId w:val="12"/>
        </w:numPr>
        <w:tabs>
          <w:tab w:val="left" w:pos="0"/>
          <w:tab w:val="clear" w:pos="420"/>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乙方保证不在软件中对功能、性能、容量进行人为限制，不得含有陷阱、逻辑炸弹、后门等非法程序代码。</w:t>
      </w:r>
    </w:p>
    <w:p w14:paraId="3C9EEF9E">
      <w:pPr>
        <w:numPr>
          <w:ilvl w:val="0"/>
          <w:numId w:val="12"/>
        </w:numPr>
        <w:tabs>
          <w:tab w:val="left" w:pos="0"/>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w:t>
      </w:r>
      <w:r>
        <w:rPr>
          <w:color w:val="000000" w:themeColor="text1"/>
          <w:szCs w:val="21"/>
          <w14:textFill>
            <w14:solidFill>
              <w14:schemeClr w14:val="tx1"/>
            </w14:solidFill>
          </w14:textFill>
        </w:rPr>
        <w:t>云</w:t>
      </w:r>
      <w:r>
        <w:rPr>
          <w:rFonts w:hint="eastAsia"/>
          <w:color w:val="000000" w:themeColor="text1"/>
          <w:szCs w:val="21"/>
          <w14:textFill>
            <w14:solidFill>
              <w14:schemeClr w14:val="tx1"/>
            </w14:solidFill>
          </w14:textFill>
        </w:rPr>
        <w:t>资源</w:t>
      </w:r>
      <w:r>
        <w:rPr>
          <w:color w:val="000000" w:themeColor="text1"/>
          <w:szCs w:val="21"/>
          <w14:textFill>
            <w14:solidFill>
              <w14:schemeClr w14:val="tx1"/>
            </w14:solidFill>
          </w14:textFill>
        </w:rPr>
        <w:t>服务</w:t>
      </w:r>
      <w:r>
        <w:rPr>
          <w:rFonts w:hint="eastAsia"/>
          <w:color w:val="000000" w:themeColor="text1"/>
          <w:szCs w:val="21"/>
          <w14:textFill>
            <w14:solidFill>
              <w14:schemeClr w14:val="tx1"/>
            </w14:solidFill>
          </w14:textFill>
        </w:rPr>
        <w:t>期</w:t>
      </w:r>
      <w:r>
        <w:rPr>
          <w:color w:val="000000" w:themeColor="text1"/>
          <w:szCs w:val="21"/>
          <w14:textFill>
            <w14:solidFill>
              <w14:schemeClr w14:val="tx1"/>
            </w14:solidFill>
          </w14:textFill>
        </w:rPr>
        <w:t>结束，</w:t>
      </w: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须</w:t>
      </w:r>
      <w:r>
        <w:rPr>
          <w:rFonts w:hint="eastAsia"/>
          <w:color w:val="000000" w:themeColor="text1"/>
          <w:szCs w:val="21"/>
          <w14:textFill>
            <w14:solidFill>
              <w14:schemeClr w14:val="tx1"/>
            </w14:solidFill>
          </w14:textFill>
        </w:rPr>
        <w:t>在甲方监督下进行云平台</w:t>
      </w:r>
      <w:r>
        <w:rPr>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数据销毁。</w:t>
      </w:r>
    </w:p>
    <w:p w14:paraId="385B524C">
      <w:pPr>
        <w:numPr>
          <w:ilvl w:val="0"/>
          <w:numId w:val="12"/>
        </w:numPr>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暂停服务：</w:t>
      </w:r>
    </w:p>
    <w:p w14:paraId="2270F58B">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（1）计划内暂停服务</w:t>
      </w:r>
    </w:p>
    <w:p w14:paraId="6288975B">
      <w:pPr>
        <w:spacing w:line="360" w:lineRule="auto"/>
        <w:ind w:firstLine="567" w:firstLineChars="27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乙方应于每年12月31日之前提交下一年度维护计划，将其重大维护和更新工作通知甲方。如果有计划内暂停服务，乙方应提前至少一个月将暂停服务的预定日期通知甲方。甲方应在预定日期之前至少一个星期确认批准或不批准提议的计划内暂停服务。如果甲方没有在计划内暂停服务之前一个星期给予书面答复，计划内暂停服务应被视为获得批准。</w:t>
      </w:r>
    </w:p>
    <w:p w14:paraId="2D23714D">
      <w:pPr>
        <w:spacing w:line="360" w:lineRule="auto"/>
        <w:ind w:firstLine="567" w:firstLineChars="27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 甲方不得无故拒绝计划内暂停服务，条件是在可能情况下，乙方应尽最大努力使得计划内暂停服务的影响减到最小。</w:t>
      </w:r>
    </w:p>
    <w:p w14:paraId="43BE5863">
      <w:pPr>
        <w:spacing w:line="360" w:lineRule="auto"/>
        <w:ind w:firstLine="567" w:firstLineChars="27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(c)乙方提供的通知应包括以下内容：</w:t>
      </w:r>
    </w:p>
    <w:p w14:paraId="78519764">
      <w:pPr>
        <w:spacing w:line="360" w:lineRule="auto"/>
        <w:ind w:firstLine="850" w:firstLineChars="40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（i）暂停服务的范围和理由；</w:t>
      </w:r>
    </w:p>
    <w:p w14:paraId="6D29D7D4">
      <w:pPr>
        <w:spacing w:line="360" w:lineRule="auto"/>
        <w:ind w:firstLine="850" w:firstLineChars="40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（ii）暂停服务的时间；</w:t>
      </w:r>
    </w:p>
    <w:p w14:paraId="7949CDA2">
      <w:pPr>
        <w:spacing w:line="360" w:lineRule="auto"/>
        <w:ind w:firstLine="850" w:firstLineChars="40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（iii）计划内暂停服务期间预计能够提供的</w:t>
      </w:r>
      <w:r>
        <w:rPr>
          <w:color w:val="000000" w:themeColor="text1"/>
          <w:szCs w:val="21"/>
          <w14:textFill>
            <w14:solidFill>
              <w14:schemeClr w14:val="tx1"/>
            </w14:solidFill>
          </w14:textFill>
        </w:rPr>
        <w:t>备份服务；</w:t>
      </w:r>
    </w:p>
    <w:p w14:paraId="1F62B62A">
      <w:pPr>
        <w:spacing w:line="360" w:lineRule="auto"/>
        <w:ind w:firstLine="850" w:firstLineChars="40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（iv）恢复服务的大约时间；</w:t>
      </w:r>
    </w:p>
    <w:p w14:paraId="28F33BE8">
      <w:pPr>
        <w:spacing w:line="360" w:lineRule="auto"/>
        <w:ind w:firstLine="850" w:firstLineChars="40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w:instrText>
      </w:r>
      <w:r>
        <w:rPr>
          <w:rFonts w:hint="eastAsia"/>
          <w:color w:val="000000" w:themeColor="text1"/>
          <w:szCs w:val="21"/>
          <w14:textFill>
            <w14:solidFill>
              <w14:schemeClr w14:val="tx1"/>
            </w14:solidFill>
          </w14:textFill>
        </w:rPr>
        <w:instrText xml:space="preserve">= 5 \* roman</w:instrText>
      </w:r>
      <w:r>
        <w:rPr>
          <w:color w:val="000000" w:themeColor="text1"/>
          <w:szCs w:val="21"/>
          <w14:textFill>
            <w14:solidFill>
              <w14:schemeClr w14:val="tx1"/>
            </w14:solidFill>
          </w14:textFill>
        </w:rPr>
        <w:instrText xml:space="preserve">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v</w:t>
      </w:r>
      <w:r>
        <w:rPr>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）无法</w:t>
      </w:r>
      <w:r>
        <w:rPr>
          <w:color w:val="000000" w:themeColor="text1"/>
          <w:szCs w:val="21"/>
          <w14:textFill>
            <w14:solidFill>
              <w14:schemeClr w14:val="tx1"/>
            </w14:solidFill>
          </w14:textFill>
        </w:rPr>
        <w:t>正常恢复时的，</w:t>
      </w:r>
      <w:r>
        <w:rPr>
          <w:rFonts w:hint="eastAsia"/>
          <w:color w:val="000000" w:themeColor="text1"/>
          <w:szCs w:val="21"/>
          <w14:textFill>
            <w14:solidFill>
              <w14:schemeClr w14:val="tx1"/>
            </w14:solidFill>
          </w14:textFill>
        </w:rPr>
        <w:t>应急恢复</w:t>
      </w:r>
      <w:r>
        <w:rPr>
          <w:color w:val="000000" w:themeColor="text1"/>
          <w:szCs w:val="21"/>
          <w14:textFill>
            <w14:solidFill>
              <w14:schemeClr w14:val="tx1"/>
            </w14:solidFill>
          </w14:textFill>
        </w:rPr>
        <w:t>措施。</w:t>
      </w:r>
    </w:p>
    <w:p w14:paraId="164DF42C">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(d)计划内暂停服务时间必须为甲方业务</w:t>
      </w:r>
      <w:r>
        <w:rPr>
          <w:color w:val="000000" w:themeColor="text1"/>
          <w:szCs w:val="21"/>
          <w14:textFill>
            <w14:solidFill>
              <w14:schemeClr w14:val="tx1"/>
            </w14:solidFill>
          </w14:textFill>
        </w:rPr>
        <w:t>空闲时间</w:t>
      </w:r>
      <w:r>
        <w:rPr>
          <w:rFonts w:hint="eastAsia"/>
          <w:color w:val="000000" w:themeColor="text1"/>
          <w:szCs w:val="21"/>
          <w14:textFill>
            <w14:solidFill>
              <w14:schemeClr w14:val="tx1"/>
            </w14:solidFill>
          </w14:textFill>
        </w:rPr>
        <w:t>。</w:t>
      </w:r>
    </w:p>
    <w:p w14:paraId="479CFB00">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（2）计划外暂停服务</w:t>
      </w:r>
    </w:p>
    <w:p w14:paraId="6C55FF9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（a）如果乙方有计划外暂停服务，乙方应立即通知甲方，解释暂停服务的原因以及提出更正暂停服务的建议，乙方应尽其最大努力恢复正常服务。</w:t>
      </w:r>
    </w:p>
    <w:p w14:paraId="3A3C61A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（b）如果暂停服务时间预期超过1小时，则乙方应考虑和</w:t>
      </w:r>
      <w:r>
        <w:rPr>
          <w:color w:val="000000" w:themeColor="text1"/>
          <w:szCs w:val="21"/>
          <w14:textFill>
            <w14:solidFill>
              <w14:schemeClr w14:val="tx1"/>
            </w14:solidFill>
          </w14:textFill>
        </w:rPr>
        <w:t>提供</w:t>
      </w:r>
      <w:r>
        <w:rPr>
          <w:rFonts w:hint="eastAsia"/>
          <w:color w:val="000000" w:themeColor="text1"/>
          <w:szCs w:val="21"/>
          <w14:textFill>
            <w14:solidFill>
              <w14:schemeClr w14:val="tx1"/>
            </w14:solidFill>
          </w14:textFill>
        </w:rPr>
        <w:t>甲方关于处理暂停服务的建议或意见。</w:t>
      </w:r>
    </w:p>
    <w:p w14:paraId="397C5835">
      <w:pPr>
        <w:numPr>
          <w:ilvl w:val="0"/>
          <w:numId w:val="12"/>
        </w:numPr>
        <w:tabs>
          <w:tab w:val="left" w:pos="0"/>
          <w:tab w:val="clear" w:pos="420"/>
        </w:tabs>
        <w:spacing w:line="360" w:lineRule="auto"/>
        <w:ind w:left="0" w:firstLine="420" w:firstLineChars="200"/>
        <w:rPr>
          <w:rFonts w:hint="eastAsia"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7250B6BA">
      <w:pPr>
        <w:numPr>
          <w:ilvl w:val="0"/>
          <w:numId w:val="12"/>
        </w:numPr>
        <w:tabs>
          <w:tab w:val="left" w:pos="0"/>
          <w:tab w:val="clear" w:pos="420"/>
        </w:tabs>
        <w:spacing w:line="360" w:lineRule="auto"/>
        <w:ind w:left="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乙方应为其人员（含派驻甲方的技术工程师）提供相应劳动保护，非因甲方原因，乙方人员遭受人身、财产损害，或乙方人员造成甲方、第三人人身财产损害的，由乙方承担全部责任。</w:t>
      </w:r>
    </w:p>
    <w:p w14:paraId="1D7EF6BB">
      <w:pPr>
        <w:numPr>
          <w:ilvl w:val="0"/>
          <w:numId w:val="12"/>
        </w:numPr>
        <w:tabs>
          <w:tab w:val="left" w:pos="0"/>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乙方与甲方双方共享本项目的知识产权。</w:t>
      </w:r>
    </w:p>
    <w:p w14:paraId="2ACC32D6">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十</w:t>
      </w:r>
      <w:r>
        <w:rPr>
          <w:rFonts w:hint="eastAsia"/>
          <w:b/>
          <w:color w:val="000000" w:themeColor="text1"/>
          <w:szCs w:val="21"/>
          <w:lang w:val="en-US" w:eastAsia="zh-CN"/>
          <w14:textFill>
            <w14:solidFill>
              <w14:schemeClr w14:val="tx1"/>
            </w14:solidFill>
          </w14:textFill>
        </w:rPr>
        <w:t>二</w:t>
      </w:r>
      <w:r>
        <w:rPr>
          <w:rFonts w:hint="eastAsia"/>
          <w:b/>
          <w:color w:val="000000" w:themeColor="text1"/>
          <w:szCs w:val="21"/>
          <w14:textFill>
            <w14:solidFill>
              <w14:schemeClr w14:val="tx1"/>
            </w14:solidFill>
          </w14:textFill>
        </w:rPr>
        <w:t>、违约责任</w:t>
      </w:r>
    </w:p>
    <w:p w14:paraId="76C6F97B">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乙方承担本合同约定事项的违约责任，且不因设备或软件是由第三方制造或开发设计等因素而受到影响。</w:t>
      </w:r>
    </w:p>
    <w:p w14:paraId="4A5DD74C">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由于乙方提供的</w:t>
      </w:r>
      <w:r>
        <w:rPr>
          <w:rFonts w:hint="eastAsia"/>
          <w:color w:val="000000" w:themeColor="text1"/>
          <w:szCs w:val="21"/>
          <w14:textFill>
            <w14:solidFill>
              <w14:schemeClr w14:val="tx1"/>
            </w14:solidFill>
          </w14:textFill>
        </w:rPr>
        <w:t>云服务功能</w:t>
      </w:r>
      <w:r>
        <w:rPr>
          <w:color w:val="000000" w:themeColor="text1"/>
          <w:szCs w:val="21"/>
          <w14:textFill>
            <w14:solidFill>
              <w14:schemeClr w14:val="tx1"/>
            </w14:solidFill>
          </w14:textFill>
        </w:rPr>
        <w:t>和性能不符合</w:t>
      </w:r>
      <w:r>
        <w:rPr>
          <w:rFonts w:hint="eastAsia"/>
          <w:color w:val="000000" w:themeColor="text1"/>
          <w:szCs w:val="21"/>
          <w14:textFill>
            <w14:solidFill>
              <w14:schemeClr w14:val="tx1"/>
            </w14:solidFill>
          </w14:textFill>
        </w:rPr>
        <w:t>招标文件</w:t>
      </w:r>
      <w:r>
        <w:rPr>
          <w:color w:val="000000" w:themeColor="text1"/>
          <w:szCs w:val="21"/>
          <w14:textFill>
            <w14:solidFill>
              <w14:schemeClr w14:val="tx1"/>
            </w14:solidFill>
          </w14:textFill>
        </w:rPr>
        <w:t>规定的要求时，甲方有权要求乙方更换，如果乙方产品在更换后仍不符合要求，甲方有权终止合同</w:t>
      </w:r>
      <w:r>
        <w:rPr>
          <w:rFonts w:hint="eastAsia"/>
          <w:color w:val="000000" w:themeColor="text1"/>
          <w:szCs w:val="21"/>
          <w14:textFill>
            <w14:solidFill>
              <w14:schemeClr w14:val="tx1"/>
            </w14:solidFill>
          </w14:textFill>
        </w:rPr>
        <w:t>，乙方应支付云服务费总额20%的违约金给甲方</w:t>
      </w:r>
      <w:r>
        <w:rPr>
          <w:color w:val="000000" w:themeColor="text1"/>
          <w:szCs w:val="21"/>
          <w14:textFill>
            <w14:solidFill>
              <w14:schemeClr w14:val="tx1"/>
            </w14:solidFill>
          </w14:textFill>
        </w:rPr>
        <w:t>。</w:t>
      </w:r>
    </w:p>
    <w:p w14:paraId="0D1962F1">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在合同规定的</w:t>
      </w:r>
      <w:r>
        <w:rPr>
          <w:rFonts w:hint="eastAsia"/>
          <w:color w:val="000000" w:themeColor="text1"/>
          <w:szCs w:val="21"/>
          <w14:textFill>
            <w14:solidFill>
              <w14:schemeClr w14:val="tx1"/>
            </w14:solidFill>
          </w14:textFill>
        </w:rPr>
        <w:t>租用</w:t>
      </w:r>
      <w:r>
        <w:rPr>
          <w:color w:val="000000" w:themeColor="text1"/>
          <w:szCs w:val="21"/>
          <w14:textFill>
            <w14:solidFill>
              <w14:schemeClr w14:val="tx1"/>
            </w14:solidFill>
          </w14:textFill>
        </w:rPr>
        <w:t>内，如果乙方维修售后服务不及时，产品质量不稳定，则甲方有权酌情扣除</w:t>
      </w:r>
      <w:r>
        <w:rPr>
          <w:rFonts w:hint="eastAsia"/>
          <w:color w:val="000000" w:themeColor="text1"/>
          <w:szCs w:val="21"/>
          <w14:textFill>
            <w14:solidFill>
              <w14:schemeClr w14:val="tx1"/>
            </w14:solidFill>
          </w14:textFill>
        </w:rPr>
        <w:t>租金</w:t>
      </w:r>
      <w:r>
        <w:rPr>
          <w:color w:val="000000" w:themeColor="text1"/>
          <w:szCs w:val="21"/>
          <w14:textFill>
            <w14:solidFill>
              <w14:schemeClr w14:val="tx1"/>
            </w14:solidFill>
          </w14:textFill>
        </w:rPr>
        <w:t>，并追究乙方赔偿损失的责任。</w:t>
      </w:r>
    </w:p>
    <w:p w14:paraId="21F57359">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在合同规定的</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期内，如因乙方原因造成甲方其他</w:t>
      </w:r>
      <w:r>
        <w:rPr>
          <w:rFonts w:hint="eastAsia"/>
          <w:color w:val="000000" w:themeColor="text1"/>
          <w:szCs w:val="21"/>
          <w14:textFill>
            <w14:solidFill>
              <w14:schemeClr w14:val="tx1"/>
            </w14:solidFill>
          </w14:textFill>
        </w:rPr>
        <w:t>直接</w:t>
      </w:r>
      <w:r>
        <w:rPr>
          <w:color w:val="000000" w:themeColor="text1"/>
          <w:szCs w:val="21"/>
          <w14:textFill>
            <w14:solidFill>
              <w14:schemeClr w14:val="tx1"/>
            </w14:solidFill>
          </w14:textFill>
        </w:rPr>
        <w:t>经济损失的，乙方须承担赔偿损失的责任。</w:t>
      </w:r>
    </w:p>
    <w:p w14:paraId="6056CEDC">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甲方有权根据当地质检部门出具的检验报告，就乙方提供的产品及系统质量问题向乙方提出索赔，检测费用由乙方承担。</w:t>
      </w:r>
    </w:p>
    <w:p w14:paraId="7D4AAA3B">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如果在甲方发出索赔通知后20日内，乙方未作书面答复，视为乙方接受索赔要求，乙方应当立即支付赔偿金。</w:t>
      </w:r>
    </w:p>
    <w:p w14:paraId="3471913F">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乙方未按本合同第九条、十条约定提供合格的服务，甲方在行使上述权利的同时，有权向第三方寻求该服务，由此产生的费用由乙方承担。</w:t>
      </w:r>
    </w:p>
    <w:p w14:paraId="03DDE273">
      <w:pPr>
        <w:numPr>
          <w:ilvl w:val="0"/>
          <w:numId w:val="13"/>
        </w:numPr>
        <w:tabs>
          <w:tab w:val="left" w:pos="426"/>
          <w:tab w:val="clear" w:pos="1155"/>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服务期内，乙方不再提供云服务、或云服务商机房搬迁、或使用的设备（软件）停产90个工作日之前，将要停止生产的计划通知甲方，使甲方有足够的时间考虑迁移方案。</w:t>
      </w:r>
      <w:r>
        <w:rPr>
          <w:rFonts w:hint="eastAsia"/>
          <w:color w:val="000000" w:themeColor="text1"/>
          <w14:textFill>
            <w14:solidFill>
              <w14:schemeClr w14:val="tx1"/>
            </w14:solidFill>
          </w14:textFill>
        </w:rPr>
        <w:t>在停止生产后，如果甲方要求，乙方免费向甲方提供产品（软件的源代码、接口文档、设计方案、模块开发卷宗、测试方案、用户手册）或提供代用品，代用品的性能不低于原配件（软件）的技术性能指标，甲方由此</w:t>
      </w:r>
      <w:r>
        <w:rPr>
          <w:color w:val="000000" w:themeColor="text1"/>
          <w14:textFill>
            <w14:solidFill>
              <w14:schemeClr w14:val="tx1"/>
            </w14:solidFill>
          </w14:textFill>
        </w:rPr>
        <w:t>产生的系统迁移</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费用由乙方承担</w:t>
      </w:r>
      <w:r>
        <w:rPr>
          <w:rFonts w:hint="eastAsia"/>
          <w:color w:val="000000" w:themeColor="text1"/>
          <w14:textFill>
            <w14:solidFill>
              <w14:schemeClr w14:val="tx1"/>
            </w14:solidFill>
          </w14:textFill>
        </w:rPr>
        <w:t>。</w:t>
      </w:r>
    </w:p>
    <w:p w14:paraId="724510F8">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服务期内，如因为乙方云服务商机房搬迁、专线线路迁移等原因导致甲方云平台系统需要同步改造和割接，甲方由此产生的费用由乙方承担。</w:t>
      </w:r>
    </w:p>
    <w:p w14:paraId="5EA8E6F7">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因乙方违约导致甲方终止合同的，在乙方应将甲方已付的所有合同价款及利息退还甲方，</w:t>
      </w:r>
      <w:r>
        <w:rPr>
          <w:rFonts w:hint="eastAsia"/>
          <w:color w:val="000000" w:themeColor="text1"/>
          <w:szCs w:val="21"/>
          <w14:textFill>
            <w14:solidFill>
              <w14:schemeClr w14:val="tx1"/>
            </w14:solidFill>
          </w14:textFill>
        </w:rPr>
        <w:t>此后，</w:t>
      </w:r>
      <w:r>
        <w:rPr>
          <w:color w:val="000000" w:themeColor="text1"/>
          <w:szCs w:val="21"/>
          <w14:textFill>
            <w14:solidFill>
              <w14:schemeClr w14:val="tx1"/>
            </w14:solidFill>
          </w14:textFill>
        </w:rPr>
        <w:t>甲方将相关</w:t>
      </w:r>
      <w:r>
        <w:rPr>
          <w:rFonts w:hint="eastAsia"/>
          <w:color w:val="000000" w:themeColor="text1"/>
          <w:szCs w:val="21"/>
          <w14:textFill>
            <w14:solidFill>
              <w14:schemeClr w14:val="tx1"/>
            </w14:solidFill>
          </w14:textFill>
        </w:rPr>
        <w:t>系统成果</w:t>
      </w:r>
      <w:r>
        <w:rPr>
          <w:color w:val="000000" w:themeColor="text1"/>
          <w:szCs w:val="21"/>
          <w14:textFill>
            <w14:solidFill>
              <w14:schemeClr w14:val="tx1"/>
            </w14:solidFill>
          </w14:textFill>
        </w:rPr>
        <w:t>及资料退还乙方，</w:t>
      </w:r>
      <w:r>
        <w:rPr>
          <w:rFonts w:hint="eastAsia"/>
          <w:color w:val="000000" w:themeColor="text1"/>
          <w:szCs w:val="21"/>
          <w14:textFill>
            <w14:solidFill>
              <w14:schemeClr w14:val="tx1"/>
            </w14:solidFill>
          </w14:textFill>
        </w:rPr>
        <w:t>要求乙方承担本合同约定的违约责任，</w:t>
      </w:r>
      <w:r>
        <w:rPr>
          <w:color w:val="000000" w:themeColor="text1"/>
          <w:szCs w:val="21"/>
          <w14:textFill>
            <w14:solidFill>
              <w14:schemeClr w14:val="tx1"/>
            </w14:solidFill>
          </w14:textFill>
        </w:rPr>
        <w:t>并追究乙方赔偿损失的责任。</w:t>
      </w:r>
    </w:p>
    <w:p w14:paraId="10B168BA">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由于乙方的原因导致甲方本项目系统</w:t>
      </w:r>
      <w:r>
        <w:rPr>
          <w:rFonts w:hint="eastAsia"/>
          <w:color w:val="000000" w:themeColor="text1"/>
          <w:szCs w:val="21"/>
          <w14:textFill>
            <w14:solidFill>
              <w14:schemeClr w14:val="tx1"/>
            </w14:solidFill>
          </w14:textFill>
        </w:rPr>
        <w:t>公有云服务完全</w:t>
      </w:r>
      <w:r>
        <w:rPr>
          <w:color w:val="000000" w:themeColor="text1"/>
          <w:szCs w:val="21"/>
          <w14:textFill>
            <w14:solidFill>
              <w14:schemeClr w14:val="tx1"/>
            </w14:solidFill>
          </w14:textFill>
        </w:rPr>
        <w:t>中断，致使在实际运营中给</w:t>
      </w: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造成损失的，乙方应赔偿</w:t>
      </w: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因此遭受的直接损失，同时上述情况每出现一次，甲方有权开据处罚单给乙方，并直接从</w:t>
      </w:r>
      <w:r>
        <w:rPr>
          <w:rFonts w:hint="eastAsia"/>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中扣除</w:t>
      </w:r>
      <w:r>
        <w:rPr>
          <w:rFonts w:hint="eastAsia"/>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总额50%作为违约金；</w:t>
      </w:r>
      <w:r>
        <w:rPr>
          <w:rFonts w:hint="eastAsia"/>
          <w:color w:val="000000" w:themeColor="text1"/>
          <w:szCs w:val="21"/>
          <w14:textFill>
            <w14:solidFill>
              <w14:schemeClr w14:val="tx1"/>
            </w14:solidFill>
          </w14:textFill>
        </w:rPr>
        <w:t>如服务</w:t>
      </w:r>
      <w:r>
        <w:rPr>
          <w:color w:val="000000" w:themeColor="text1"/>
          <w:szCs w:val="21"/>
          <w14:textFill>
            <w14:solidFill>
              <w14:schemeClr w14:val="tx1"/>
            </w14:solidFill>
          </w14:textFill>
        </w:rPr>
        <w:t>期内如累计</w:t>
      </w:r>
      <w:r>
        <w:rPr>
          <w:rFonts w:hint="eastAsia"/>
          <w:color w:val="000000" w:themeColor="text1"/>
          <w:szCs w:val="21"/>
          <w14:textFill>
            <w14:solidFill>
              <w14:schemeClr w14:val="tx1"/>
            </w14:solidFill>
          </w14:textFill>
        </w:rPr>
        <w:t>出现2</w:t>
      </w:r>
      <w:r>
        <w:rPr>
          <w:color w:val="000000" w:themeColor="text1"/>
          <w:szCs w:val="21"/>
          <w14:textFill>
            <w14:solidFill>
              <w14:schemeClr w14:val="tx1"/>
            </w14:solidFill>
          </w14:textFill>
        </w:rPr>
        <w:t>次，则</w:t>
      </w: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有权终止本合同。</w:t>
      </w:r>
    </w:p>
    <w:p w14:paraId="010B56A1">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由于乙方的原因导致甲方本项目</w:t>
      </w:r>
      <w:r>
        <w:rPr>
          <w:rFonts w:hint="eastAsia"/>
          <w:color w:val="000000" w:themeColor="text1"/>
          <w:szCs w:val="21"/>
          <w14:textFill>
            <w14:solidFill>
              <w14:schemeClr w14:val="tx1"/>
            </w14:solidFill>
          </w14:textFill>
        </w:rPr>
        <w:t>公有云</w:t>
      </w:r>
      <w:r>
        <w:rPr>
          <w:color w:val="000000" w:themeColor="text1"/>
          <w:szCs w:val="21"/>
          <w14:textFill>
            <w14:solidFill>
              <w14:schemeClr w14:val="tx1"/>
            </w14:solidFill>
          </w14:textFill>
        </w:rPr>
        <w:t>系统</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出现运行缓慢，致使在实际运营中给</w:t>
      </w: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造成损失的，乙方应赔偿</w:t>
      </w: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因此遭受的直接损失，同时上述情况每出现一次，甲方有权开据处罚单给乙方，并直接从</w:t>
      </w:r>
      <w:r>
        <w:rPr>
          <w:rFonts w:hint="eastAsia"/>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中扣除</w:t>
      </w:r>
      <w:r>
        <w:rPr>
          <w:rFonts w:hint="eastAsia"/>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总额5%作为违约金；如</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期内累计超过5次，则</w:t>
      </w: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有权终止本合同。</w:t>
      </w:r>
    </w:p>
    <w:p w14:paraId="2B0714AA">
      <w:pPr>
        <w:numPr>
          <w:ilvl w:val="0"/>
          <w:numId w:val="13"/>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由于</w:t>
      </w: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的原因导致</w:t>
      </w: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业务数据错误或业务数据丢失</w:t>
      </w:r>
      <w:r>
        <w:rPr>
          <w:rFonts w:hint="eastAsia"/>
          <w:color w:val="000000" w:themeColor="text1"/>
          <w:szCs w:val="21"/>
          <w14:textFill>
            <w14:solidFill>
              <w14:schemeClr w14:val="tx1"/>
            </w14:solidFill>
          </w14:textFill>
        </w:rPr>
        <w:t>或</w:t>
      </w:r>
      <w:r>
        <w:rPr>
          <w:color w:val="000000" w:themeColor="text1"/>
          <w:szCs w:val="21"/>
          <w14:textFill>
            <w14:solidFill>
              <w14:schemeClr w14:val="tx1"/>
            </w14:solidFill>
          </w14:textFill>
        </w:rPr>
        <w:t>泄露，给甲方造成损失的，乙方应赔偿甲方因此遭受的直接损失，如出现一次业务数据错误或业务数据丢失</w:t>
      </w:r>
      <w:r>
        <w:rPr>
          <w:rFonts w:hint="eastAsia"/>
          <w:color w:val="000000" w:themeColor="text1"/>
          <w:szCs w:val="21"/>
          <w14:textFill>
            <w14:solidFill>
              <w14:schemeClr w14:val="tx1"/>
            </w14:solidFill>
          </w14:textFill>
        </w:rPr>
        <w:t>或</w:t>
      </w:r>
      <w:r>
        <w:rPr>
          <w:color w:val="000000" w:themeColor="text1"/>
          <w:szCs w:val="21"/>
          <w14:textFill>
            <w14:solidFill>
              <w14:schemeClr w14:val="tx1"/>
            </w14:solidFill>
          </w14:textFill>
        </w:rPr>
        <w:t>泄露，甲方有权开据处罚单给乙方，并直接从</w:t>
      </w:r>
      <w:r>
        <w:rPr>
          <w:rFonts w:hint="eastAsia"/>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中扣除</w:t>
      </w:r>
      <w:r>
        <w:rPr>
          <w:rFonts w:hint="eastAsia"/>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总额10%作为违约金。</w:t>
      </w:r>
    </w:p>
    <w:p w14:paraId="49B07DBF">
      <w:pPr>
        <w:numPr>
          <w:ilvl w:val="0"/>
          <w:numId w:val="13"/>
        </w:numPr>
        <w:tabs>
          <w:tab w:val="left" w:pos="454"/>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w:t>
      </w:r>
      <w:r>
        <w:rPr>
          <w:rFonts w:hint="eastAsia"/>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中扣除</w:t>
      </w:r>
      <w:r>
        <w:rPr>
          <w:rFonts w:hint="eastAsia"/>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总额5%作为违约金；如连续多个考核周期出现不达标的情况，则翻倍扣除，由甲方开据处罚单给乙方后，直接从</w:t>
      </w:r>
      <w:r>
        <w:rPr>
          <w:rFonts w:hint="eastAsia"/>
          <w:color w:val="000000" w:themeColor="text1"/>
          <w:szCs w:val="21"/>
          <w14:textFill>
            <w14:solidFill>
              <w14:schemeClr w14:val="tx1"/>
            </w14:solidFill>
          </w14:textFill>
        </w:rPr>
        <w:t>云服务费</w:t>
      </w:r>
      <w:r>
        <w:rPr>
          <w:color w:val="000000" w:themeColor="text1"/>
          <w:szCs w:val="21"/>
          <w14:textFill>
            <w14:solidFill>
              <w14:schemeClr w14:val="tx1"/>
            </w14:solidFill>
          </w14:textFill>
        </w:rPr>
        <w:t>应付款中</w:t>
      </w:r>
      <w:r>
        <w:rPr>
          <w:rFonts w:hint="eastAsia"/>
          <w:color w:val="000000" w:themeColor="text1"/>
          <w:szCs w:val="21"/>
          <w14:textFill>
            <w14:solidFill>
              <w14:schemeClr w14:val="tx1"/>
            </w14:solidFill>
          </w14:textFill>
        </w:rPr>
        <w:t>扣除</w:t>
      </w:r>
      <w:r>
        <w:rPr>
          <w:color w:val="000000" w:themeColor="text1"/>
          <w:szCs w:val="21"/>
          <w14:textFill>
            <w14:solidFill>
              <w14:schemeClr w14:val="tx1"/>
            </w14:solidFill>
          </w14:textFill>
        </w:rPr>
        <w:t>。</w:t>
      </w:r>
    </w:p>
    <w:p w14:paraId="12D4F260">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十</w:t>
      </w:r>
      <w:r>
        <w:rPr>
          <w:rFonts w:hint="eastAsia"/>
          <w:b/>
          <w:color w:val="000000" w:themeColor="text1"/>
          <w:szCs w:val="21"/>
          <w:lang w:val="en-US" w:eastAsia="zh-CN"/>
          <w14:textFill>
            <w14:solidFill>
              <w14:schemeClr w14:val="tx1"/>
            </w14:solidFill>
          </w14:textFill>
        </w:rPr>
        <w:t>三</w:t>
      </w:r>
      <w:r>
        <w:rPr>
          <w:rFonts w:hint="eastAsia"/>
          <w:b/>
          <w:color w:val="000000" w:themeColor="text1"/>
          <w:szCs w:val="21"/>
          <w14:textFill>
            <w14:solidFill>
              <w14:schemeClr w14:val="tx1"/>
            </w14:solidFill>
          </w14:textFill>
        </w:rPr>
        <w:t>、廉洁条款</w:t>
      </w:r>
    </w:p>
    <w:p w14:paraId="0E6310EA">
      <w:pPr>
        <w:numPr>
          <w:ilvl w:val="0"/>
          <w:numId w:val="14"/>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098C91CA">
      <w:pPr>
        <w:numPr>
          <w:ilvl w:val="0"/>
          <w:numId w:val="14"/>
        </w:numPr>
        <w:tabs>
          <w:tab w:val="left" w:pos="0"/>
          <w:tab w:val="clear" w:pos="1155"/>
        </w:tabs>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70C1AF5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十</w:t>
      </w:r>
      <w:r>
        <w:rPr>
          <w:rFonts w:hint="eastAsia"/>
          <w:b/>
          <w:color w:val="000000" w:themeColor="text1"/>
          <w:szCs w:val="21"/>
          <w:lang w:val="en-US" w:eastAsia="zh-CN"/>
          <w14:textFill>
            <w14:solidFill>
              <w14:schemeClr w14:val="tx1"/>
            </w14:solidFill>
          </w14:textFill>
        </w:rPr>
        <w:t>四</w:t>
      </w:r>
      <w:r>
        <w:rPr>
          <w:rFonts w:hint="eastAsia"/>
          <w:b/>
          <w:color w:val="000000" w:themeColor="text1"/>
          <w:szCs w:val="21"/>
          <w14:textFill>
            <w14:solidFill>
              <w14:schemeClr w14:val="tx1"/>
            </w14:solidFill>
          </w14:textFill>
        </w:rPr>
        <w:t>、不可抗力</w:t>
      </w:r>
    </w:p>
    <w:p w14:paraId="5171CA2B">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 </w:t>
      </w:r>
      <w:r>
        <w:rPr>
          <w:color w:val="000000" w:themeColor="text1"/>
          <w:szCs w:val="21"/>
          <w14:textFill>
            <w14:solidFill>
              <w14:schemeClr w14:val="tx1"/>
            </w14:solidFill>
          </w14:textFill>
        </w:rPr>
        <w:t>当发生不可抗拒事故时，受影响一方应于10日内以传真形式通知对方，以减轻可能给对方造成的损失，并应当在合理期限内提供证明。</w:t>
      </w:r>
    </w:p>
    <w:p w14:paraId="1565BACD">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 </w:t>
      </w:r>
      <w:r>
        <w:rPr>
          <w:color w:val="000000" w:themeColor="text1"/>
          <w:szCs w:val="21"/>
          <w14:textFill>
            <w14:solidFill>
              <w14:schemeClr w14:val="tx1"/>
            </w14:solidFill>
          </w14:textFill>
        </w:rPr>
        <w:t>当不可抗力事故终止后，受影响一方应以传真的形式通知对方，双方商定合同是否继续履行。</w:t>
      </w:r>
    </w:p>
    <w:p w14:paraId="7ABC0284">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 </w:t>
      </w:r>
      <w:r>
        <w:rPr>
          <w:color w:val="000000" w:themeColor="text1"/>
          <w:szCs w:val="21"/>
          <w14:textFill>
            <w14:solidFill>
              <w14:schemeClr w14:val="tx1"/>
            </w14:solidFill>
          </w14:textFill>
        </w:rPr>
        <w:t>不可抗力，互不追究或承担违约责任。但有违约因素的除外。</w:t>
      </w:r>
    </w:p>
    <w:p w14:paraId="19B97D10">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十五</w:t>
      </w:r>
      <w:r>
        <w:rPr>
          <w:rFonts w:hint="eastAsia"/>
          <w:b/>
          <w:color w:val="000000" w:themeColor="text1"/>
          <w:szCs w:val="21"/>
          <w14:textFill>
            <w14:solidFill>
              <w14:schemeClr w14:val="tx1"/>
            </w14:solidFill>
          </w14:textFill>
        </w:rPr>
        <w:t>、解决纠纷的方式</w:t>
      </w:r>
    </w:p>
    <w:p w14:paraId="7BFF9312">
      <w:pPr>
        <w:keepNext w:val="0"/>
        <w:keepLines w:val="0"/>
        <w:pageBreakBefore w:val="0"/>
        <w:widowControl w:val="0"/>
        <w:numPr>
          <w:ilvl w:val="0"/>
          <w:numId w:val="15"/>
        </w:numPr>
        <w:tabs>
          <w:tab w:val="left" w:pos="0"/>
        </w:tabs>
        <w:kinsoku/>
        <w:wordWrap/>
        <w:overflowPunct/>
        <w:topLinePunct w:val="0"/>
        <w:autoSpaceDE/>
        <w:autoSpaceDN/>
        <w:bidi w:val="0"/>
        <w:adjustRightInd/>
        <w:snapToGrid/>
        <w:spacing w:line="360" w:lineRule="auto"/>
        <w:ind w:left="0" w:leftChars="0"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凡由执行本合同引起或与合同有关的争议，均应通过友好协商解决；协商不成的，由甲方所在地人民法院裁决。</w:t>
      </w:r>
    </w:p>
    <w:p w14:paraId="16BA0597">
      <w:pPr>
        <w:keepNext w:val="0"/>
        <w:keepLines w:val="0"/>
        <w:pageBreakBefore w:val="0"/>
        <w:widowControl w:val="0"/>
        <w:numPr>
          <w:ilvl w:val="0"/>
          <w:numId w:val="15"/>
        </w:numPr>
        <w:tabs>
          <w:tab w:val="left" w:pos="0"/>
        </w:tabs>
        <w:kinsoku/>
        <w:wordWrap/>
        <w:overflowPunct/>
        <w:topLinePunct w:val="0"/>
        <w:autoSpaceDE/>
        <w:autoSpaceDN/>
        <w:bidi w:val="0"/>
        <w:adjustRightInd/>
        <w:snapToGrid/>
        <w:spacing w:line="360" w:lineRule="auto"/>
        <w:ind w:left="0" w:leftChars="0"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除争议事项待处理外，双方应继续执行合同无争议部分，除非无争议部分不可单独履行。</w:t>
      </w:r>
    </w:p>
    <w:p w14:paraId="797522A1">
      <w:pPr>
        <w:keepNext w:val="0"/>
        <w:keepLines w:val="0"/>
        <w:pageBreakBefore w:val="0"/>
        <w:widowControl w:val="0"/>
        <w:numPr>
          <w:ilvl w:val="0"/>
          <w:numId w:val="15"/>
        </w:numPr>
        <w:tabs>
          <w:tab w:val="left" w:pos="0"/>
        </w:tabs>
        <w:kinsoku/>
        <w:wordWrap/>
        <w:overflowPunct/>
        <w:topLinePunct w:val="0"/>
        <w:autoSpaceDE/>
        <w:autoSpaceDN/>
        <w:bidi w:val="0"/>
        <w:adjustRightInd/>
        <w:snapToGrid/>
        <w:spacing w:line="360" w:lineRule="auto"/>
        <w:ind w:left="0" w:leftChars="0"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本合同适用于中华人民共和国法律。</w:t>
      </w:r>
    </w:p>
    <w:p w14:paraId="1DBE8435">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十六</w:t>
      </w:r>
      <w:r>
        <w:rPr>
          <w:rFonts w:hint="eastAsia"/>
          <w:b/>
          <w:color w:val="000000" w:themeColor="text1"/>
          <w:szCs w:val="21"/>
          <w14:textFill>
            <w14:solidFill>
              <w14:schemeClr w14:val="tx1"/>
            </w14:solidFill>
          </w14:textFill>
        </w:rPr>
        <w:t>、合同生效及其他：</w:t>
      </w:r>
    </w:p>
    <w:p w14:paraId="30E2B9B3">
      <w:pPr>
        <w:numPr>
          <w:ilvl w:val="0"/>
          <w:numId w:val="16"/>
        </w:numPr>
        <w:tabs>
          <w:tab w:val="left" w:pos="0"/>
        </w:tabs>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合同的生效期：</w:t>
      </w:r>
      <w:r>
        <w:rPr>
          <w:rFonts w:hint="eastAsia" w:ascii="宋体" w:hAnsi="宋体"/>
          <w:color w:val="000000" w:themeColor="text1"/>
          <w:szCs w:val="21"/>
          <w14:textFill>
            <w14:solidFill>
              <w14:schemeClr w14:val="tx1"/>
            </w14:solidFill>
          </w14:textFill>
        </w:rPr>
        <w:t>本合同壹式肆份（买卖双方各贰份）</w:t>
      </w:r>
      <w:r>
        <w:rPr>
          <w:color w:val="000000" w:themeColor="text1"/>
          <w:szCs w:val="21"/>
          <w14:textFill>
            <w14:solidFill>
              <w14:schemeClr w14:val="tx1"/>
            </w14:solidFill>
          </w14:textFill>
        </w:rPr>
        <w:t>，自甲、乙双方盖章</w:t>
      </w:r>
      <w:r>
        <w:rPr>
          <w:rFonts w:hint="eastAsia"/>
          <w:color w:val="000000" w:themeColor="text1"/>
          <w:szCs w:val="21"/>
          <w:lang w:val="en-US" w:eastAsia="zh-CN"/>
          <w14:textFill>
            <w14:solidFill>
              <w14:schemeClr w14:val="tx1"/>
            </w14:solidFill>
          </w14:textFill>
        </w:rPr>
        <w:t>之日起</w:t>
      </w:r>
      <w:r>
        <w:rPr>
          <w:rFonts w:hint="eastAsia"/>
          <w:color w:val="000000" w:themeColor="text1"/>
          <w14:textFill>
            <w14:solidFill>
              <w14:schemeClr w14:val="tx1"/>
            </w14:solidFill>
          </w14:textFill>
        </w:rPr>
        <w:t>生效</w:t>
      </w:r>
      <w:r>
        <w:rPr>
          <w:color w:val="000000" w:themeColor="text1"/>
          <w:szCs w:val="21"/>
          <w14:textFill>
            <w14:solidFill>
              <w14:schemeClr w14:val="tx1"/>
            </w14:solidFill>
          </w14:textFill>
        </w:rPr>
        <w:t>。</w:t>
      </w:r>
    </w:p>
    <w:p w14:paraId="04FAD6B5">
      <w:pPr>
        <w:numPr>
          <w:ilvl w:val="0"/>
          <w:numId w:val="16"/>
        </w:numPr>
        <w:tabs>
          <w:tab w:val="left" w:pos="0"/>
        </w:tabs>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本合同所有附件为本合同不可分割的组成部分，与合同正文有同等的法律效力：</w:t>
      </w:r>
    </w:p>
    <w:p w14:paraId="260B8697">
      <w:pPr>
        <w:tabs>
          <w:tab w:val="left" w:pos="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乙方提交的</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函；</w:t>
      </w:r>
    </w:p>
    <w:p w14:paraId="23372879">
      <w:pPr>
        <w:tabs>
          <w:tab w:val="left" w:pos="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甲方的</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文件、乙方的</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文件、乙方的</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报价表、</w:t>
      </w:r>
      <w:r>
        <w:rPr>
          <w:rFonts w:hint="eastAsia"/>
          <w:color w:val="000000" w:themeColor="text1"/>
          <w:szCs w:val="21"/>
          <w14:textFill>
            <w14:solidFill>
              <w14:schemeClr w14:val="tx1"/>
            </w14:solidFill>
          </w14:textFill>
        </w:rPr>
        <w:t>谈判</w:t>
      </w:r>
      <w:r>
        <w:rPr>
          <w:color w:val="000000" w:themeColor="text1"/>
          <w:szCs w:val="21"/>
          <w14:textFill>
            <w14:solidFill>
              <w14:schemeClr w14:val="tx1"/>
            </w14:solidFill>
          </w14:textFill>
        </w:rPr>
        <w:t>时</w:t>
      </w: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做出的书面承诺及其它补充修改的部分</w:t>
      </w:r>
      <w:r>
        <w:rPr>
          <w:rFonts w:hint="eastAsia"/>
          <w:color w:val="000000" w:themeColor="text1"/>
          <w:szCs w:val="21"/>
          <w14:textFill>
            <w14:solidFill>
              <w14:schemeClr w14:val="tx1"/>
            </w14:solidFill>
          </w14:textFill>
        </w:rPr>
        <w:t>；</w:t>
      </w:r>
    </w:p>
    <w:p w14:paraId="161866BA">
      <w:pPr>
        <w:tabs>
          <w:tab w:val="left" w:pos="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在执行本合同期间，甲、乙双方所有采用传真或信函方式</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通知</w:t>
      </w:r>
      <w:r>
        <w:rPr>
          <w:rFonts w:hint="eastAsia"/>
          <w:color w:val="000000" w:themeColor="text1"/>
          <w:szCs w:val="21"/>
          <w14:textFill>
            <w14:solidFill>
              <w14:schemeClr w14:val="tx1"/>
            </w14:solidFill>
          </w14:textFill>
        </w:rPr>
        <w:t>。</w:t>
      </w:r>
    </w:p>
    <w:p w14:paraId="4129ACF6">
      <w:pPr>
        <w:tabs>
          <w:tab w:val="left" w:pos="0"/>
        </w:tabs>
        <w:spacing w:line="360" w:lineRule="auto"/>
        <w:ind w:left="420" w:left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 本</w:t>
      </w:r>
      <w:r>
        <w:rPr>
          <w:color w:val="000000" w:themeColor="text1"/>
          <w:szCs w:val="21"/>
          <w14:textFill>
            <w14:solidFill>
              <w14:schemeClr w14:val="tx1"/>
            </w14:solidFill>
          </w14:textFill>
        </w:rPr>
        <w:t>合同与上述文件如对相同内容有不同约定，且约定内容有冲突的，除另有特别约定外，依下列原则处理：</w:t>
      </w:r>
      <w:r>
        <w:rPr>
          <w:rFonts w:hint="eastAsia"/>
          <w:color w:val="000000" w:themeColor="text1"/>
          <w:szCs w:val="21"/>
          <w14:textFill>
            <w14:solidFill>
              <w14:schemeClr w14:val="tx1"/>
            </w14:solidFill>
          </w14:textFill>
        </w:rPr>
        <w:t xml:space="preserve">  </w:t>
      </w:r>
    </w:p>
    <w:p w14:paraId="76DD2677">
      <w:pPr>
        <w:tabs>
          <w:tab w:val="left" w:pos="0"/>
        </w:tabs>
        <w:spacing w:line="360" w:lineRule="auto"/>
        <w:ind w:left="420" w:left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合同条款优先于</w:t>
      </w:r>
      <w:r>
        <w:rPr>
          <w:rFonts w:hint="eastAsia"/>
          <w:color w:val="000000" w:themeColor="text1"/>
          <w:szCs w:val="21"/>
          <w14:textFill>
            <w14:solidFill>
              <w14:schemeClr w14:val="tx1"/>
            </w14:solidFill>
          </w14:textFill>
        </w:rPr>
        <w:t>采购和响应</w:t>
      </w:r>
      <w:r>
        <w:rPr>
          <w:color w:val="000000" w:themeColor="text1"/>
          <w:szCs w:val="21"/>
          <w14:textFill>
            <w14:solidFill>
              <w14:schemeClr w14:val="tx1"/>
            </w14:solidFill>
          </w14:textFill>
        </w:rPr>
        <w:t>文件条款；</w:t>
      </w:r>
    </w:p>
    <w:p w14:paraId="1D199FEA">
      <w:pPr>
        <w:tabs>
          <w:tab w:val="left" w:pos="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在后文件的效力优先于在先文件的效力</w:t>
      </w:r>
      <w:r>
        <w:rPr>
          <w:rFonts w:hint="eastAsia"/>
          <w:color w:val="000000" w:themeColor="text1"/>
          <w:szCs w:val="21"/>
          <w14:textFill>
            <w14:solidFill>
              <w14:schemeClr w14:val="tx1"/>
            </w14:solidFill>
          </w14:textFill>
        </w:rPr>
        <w:t>。</w:t>
      </w:r>
    </w:p>
    <w:p w14:paraId="7B189112">
      <w:pPr>
        <w:tabs>
          <w:tab w:val="left" w:pos="0"/>
        </w:tabs>
        <w:spacing w:line="360" w:lineRule="auto"/>
        <w:ind w:left="420" w:left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 </w:t>
      </w:r>
      <w:r>
        <w:rPr>
          <w:color w:val="000000" w:themeColor="text1"/>
          <w:szCs w:val="21"/>
          <w14:textFill>
            <w14:solidFill>
              <w14:schemeClr w14:val="tx1"/>
            </w14:solidFill>
          </w14:textFill>
        </w:rPr>
        <w:t>甲、乙双方对合同条款的理解有争议时，应当按照合同的有关条款、合同的目的、交易习惯以及诚实信用原则，</w:t>
      </w:r>
    </w:p>
    <w:p w14:paraId="78826129">
      <w:pPr>
        <w:tabs>
          <w:tab w:val="left" w:pos="0"/>
        </w:tabs>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确定该条款的真实含义。</w:t>
      </w:r>
    </w:p>
    <w:p w14:paraId="3CD66B63">
      <w:pPr>
        <w:tabs>
          <w:tab w:val="left" w:pos="0"/>
        </w:tabs>
        <w:spacing w:line="360" w:lineRule="auto"/>
        <w:ind w:left="420" w:left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对本合同的任何修改和增补，以双方</w:t>
      </w:r>
      <w:r>
        <w:rPr>
          <w:rFonts w:hint="eastAsia"/>
          <w:color w:val="000000" w:themeColor="text1"/>
          <w:szCs w:val="21"/>
          <w:lang w:val="en-US" w:eastAsia="zh-CN"/>
          <w14:textFill>
            <w14:solidFill>
              <w14:schemeClr w14:val="tx1"/>
            </w14:solidFill>
          </w14:textFill>
        </w:rPr>
        <w:t>另行签订的补充</w:t>
      </w:r>
      <w:r>
        <w:rPr>
          <w:color w:val="000000" w:themeColor="text1"/>
          <w:szCs w:val="21"/>
          <w14:textFill>
            <w14:solidFill>
              <w14:schemeClr w14:val="tx1"/>
            </w14:solidFill>
          </w14:textFill>
        </w:rPr>
        <w:t>文件为准。</w:t>
      </w:r>
    </w:p>
    <w:p w14:paraId="08E29ACC">
      <w:pPr>
        <w:tabs>
          <w:tab w:val="left" w:pos="0"/>
        </w:tabs>
        <w:spacing w:line="360" w:lineRule="auto"/>
        <w:ind w:left="420" w:left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6. </w:t>
      </w:r>
      <w:r>
        <w:rPr>
          <w:color w:val="000000" w:themeColor="text1"/>
          <w:szCs w:val="21"/>
          <w14:textFill>
            <w14:solidFill>
              <w14:schemeClr w14:val="tx1"/>
            </w14:solidFill>
          </w14:textFill>
        </w:rPr>
        <w:t>甲、乙双方对本合同中产品的具体价格和交易方式有保密的责任，未经对方的书面许可，任何一方不得向第三方透露。</w:t>
      </w:r>
    </w:p>
    <w:p w14:paraId="785931D0">
      <w:pPr>
        <w:tabs>
          <w:tab w:val="left" w:pos="0"/>
        </w:tabs>
        <w:spacing w:line="360" w:lineRule="auto"/>
        <w:ind w:left="420" w:left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7. </w:t>
      </w:r>
      <w:r>
        <w:rPr>
          <w:color w:val="000000" w:themeColor="text1"/>
          <w:szCs w:val="21"/>
          <w14:textFill>
            <w14:solidFill>
              <w14:schemeClr w14:val="tx1"/>
            </w14:solidFill>
          </w14:textFill>
        </w:rPr>
        <w:t>本合同中的未尽事宜，甲、乙双方协商解决，并按《中华人民共和国</w:t>
      </w:r>
      <w:r>
        <w:rPr>
          <w:rFonts w:hint="eastAsia"/>
          <w:color w:val="000000" w:themeColor="text1"/>
          <w:szCs w:val="21"/>
          <w14:textFill>
            <w14:solidFill>
              <w14:schemeClr w14:val="tx1"/>
            </w14:solidFill>
          </w14:textFill>
        </w:rPr>
        <w:t>民法典</w:t>
      </w:r>
      <w:r>
        <w:rPr>
          <w:color w:val="000000" w:themeColor="text1"/>
          <w:szCs w:val="21"/>
          <w14:textFill>
            <w14:solidFill>
              <w14:schemeClr w14:val="tx1"/>
            </w14:solidFill>
          </w14:textFill>
        </w:rPr>
        <w:t>》调整。</w:t>
      </w:r>
    </w:p>
    <w:p w14:paraId="10D8F120">
      <w:pPr>
        <w:spacing w:before="156" w:beforeLines="50" w:after="156" w:afterLines="50" w:line="360" w:lineRule="auto"/>
        <w:ind w:firstLine="422" w:firstLineChars="200"/>
        <w:outlineLvl w:val="1"/>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十七</w:t>
      </w:r>
      <w:r>
        <w:rPr>
          <w:rFonts w:hint="eastAsia"/>
          <w:b/>
          <w:color w:val="000000" w:themeColor="text1"/>
          <w:szCs w:val="21"/>
          <w14:textFill>
            <w14:solidFill>
              <w14:schemeClr w14:val="tx1"/>
            </w14:solidFill>
          </w14:textFill>
        </w:rPr>
        <w:t>、附件列表</w:t>
      </w:r>
    </w:p>
    <w:p w14:paraId="6DA71623">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附件一  </w:t>
      </w:r>
      <w:r>
        <w:rPr>
          <w:rFonts w:hint="eastAsia"/>
          <w:color w:val="000000" w:themeColor="text1"/>
          <w:szCs w:val="21"/>
          <w14:textFill>
            <w14:solidFill>
              <w14:schemeClr w14:val="tx1"/>
            </w14:solidFill>
          </w14:textFill>
        </w:rPr>
        <w:t>价格表（</w:t>
      </w:r>
      <w:r>
        <w:rPr>
          <w:color w:val="000000" w:themeColor="text1"/>
          <w:szCs w:val="21"/>
          <w14:textFill>
            <w14:solidFill>
              <w14:schemeClr w14:val="tx1"/>
            </w14:solidFill>
          </w14:textFill>
        </w:rPr>
        <w:t>包含产品</w:t>
      </w:r>
      <w:r>
        <w:rPr>
          <w:rFonts w:hint="eastAsia"/>
          <w:color w:val="000000" w:themeColor="text1"/>
          <w:szCs w:val="21"/>
          <w14:textFill>
            <w14:solidFill>
              <w14:schemeClr w14:val="tx1"/>
            </w14:solidFill>
          </w14:textFill>
        </w:rPr>
        <w:t>类型、</w:t>
      </w:r>
      <w:r>
        <w:rPr>
          <w:color w:val="000000" w:themeColor="text1"/>
          <w:szCs w:val="21"/>
          <w14:textFill>
            <w14:solidFill>
              <w14:schemeClr w14:val="tx1"/>
            </w14:solidFill>
          </w14:textFill>
        </w:rPr>
        <w:t>配置、</w:t>
      </w:r>
      <w:r>
        <w:rPr>
          <w:rFonts w:hint="eastAsia"/>
          <w:color w:val="000000" w:themeColor="text1"/>
          <w:szCs w:val="21"/>
          <w14:textFill>
            <w14:solidFill>
              <w14:schemeClr w14:val="tx1"/>
            </w14:solidFill>
          </w14:textFill>
        </w:rPr>
        <w:t>单价、</w:t>
      </w:r>
      <w:r>
        <w:rPr>
          <w:color w:val="000000" w:themeColor="text1"/>
          <w:szCs w:val="21"/>
          <w14:textFill>
            <w14:solidFill>
              <w14:schemeClr w14:val="tx1"/>
            </w14:solidFill>
          </w14:textFill>
        </w:rPr>
        <w:t>数量和总价</w:t>
      </w:r>
      <w:r>
        <w:rPr>
          <w:rFonts w:hint="eastAsia"/>
          <w:color w:val="000000" w:themeColor="text1"/>
          <w:szCs w:val="21"/>
          <w14:textFill>
            <w14:solidFill>
              <w14:schemeClr w14:val="tx1"/>
            </w14:solidFill>
          </w14:textFill>
        </w:rPr>
        <w:t>）</w:t>
      </w:r>
    </w:p>
    <w:p w14:paraId="3E0941CA">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附件二  中标通知书</w:t>
      </w:r>
    </w:p>
    <w:p w14:paraId="042DACA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附件</w:t>
      </w:r>
      <w:r>
        <w:rPr>
          <w:rFonts w:hint="eastAsia"/>
          <w:color w:val="000000" w:themeColor="text1"/>
          <w:szCs w:val="21"/>
          <w14:textFill>
            <w14:solidFill>
              <w14:schemeClr w14:val="tx1"/>
            </w14:solidFill>
          </w14:textFill>
        </w:rPr>
        <w:t>三</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技术需求书</w:t>
      </w:r>
    </w:p>
    <w:p w14:paraId="6744C347">
      <w:pPr>
        <w:pStyle w:val="99"/>
        <w:spacing w:line="300" w:lineRule="auto"/>
        <w:ind w:firstLine="0" w:firstLineChars="0"/>
        <w:rPr>
          <w:rFonts w:hint="eastAsia"/>
          <w:color w:val="000000" w:themeColor="text1"/>
          <w14:textFill>
            <w14:solidFill>
              <w14:schemeClr w14:val="tx1"/>
            </w14:solidFill>
          </w14:textFill>
        </w:rPr>
      </w:pPr>
    </w:p>
    <w:p w14:paraId="5404615E">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甲方：</w:t>
      </w:r>
      <w:r>
        <w:rPr>
          <w:color w:val="000000" w:themeColor="text1"/>
          <w:szCs w:val="21"/>
          <w:u w:val="single"/>
          <w14:textFill>
            <w14:solidFill>
              <w14:schemeClr w14:val="tx1"/>
            </w14:solidFill>
          </w14:textFill>
        </w:rPr>
        <w:t>江苏省广电有线信息网络股份有限公司</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乙方：</w:t>
      </w:r>
      <w:r>
        <w:rPr>
          <w:rFonts w:hint="eastAsia"/>
          <w:color w:val="000000" w:themeColor="text1"/>
          <w:szCs w:val="21"/>
          <w14:textFill>
            <w14:solidFill>
              <w14:schemeClr w14:val="tx1"/>
            </w14:solidFill>
          </w14:textFill>
        </w:rPr>
        <w:t xml:space="preserve">                    </w:t>
      </w:r>
    </w:p>
    <w:p w14:paraId="4718468A">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（盖章）_________________________            （盖章）</w:t>
      </w:r>
      <w:r>
        <w:rPr>
          <w:rFonts w:hint="eastAsia"/>
          <w:color w:val="000000" w:themeColor="text1"/>
          <w:szCs w:val="21"/>
          <w:u w:val="single"/>
          <w14:textFill>
            <w14:solidFill>
              <w14:schemeClr w14:val="tx1"/>
            </w14:solidFill>
          </w14:textFill>
        </w:rPr>
        <w:t xml:space="preserve">                            </w:t>
      </w:r>
    </w:p>
    <w:p w14:paraId="0956EB7C">
      <w:pPr>
        <w:spacing w:line="360" w:lineRule="auto"/>
        <w:ind w:firstLine="35" w:firstLineChars="17"/>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法人代表或授权代表：____________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法人代表或授权代表：______________</w:t>
      </w:r>
    </w:p>
    <w:p w14:paraId="6694B53C">
      <w:pPr>
        <w:spacing w:line="360" w:lineRule="auto"/>
        <w:ind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rFonts w:hint="eastAsia"/>
          <w:color w:val="000000" w:themeColor="text1"/>
          <w:szCs w:val="21"/>
          <w:u w:val="single"/>
          <w14:textFill>
            <w14:solidFill>
              <w14:schemeClr w14:val="tx1"/>
            </w14:solidFill>
          </w14:textFill>
        </w:rPr>
        <w:t>江苏有线三网融合枢纽中心</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地址：</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71F999AF">
      <w:pPr>
        <w:spacing w:line="360" w:lineRule="auto"/>
        <w:ind w:firstLine="105" w:firstLineChars="5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电话：</w:t>
      </w:r>
      <w:r>
        <w:rPr>
          <w:rFonts w:hint="eastAsia"/>
          <w:color w:val="000000" w:themeColor="text1"/>
          <w:u w:val="single"/>
          <w14:textFill>
            <w14:solidFill>
              <w14:schemeClr w14:val="tx1"/>
            </w14:solidFill>
          </w14:textFill>
        </w:rPr>
        <w:t xml:space="preserve">             </w:t>
      </w:r>
      <w:r>
        <w:rPr>
          <w:color w:val="000000" w:themeColor="text1"/>
          <w:szCs w:val="21"/>
          <w14:textFill>
            <w14:solidFill>
              <w14:schemeClr w14:val="tx1"/>
            </w14:solidFill>
          </w14:textFill>
        </w:rPr>
        <w:t xml:space="preserve">                         电话：</w:t>
      </w:r>
      <w:r>
        <w:rPr>
          <w:rFonts w:hint="eastAsia"/>
          <w:color w:val="000000" w:themeColor="text1"/>
          <w:szCs w:val="21"/>
          <w:u w:val="single"/>
          <w14:textFill>
            <w14:solidFill>
              <w14:schemeClr w14:val="tx1"/>
            </w14:solidFill>
          </w14:textFill>
        </w:rPr>
        <w:t xml:space="preserve">                            </w:t>
      </w:r>
    </w:p>
    <w:p w14:paraId="0F89B514">
      <w:pPr>
        <w:spacing w:line="360" w:lineRule="auto"/>
        <w:ind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r>
        <w:rPr>
          <w:rFonts w:hint="eastAsia"/>
          <w:color w:val="000000" w:themeColor="text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传真：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30F48653">
      <w:pPr>
        <w:spacing w:line="360" w:lineRule="auto"/>
        <w:ind w:firstLine="105" w:firstLineChars="5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邮编：</w:t>
      </w:r>
      <w:r>
        <w:rPr>
          <w:rFonts w:hint="eastAsia"/>
          <w:color w:val="000000" w:themeColor="text1"/>
          <w:szCs w:val="21"/>
          <w:u w:val="single"/>
          <w14:textFill>
            <w14:solidFill>
              <w14:schemeClr w14:val="tx1"/>
            </w14:solidFill>
          </w14:textFill>
        </w:rPr>
        <w:t>210000</w:t>
      </w:r>
      <w:r>
        <w:rPr>
          <w:color w:val="000000" w:themeColor="text1"/>
          <w:szCs w:val="21"/>
          <w14:textFill>
            <w14:solidFill>
              <w14:schemeClr w14:val="tx1"/>
            </w14:solidFill>
          </w14:textFill>
        </w:rPr>
        <w:t xml:space="preserve">                                邮编：</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14:paraId="2FD1F1A0">
      <w:pPr>
        <w:spacing w:line="360" w:lineRule="auto"/>
        <w:ind w:firstLine="105" w:firstLineChars="5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开户银行：</w:t>
      </w:r>
      <w:r>
        <w:rPr>
          <w:rFonts w:hint="eastAsia"/>
          <w:color w:val="000000" w:themeColor="text1"/>
          <w:szCs w:val="21"/>
          <w:u w:val="single"/>
          <w14:textFill>
            <w14:solidFill>
              <w14:schemeClr w14:val="tx1"/>
            </w14:solidFill>
          </w14:textFill>
        </w:rPr>
        <w:t xml:space="preserve">                        </w:t>
      </w:r>
    </w:p>
    <w:p w14:paraId="242F47F1">
      <w:pPr>
        <w:spacing w:line="360" w:lineRule="auto"/>
        <w:ind w:firstLine="105" w:firstLineChars="5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银行账号：</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银行账号：</w:t>
      </w:r>
      <w:r>
        <w:rPr>
          <w:rFonts w:hint="eastAsia"/>
          <w:color w:val="000000" w:themeColor="text1"/>
          <w:szCs w:val="21"/>
          <w14:textFill>
            <w14:solidFill>
              <w14:schemeClr w14:val="tx1"/>
            </w14:solidFill>
          </w14:textFill>
        </w:rPr>
        <w:t xml:space="preserve">                       </w:t>
      </w:r>
    </w:p>
    <w:p w14:paraId="44E7A099">
      <w:pPr>
        <w:spacing w:line="360" w:lineRule="auto"/>
        <w:ind w:firstLine="35" w:firstLineChars="17"/>
        <w:rPr>
          <w:color w:val="000000" w:themeColor="text1"/>
          <w:szCs w:val="21"/>
          <w14:textFill>
            <w14:solidFill>
              <w14:schemeClr w14:val="tx1"/>
            </w14:solidFill>
          </w14:textFill>
        </w:rPr>
      </w:pPr>
      <w:r>
        <w:rPr>
          <w:color w:val="000000" w:themeColor="text1"/>
          <w:szCs w:val="21"/>
          <w14:textFill>
            <w14:solidFill>
              <w14:schemeClr w14:val="tx1"/>
            </w14:solidFill>
          </w14:textFill>
        </w:rPr>
        <w:t>签订日期：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          签订日期：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p>
    <w:p w14:paraId="62BDC2A6">
      <w:pPr>
        <w:tabs>
          <w:tab w:val="left" w:pos="0"/>
        </w:tabs>
        <w:spacing w:line="360" w:lineRule="auto"/>
        <w:rPr>
          <w:color w:val="000000" w:themeColor="text1"/>
          <w:szCs w:val="21"/>
          <w14:textFill>
            <w14:solidFill>
              <w14:schemeClr w14:val="tx1"/>
            </w14:solidFill>
          </w14:textFill>
        </w:rPr>
      </w:pPr>
    </w:p>
    <w:p w14:paraId="20FA7341">
      <w:pPr>
        <w:rPr>
          <w:color w:val="000000" w:themeColor="text1"/>
          <w14:textFill>
            <w14:solidFill>
              <w14:schemeClr w14:val="tx1"/>
            </w14:solidFill>
          </w14:textFill>
        </w:rPr>
      </w:pPr>
    </w:p>
    <w:bookmarkEnd w:id="22"/>
    <w:p w14:paraId="6D6FC9C4">
      <w:pPr>
        <w:rPr>
          <w:rFonts w:hint="eastAsia"/>
          <w:b/>
          <w:color w:val="000000" w:themeColor="text1"/>
          <w:sz w:val="36"/>
          <w:szCs w:val="36"/>
          <w14:textFill>
            <w14:solidFill>
              <w14:schemeClr w14:val="tx1"/>
            </w14:solidFill>
          </w14:textFill>
        </w:rPr>
      </w:pPr>
      <w:bookmarkStart w:id="23" w:name="_Toc18088"/>
      <w:r>
        <w:rPr>
          <w:rFonts w:hint="eastAsia"/>
          <w:b/>
          <w:color w:val="000000" w:themeColor="text1"/>
          <w:sz w:val="36"/>
          <w:szCs w:val="36"/>
          <w14:textFill>
            <w14:solidFill>
              <w14:schemeClr w14:val="tx1"/>
            </w14:solidFill>
          </w14:textFill>
        </w:rPr>
        <w:br w:type="page"/>
      </w:r>
    </w:p>
    <w:p w14:paraId="0F4185A9">
      <w:pPr>
        <w:pStyle w:val="3"/>
        <w:spacing w:before="0" w:after="0" w:line="360" w:lineRule="auto"/>
        <w:ind w:firstLine="723"/>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第五章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技术需求书</w:t>
      </w:r>
      <w:bookmarkEnd w:id="23"/>
    </w:p>
    <w:p w14:paraId="3D71DDD0">
      <w:pPr>
        <w:spacing w:line="360" w:lineRule="auto"/>
        <w:ind w:firstLine="482" w:firstLineChars="200"/>
        <w:rPr>
          <w:rFonts w:hint="eastAsia" w:ascii="宋体" w:hAnsi="宋体"/>
          <w:b/>
          <w:color w:val="000000" w:themeColor="text1"/>
          <w:sz w:val="24"/>
          <w:szCs w:val="21"/>
          <w14:textFill>
            <w14:solidFill>
              <w14:schemeClr w14:val="tx1"/>
            </w14:solidFill>
          </w14:textFill>
        </w:rPr>
      </w:pPr>
      <w:bookmarkStart w:id="24" w:name="_Toc9828"/>
      <w:r>
        <w:rPr>
          <w:rFonts w:hint="eastAsia" w:ascii="宋体" w:hAnsi="宋体"/>
          <w:b/>
          <w:color w:val="000000" w:themeColor="text1"/>
          <w:sz w:val="24"/>
          <w:szCs w:val="21"/>
          <w14:textFill>
            <w14:solidFill>
              <w14:schemeClr w14:val="tx1"/>
            </w14:solidFill>
          </w14:textFill>
        </w:rPr>
        <w:t>说明：</w:t>
      </w:r>
    </w:p>
    <w:p w14:paraId="54575A17">
      <w:pPr>
        <w:spacing w:line="360" w:lineRule="auto"/>
        <w:ind w:firstLine="480" w:firstLineChars="200"/>
        <w:rPr>
          <w:rFonts w:hint="eastAsia"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Pr>
          <w:rFonts w:ascii="宋体" w:hAnsi="宋体"/>
          <w:color w:val="000000" w:themeColor="text1"/>
          <w:kern w:val="0"/>
          <w:sz w:val="24"/>
          <w:szCs w:val="21"/>
          <w14:textFill>
            <w14:solidFill>
              <w14:schemeClr w14:val="tx1"/>
            </w14:solidFill>
          </w14:textFill>
        </w:rPr>
        <w:t>中标后中标人在合同</w:t>
      </w:r>
      <w:r>
        <w:rPr>
          <w:rFonts w:hint="eastAsia" w:ascii="宋体" w:hAnsi="宋体"/>
          <w:color w:val="000000" w:themeColor="text1"/>
          <w:kern w:val="0"/>
          <w:sz w:val="24"/>
          <w:szCs w:val="21"/>
          <w14:textFill>
            <w14:solidFill>
              <w14:schemeClr w14:val="tx1"/>
            </w14:solidFill>
          </w14:textFill>
        </w:rPr>
        <w:t>签订</w:t>
      </w:r>
      <w:r>
        <w:rPr>
          <w:rFonts w:ascii="宋体" w:hAnsi="宋体"/>
          <w:color w:val="000000" w:themeColor="text1"/>
          <w:kern w:val="0"/>
          <w:sz w:val="24"/>
          <w:szCs w:val="21"/>
          <w14:textFill>
            <w14:solidFill>
              <w14:schemeClr w14:val="tx1"/>
            </w14:solidFill>
          </w14:textFill>
        </w:rPr>
        <w:t>中的任何偏差都不得超越</w:t>
      </w:r>
      <w:r>
        <w:rPr>
          <w:rFonts w:hint="eastAsia" w:ascii="宋体" w:hAnsi="宋体"/>
          <w:color w:val="000000" w:themeColor="text1"/>
          <w:kern w:val="0"/>
          <w:sz w:val="24"/>
          <w:szCs w:val="21"/>
          <w14:textFill>
            <w14:solidFill>
              <w14:schemeClr w14:val="tx1"/>
            </w14:solidFill>
          </w14:textFill>
        </w:rPr>
        <w:t>技术</w:t>
      </w:r>
      <w:r>
        <w:rPr>
          <w:rFonts w:ascii="宋体" w:hAnsi="宋体"/>
          <w:color w:val="000000" w:themeColor="text1"/>
          <w:kern w:val="0"/>
          <w:sz w:val="24"/>
          <w:szCs w:val="21"/>
          <w14:textFill>
            <w14:solidFill>
              <w14:schemeClr w14:val="tx1"/>
            </w14:solidFill>
          </w14:textFill>
        </w:rPr>
        <w:t>偏</w:t>
      </w:r>
      <w:r>
        <w:rPr>
          <w:rFonts w:hint="eastAsia" w:ascii="宋体" w:hAnsi="宋体"/>
          <w:color w:val="000000" w:themeColor="text1"/>
          <w:kern w:val="0"/>
          <w:sz w:val="24"/>
          <w:szCs w:val="21"/>
          <w14:textFill>
            <w14:solidFill>
              <w14:schemeClr w14:val="tx1"/>
            </w14:solidFill>
          </w14:textFill>
        </w:rPr>
        <w:t>离</w:t>
      </w:r>
      <w:r>
        <w:rPr>
          <w:rFonts w:ascii="宋体" w:hAnsi="宋体"/>
          <w:color w:val="000000" w:themeColor="text1"/>
          <w:kern w:val="0"/>
          <w:sz w:val="24"/>
          <w:szCs w:val="21"/>
          <w14:textFill>
            <w14:solidFill>
              <w14:schemeClr w14:val="tx1"/>
            </w14:solidFill>
          </w14:textFill>
        </w:rPr>
        <w:t>表中已被采购人确认的条款。</w:t>
      </w:r>
    </w:p>
    <w:p w14:paraId="362802EA">
      <w:pPr>
        <w:spacing w:line="360" w:lineRule="auto"/>
        <w:ind w:firstLine="480" w:firstLineChars="200"/>
        <w:rPr>
          <w:rFonts w:hint="eastAsia"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2、谈判文件技术要求中所描述的内容为本项目的基本技术要求，不应作为完整的详细要求。</w:t>
      </w:r>
      <w:r>
        <w:rPr>
          <w:rFonts w:hint="eastAsia" w:ascii="宋体" w:hAnsi="宋体"/>
          <w:color w:val="000000" w:themeColor="text1"/>
          <w:sz w:val="24"/>
          <w:szCs w:val="21"/>
          <w14:textFill>
            <w14:solidFill>
              <w14:schemeClr w14:val="tx1"/>
            </w14:solidFill>
          </w14:textFill>
        </w:rPr>
        <w:t>对于为满足正常运行所需的设备材料的供应、安装、调试、验收及质量保证的内容请供应商自行考虑。</w:t>
      </w:r>
      <w:r>
        <w:rPr>
          <w:rFonts w:ascii="宋体" w:hAnsi="宋体"/>
          <w:color w:val="000000" w:themeColor="text1"/>
          <w:sz w:val="24"/>
          <w:szCs w:val="21"/>
          <w14:textFill>
            <w14:solidFill>
              <w14:schemeClr w14:val="tx1"/>
            </w14:solidFill>
          </w14:textFill>
        </w:rPr>
        <w:t>中标人应满足本技术</w:t>
      </w:r>
      <w:r>
        <w:rPr>
          <w:rFonts w:hint="eastAsia" w:ascii="宋体" w:hAnsi="宋体"/>
          <w:color w:val="000000" w:themeColor="text1"/>
          <w:sz w:val="24"/>
          <w:szCs w:val="21"/>
          <w14:textFill>
            <w14:solidFill>
              <w14:schemeClr w14:val="tx1"/>
            </w14:solidFill>
          </w14:textFill>
        </w:rPr>
        <w:t>需求书</w:t>
      </w:r>
      <w:r>
        <w:rPr>
          <w:rFonts w:ascii="宋体" w:hAnsi="宋体"/>
          <w:color w:val="000000" w:themeColor="text1"/>
          <w:sz w:val="24"/>
          <w:szCs w:val="21"/>
          <w14:textFill>
            <w14:solidFill>
              <w14:schemeClr w14:val="tx1"/>
            </w14:solidFill>
          </w14:textFill>
        </w:rPr>
        <w:t>中未描述的，但为保证设备能正常有效运行所需要的其它要求和所需的设备与附件。</w:t>
      </w:r>
    </w:p>
    <w:p w14:paraId="3804ADB0">
      <w:pPr>
        <w:spacing w:line="360" w:lineRule="auto"/>
        <w:ind w:firstLine="480" w:firstLineChars="200"/>
        <w:rPr>
          <w:rFonts w:hint="eastAsia"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3、技术需求书中带</w:t>
      </w:r>
      <w:r>
        <w:rPr>
          <w:rFonts w:hint="eastAsia" w:ascii="宋体" w:hAnsi="宋体"/>
          <w:color w:val="000000" w:themeColor="text1"/>
          <w:sz w:val="24"/>
          <w:szCs w:val="21"/>
          <w14:textFill>
            <w14:solidFill>
              <w14:schemeClr w14:val="tx1"/>
            </w14:solidFill>
          </w14:textFill>
        </w:rPr>
        <w:t>“</w:t>
      </w:r>
      <w:r>
        <w:rPr>
          <w:rFonts w:hint="eastAsia"/>
          <w:color w:val="000000" w:themeColor="text1"/>
          <w:sz w:val="24"/>
          <w:szCs w:val="21"/>
          <w14:textFill>
            <w14:solidFill>
              <w14:schemeClr w14:val="tx1"/>
            </w14:solidFill>
          </w14:textFill>
        </w:rPr>
        <w:t>★</w:t>
      </w:r>
      <w:r>
        <w:rPr>
          <w:rFonts w:hint="eastAsia" w:ascii="宋体" w:hAnsi="宋体"/>
          <w:color w:val="000000" w:themeColor="text1"/>
          <w:sz w:val="24"/>
          <w:szCs w:val="21"/>
          <w14:textFill>
            <w14:solidFill>
              <w14:schemeClr w14:val="tx1"/>
            </w14:solidFill>
          </w14:textFill>
        </w:rPr>
        <w:t>”部分为</w:t>
      </w:r>
      <w:r>
        <w:rPr>
          <w:rFonts w:ascii="宋体" w:hAnsi="宋体"/>
          <w:color w:val="000000" w:themeColor="text1"/>
          <w:sz w:val="24"/>
          <w:szCs w:val="21"/>
          <w14:textFill>
            <w14:solidFill>
              <w14:schemeClr w14:val="tx1"/>
            </w14:solidFill>
          </w14:textFill>
        </w:rPr>
        <w:t>必须保证满足要求</w:t>
      </w:r>
      <w:r>
        <w:rPr>
          <w:rFonts w:hint="eastAsia" w:ascii="宋体" w:hAnsi="宋体"/>
          <w:color w:val="000000" w:themeColor="text1"/>
          <w:sz w:val="24"/>
          <w:szCs w:val="21"/>
          <w14:textFill>
            <w14:solidFill>
              <w14:schemeClr w14:val="tx1"/>
            </w14:solidFill>
          </w14:textFill>
        </w:rPr>
        <w:t>的条款。</w:t>
      </w:r>
    </w:p>
    <w:p w14:paraId="26881B3F">
      <w:pPr>
        <w:spacing w:line="360" w:lineRule="auto"/>
        <w:ind w:firstLine="480" w:firstLineChars="200"/>
        <w:rPr>
          <w:rFonts w:hint="eastAsia"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4、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w:t>
      </w:r>
      <w:r>
        <w:rPr>
          <w:rFonts w:hint="eastAsia" w:ascii="宋体" w:hAnsi="宋体"/>
          <w:color w:val="000000" w:themeColor="text1"/>
          <w:sz w:val="24"/>
          <w:szCs w:val="21"/>
          <w14:textFill>
            <w14:solidFill>
              <w14:schemeClr w14:val="tx1"/>
            </w14:solidFill>
          </w14:textFill>
        </w:rPr>
        <w:t>开标</w:t>
      </w:r>
      <w:r>
        <w:rPr>
          <w:rFonts w:ascii="宋体" w:hAnsi="宋体"/>
          <w:color w:val="000000" w:themeColor="text1"/>
          <w:sz w:val="24"/>
          <w:szCs w:val="21"/>
          <w14:textFill>
            <w14:solidFill>
              <w14:schemeClr w14:val="tx1"/>
            </w14:solidFill>
          </w14:textFill>
        </w:rPr>
        <w:t>一览表和分项报价表一致。对于可以用量化形式表示的条款，供应商必须明确回答，或以功能描述回答。</w:t>
      </w:r>
    </w:p>
    <w:p w14:paraId="4E89FF5A">
      <w:pPr>
        <w:spacing w:line="360" w:lineRule="auto"/>
        <w:ind w:firstLine="743"/>
        <w:outlineLvl w:val="1"/>
        <w:rPr>
          <w:b/>
          <w:color w:val="000000" w:themeColor="text1"/>
          <w:sz w:val="24"/>
          <w14:textFill>
            <w14:solidFill>
              <w14:schemeClr w14:val="tx1"/>
            </w14:solidFill>
          </w14:textFill>
        </w:rPr>
      </w:pPr>
      <w:r>
        <w:rPr>
          <w:rFonts w:eastAsia="黑体"/>
          <w:b/>
          <w:color w:val="000000" w:themeColor="text1"/>
          <w:sz w:val="37"/>
          <w:szCs w:val="37"/>
          <w14:textFill>
            <w14:solidFill>
              <w14:schemeClr w14:val="tx1"/>
            </w14:solidFill>
          </w14:textFill>
        </w:rPr>
        <w:br w:type="page"/>
      </w:r>
      <w:bookmarkStart w:id="25" w:name="_Toc31481"/>
      <w:bookmarkStart w:id="26" w:name="_Hlk191470563"/>
      <w:r>
        <w:rPr>
          <w:rFonts w:hint="eastAsia"/>
          <w:b/>
          <w:color w:val="000000" w:themeColor="text1"/>
          <w:sz w:val="24"/>
          <w14:textFill>
            <w14:solidFill>
              <w14:schemeClr w14:val="tx1"/>
            </w14:solidFill>
          </w14:textFill>
        </w:rPr>
        <w:t>一、综述</w:t>
      </w:r>
      <w:bookmarkEnd w:id="25"/>
    </w:p>
    <w:p w14:paraId="520BAAD2">
      <w:pPr>
        <w:pStyle w:val="48"/>
        <w:rPr>
          <w:rFonts w:hint="eastAsia"/>
        </w:rPr>
      </w:pPr>
      <w:r>
        <w:rPr>
          <w:rFonts w:hint="eastAsia"/>
        </w:rPr>
        <w:t>1.1项目概述</w:t>
      </w:r>
    </w:p>
    <w:p w14:paraId="24A50D3D">
      <w:pPr>
        <w:pStyle w:val="48"/>
        <w:rPr>
          <w:rFonts w:hint="eastAsia"/>
        </w:rPr>
      </w:pPr>
      <w:r>
        <w:t>为提升公司运营管理质效，全面赋能内部管理、业务运营和经营发展，加快人工智能技术引入、开发与应用，拟快速引入适度规模 GPU 算力资源，初步构建面向公司内部应用的 AI 智算资源池，满足 AI 应用创新探索及自主培训学习需求。</w:t>
      </w:r>
    </w:p>
    <w:p w14:paraId="6AF9938E">
      <w:pPr>
        <w:pStyle w:val="48"/>
        <w:rPr>
          <w:rFonts w:hint="eastAsia"/>
        </w:rPr>
      </w:pPr>
      <w:r>
        <w:rPr>
          <w:rFonts w:hint="eastAsia"/>
        </w:rPr>
        <w:t>1.2总体要</w:t>
      </w:r>
    </w:p>
    <w:p w14:paraId="039EA9D9">
      <w:pPr>
        <w:pStyle w:val="48"/>
        <w:rPr>
          <w:rFonts w:hint="eastAsia"/>
        </w:rPr>
      </w:pPr>
      <w:r>
        <w:rPr>
          <w:rFonts w:hint="eastAsia"/>
        </w:rPr>
        <w:t>本项目采用公有云技术方式，由供应商在其现有的公有云中提供GPU算力资源租用服务接入江苏有线机房。</w:t>
      </w:r>
    </w:p>
    <w:p w14:paraId="78E695A9">
      <w:pPr>
        <w:pStyle w:val="48"/>
        <w:rPr>
          <w:rFonts w:hint="eastAsia"/>
        </w:rPr>
      </w:pPr>
      <w:r>
        <w:rPr>
          <w:rFonts w:hint="eastAsia"/>
        </w:rPr>
        <w:t>在本次项目的设计和建设中， 需严格遵循以下原则:</w:t>
      </w:r>
    </w:p>
    <w:p w14:paraId="41087E90">
      <w:pPr>
        <w:pStyle w:val="48"/>
        <w:rPr>
          <w:rFonts w:hint="eastAsia"/>
        </w:rPr>
      </w:pPr>
      <w:r>
        <w:rPr>
          <w:rFonts w:hint="eastAsia"/>
          <w:color w:val="000000" w:themeColor="text1"/>
          <w:szCs w:val="21"/>
          <w14:textFill>
            <w14:solidFill>
              <w14:schemeClr w14:val="tx1"/>
            </w14:solidFill>
          </w14:textFill>
        </w:rPr>
        <w:t>★</w:t>
      </w:r>
      <w:r>
        <w:rPr>
          <w:rFonts w:hint="eastAsia"/>
        </w:rPr>
        <w:t>1.2.1稳定性</w:t>
      </w:r>
    </w:p>
    <w:p w14:paraId="7DEC320D">
      <w:pPr>
        <w:pStyle w:val="48"/>
        <w:rPr>
          <w:rFonts w:hint="eastAsia"/>
        </w:rPr>
      </w:pPr>
      <w:r>
        <w:rPr>
          <w:rFonts w:hint="eastAsia"/>
        </w:rPr>
        <w:t>应采取各种必要技术措施，保证公共服务平台具备有优秀的稳定性，在保证稳定性的前提下，为主要业务提供7x24 小时持续的支撑服务，稳定性须达到99.99%。</w:t>
      </w:r>
    </w:p>
    <w:p w14:paraId="69491175">
      <w:pPr>
        <w:pStyle w:val="48"/>
        <w:rPr>
          <w:rFonts w:hint="eastAsia"/>
        </w:rPr>
      </w:pPr>
      <w:r>
        <w:rPr>
          <w:rFonts w:hint="eastAsia"/>
          <w:color w:val="000000" w:themeColor="text1"/>
          <w:szCs w:val="21"/>
          <w14:textFill>
            <w14:solidFill>
              <w14:schemeClr w14:val="tx1"/>
            </w14:solidFill>
          </w14:textFill>
        </w:rPr>
        <w:t>★</w:t>
      </w:r>
      <w:r>
        <w:rPr>
          <w:rFonts w:hint="eastAsia"/>
        </w:rPr>
        <w:t>1.2.2安全性</w:t>
      </w:r>
    </w:p>
    <w:p w14:paraId="332FB5B5">
      <w:pPr>
        <w:pStyle w:val="48"/>
        <w:rPr>
          <w:rFonts w:hint="eastAsia"/>
        </w:rPr>
      </w:pPr>
      <w:r>
        <w:rPr>
          <w:rFonts w:hint="eastAsia"/>
        </w:rPr>
        <w:t>平台需保证99.99%的可用性；系统应能充分考虑用户数据的安全，避免用户受到异常攻击或敏感数据窃取，避免用户数据、视频数据、图片数据被篡改；应能主动评估业务系统的安全状况及提供弥补措施，并提供各种操作行为的可回溯能力，确保机房及公共服务平台运行的安全。</w:t>
      </w:r>
    </w:p>
    <w:p w14:paraId="485AB26D">
      <w:pPr>
        <w:pStyle w:val="48"/>
        <w:rPr>
          <w:rFonts w:hint="eastAsia"/>
        </w:rPr>
      </w:pPr>
      <w:r>
        <w:rPr>
          <w:rFonts w:hint="eastAsia"/>
          <w:color w:val="000000" w:themeColor="text1"/>
          <w:szCs w:val="21"/>
          <w14:textFill>
            <w14:solidFill>
              <w14:schemeClr w14:val="tx1"/>
            </w14:solidFill>
          </w14:textFill>
        </w:rPr>
        <w:t>★</w:t>
      </w:r>
      <w:r>
        <w:rPr>
          <w:rFonts w:hint="eastAsia"/>
        </w:rPr>
        <w:t>1.2.3可扩展性</w:t>
      </w:r>
    </w:p>
    <w:p w14:paraId="5A7BD8FC">
      <w:pPr>
        <w:pStyle w:val="48"/>
        <w:rPr>
          <w:rFonts w:hint="eastAsia"/>
        </w:rPr>
      </w:pPr>
      <w:r>
        <w:rPr>
          <w:rFonts w:hint="eastAsia"/>
        </w:rPr>
        <w:t>平台应具备良好的弹性扩展能力，满足数据中心长期发展的要求。根据业务的发展预测，平台系统定期按照适度预留的原则进行建设，能在规定时间内快速响应新的用户，新的业务的新增要求。</w:t>
      </w:r>
    </w:p>
    <w:p w14:paraId="5C403022">
      <w:pPr>
        <w:pStyle w:val="48"/>
        <w:rPr>
          <w:rFonts w:hint="eastAsia"/>
        </w:rPr>
      </w:pPr>
      <w:r>
        <w:rPr>
          <w:rFonts w:hint="eastAsia"/>
          <w:color w:val="000000" w:themeColor="text1"/>
          <w:szCs w:val="21"/>
          <w14:textFill>
            <w14:solidFill>
              <w14:schemeClr w14:val="tx1"/>
            </w14:solidFill>
          </w14:textFill>
        </w:rPr>
        <w:t>★</w:t>
      </w:r>
      <w:r>
        <w:rPr>
          <w:rFonts w:hint="eastAsia"/>
        </w:rPr>
        <w:t>1.2.4灵活的基础架构</w:t>
      </w:r>
    </w:p>
    <w:p w14:paraId="25837A78">
      <w:pPr>
        <w:pStyle w:val="48"/>
        <w:rPr>
          <w:rFonts w:hint="eastAsia"/>
        </w:rPr>
      </w:pPr>
      <w:r>
        <w:rPr>
          <w:rFonts w:hint="eastAsia"/>
        </w:rPr>
        <w:t>满足资源的随时随地按需分配，需要建立一个灵活的硬件基础架构。硬件基础架构通常由虚拟的服务器池、共享的存储系统、网络和硬件管理软件组成。</w:t>
      </w:r>
    </w:p>
    <w:p w14:paraId="3FFE1992">
      <w:pPr>
        <w:pStyle w:val="48"/>
        <w:rPr>
          <w:rFonts w:hint="eastAsia"/>
        </w:rPr>
      </w:pPr>
      <w:r>
        <w:rPr>
          <w:rFonts w:hint="eastAsia"/>
          <w:color w:val="000000" w:themeColor="text1"/>
          <w:szCs w:val="21"/>
          <w14:textFill>
            <w14:solidFill>
              <w14:schemeClr w14:val="tx1"/>
            </w14:solidFill>
          </w14:textFill>
        </w:rPr>
        <w:t>★</w:t>
      </w:r>
      <w:r>
        <w:rPr>
          <w:rFonts w:hint="eastAsia"/>
        </w:rPr>
        <w:t>1.2.5完善的资源监控及故障处理手段</w:t>
      </w:r>
    </w:p>
    <w:p w14:paraId="1227D6ED">
      <w:pPr>
        <w:pStyle w:val="48"/>
        <w:rPr>
          <w:rFonts w:hint="eastAsia"/>
        </w:rPr>
      </w:pPr>
      <w:r>
        <w:rPr>
          <w:rFonts w:hint="eastAsia"/>
        </w:rPr>
        <w:t>云平台提供资源和服务的各种运维能力，可以监控资源的使用情况，对于平台故障提供及时地预警报警，保证云平台的稳定运行，能够提供标准化的监控接口与第三方的软硬件集成。</w:t>
      </w:r>
    </w:p>
    <w:p w14:paraId="1D6CF042">
      <w:pPr>
        <w:pStyle w:val="48"/>
        <w:rPr>
          <w:rFonts w:hint="eastAsia"/>
        </w:rPr>
      </w:pPr>
      <w:r>
        <w:rPr>
          <w:rFonts w:hint="eastAsia"/>
          <w:color w:val="000000" w:themeColor="text1"/>
          <w:szCs w:val="21"/>
          <w14:textFill>
            <w14:solidFill>
              <w14:schemeClr w14:val="tx1"/>
            </w14:solidFill>
          </w14:textFill>
        </w:rPr>
        <w:t>★</w:t>
      </w:r>
      <w:r>
        <w:rPr>
          <w:rFonts w:hint="eastAsia"/>
        </w:rPr>
        <w:t>1.2.6开放性</w:t>
      </w:r>
    </w:p>
    <w:p w14:paraId="167AD83A">
      <w:pPr>
        <w:pStyle w:val="48"/>
        <w:rPr>
          <w:rFonts w:hint="eastAsia"/>
        </w:rPr>
      </w:pPr>
      <w:r>
        <w:rPr>
          <w:rFonts w:hint="eastAsia"/>
        </w:rPr>
        <w:t>要求各类系统设计、产品及网络构建都要满足相关的国际标准和国家标准，提供标准结构及接口，有效地兼容各种品牌、厂商、电子运营商的系统和网络，实现多系统、多平台的互联互通。</w:t>
      </w:r>
    </w:p>
    <w:p w14:paraId="5F2CB418">
      <w:pPr>
        <w:spacing w:line="360" w:lineRule="auto"/>
        <w:ind w:firstLine="422"/>
        <w:outlineLvl w:val="1"/>
        <w:rPr>
          <w:rFonts w:hint="eastAsia" w:ascii="宋体" w:hAnsi="宋体" w:cs="Segoe UI Symbol"/>
          <w:b/>
          <w:color w:val="000000" w:themeColor="text1"/>
          <w:szCs w:val="21"/>
          <w14:textFill>
            <w14:solidFill>
              <w14:schemeClr w14:val="tx1"/>
            </w14:solidFill>
          </w14:textFill>
        </w:rPr>
      </w:pPr>
      <w:r>
        <w:rPr>
          <w:rFonts w:hint="eastAsia" w:ascii="宋体" w:hAnsi="宋体" w:cs="Segoe UI Symbol"/>
          <w:b/>
          <w:color w:val="000000" w:themeColor="text1"/>
          <w:szCs w:val="21"/>
          <w14:textFill>
            <w14:solidFill>
              <w14:schemeClr w14:val="tx1"/>
            </w14:solidFill>
          </w14:textFill>
        </w:rPr>
        <w:t>二、技术要求</w:t>
      </w:r>
      <w:bookmarkEnd w:id="24"/>
    </w:p>
    <w:p w14:paraId="5105D462">
      <w:pPr>
        <w:spacing w:line="360" w:lineRule="auto"/>
        <w:ind w:firstLine="420" w:firstLineChars="200"/>
        <w:rPr>
          <w:rFonts w:hint="eastAsia"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提供不少于2台GPU算力资源，</w:t>
      </w:r>
      <w:r>
        <w:rPr>
          <w:rFonts w:hint="eastAsia" w:ascii="宋体" w:hAnsi="宋体" w:cstheme="minorEastAsia"/>
          <w:color w:val="000000" w:themeColor="text1"/>
          <w:szCs w:val="21"/>
          <w:lang w:val="en-US" w:eastAsia="zh-CN"/>
          <w14:textFill>
            <w14:solidFill>
              <w14:schemeClr w14:val="tx1"/>
            </w14:solidFill>
          </w14:textFill>
        </w:rPr>
        <w:t>服务时间不少于2个月，</w:t>
      </w:r>
      <w:r>
        <w:rPr>
          <w:rFonts w:hint="eastAsia" w:ascii="宋体" w:hAnsi="宋体" w:cstheme="minorEastAsia"/>
          <w:color w:val="000000" w:themeColor="text1"/>
          <w:szCs w:val="21"/>
          <w14:textFill>
            <w14:solidFill>
              <w14:schemeClr w14:val="tx1"/>
            </w14:solidFill>
          </w14:textFill>
        </w:rPr>
        <w:t>单台资源具体功能需求的要求如下：</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293"/>
        <w:gridCol w:w="5749"/>
      </w:tblGrid>
      <w:tr w14:paraId="2ABC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54" w:type="dxa"/>
            <w:vAlign w:val="center"/>
          </w:tcPr>
          <w:p w14:paraId="75B16A3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模块</w:t>
            </w:r>
          </w:p>
        </w:tc>
        <w:tc>
          <w:tcPr>
            <w:tcW w:w="1293" w:type="dxa"/>
            <w:noWrap/>
            <w:vAlign w:val="center"/>
          </w:tcPr>
          <w:p w14:paraId="3245A65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指标项</w:t>
            </w:r>
          </w:p>
        </w:tc>
        <w:tc>
          <w:tcPr>
            <w:tcW w:w="5749" w:type="dxa"/>
            <w:vAlign w:val="center"/>
          </w:tcPr>
          <w:p w14:paraId="350C0F88">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功能特性参数说明</w:t>
            </w:r>
          </w:p>
        </w:tc>
      </w:tr>
      <w:tr w14:paraId="7C51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restart"/>
            <w:vAlign w:val="center"/>
          </w:tcPr>
          <w:p w14:paraId="246F8D4F">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GPU算力资源</w:t>
            </w:r>
          </w:p>
        </w:tc>
        <w:tc>
          <w:tcPr>
            <w:tcW w:w="1293" w:type="dxa"/>
            <w:noWrap/>
            <w:vAlign w:val="center"/>
          </w:tcPr>
          <w:p w14:paraId="668CDBD3">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★产品规格</w:t>
            </w:r>
          </w:p>
        </w:tc>
        <w:tc>
          <w:tcPr>
            <w:tcW w:w="5749" w:type="dxa"/>
            <w:vAlign w:val="center"/>
          </w:tcPr>
          <w:p w14:paraId="68580CA9">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CPU：≥384vcpu（主频≥2.5GHz/睿频≥3.6GHz）</w:t>
            </w:r>
          </w:p>
          <w:p w14:paraId="14EA8EDB">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内存：DDR5 容量≥ 2TB</w:t>
            </w:r>
          </w:p>
          <w:p w14:paraId="05772AC6">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VPC网络带宽：支持100Gbps</w:t>
            </w:r>
          </w:p>
          <w:p w14:paraId="47B09EC8">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支持RDMA网络：节点间通信带宽≥3.2Tbps</w:t>
            </w:r>
          </w:p>
          <w:p w14:paraId="5DC848FA">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支持NVLink：单机卡间通信支持NVLink，通信带宽≥900GB/s；</w:t>
            </w:r>
          </w:p>
          <w:p w14:paraId="67A4955B">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单节点GPU卡数：≥8卡;</w:t>
            </w:r>
          </w:p>
          <w:p w14:paraId="3002AB89">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单GPU卡算力：FP16≥148TFlops，BF16≥148TFlops，FP8≥296TFlops；</w:t>
            </w:r>
          </w:p>
          <w:p w14:paraId="717B7AB0">
            <w:pPr>
              <w:spacing w:line="30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显存：≥96GB HBM3</w:t>
            </w:r>
          </w:p>
          <w:p w14:paraId="54E8A6BB">
            <w:pPr>
              <w:rPr>
                <w:rFonts w:hint="eastAsia" w:ascii="宋体" w:hAnsi="宋体"/>
                <w:color w:val="000000" w:themeColor="text1"/>
                <w:szCs w:val="21"/>
                <w14:textFill>
                  <w14:solidFill>
                    <w14:schemeClr w14:val="tx1"/>
                  </w14:solidFill>
                </w14:textFill>
              </w:rPr>
            </w:pPr>
            <w:r>
              <w:rPr>
                <w:rFonts w:hint="eastAsia"/>
              </w:rPr>
              <w:t>磁盘：≥NVMe-5T*4</w:t>
            </w:r>
          </w:p>
        </w:tc>
      </w:tr>
      <w:tr w14:paraId="34ED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4FFCE61F">
            <w:pPr>
              <w:jc w:val="center"/>
              <w:rPr>
                <w:rFonts w:hint="eastAsia" w:ascii="宋体" w:hAnsi="宋体"/>
                <w:color w:val="000000" w:themeColor="text1"/>
                <w:szCs w:val="21"/>
                <w14:textFill>
                  <w14:solidFill>
                    <w14:schemeClr w14:val="tx1"/>
                  </w14:solidFill>
                </w14:textFill>
              </w:rPr>
            </w:pPr>
          </w:p>
        </w:tc>
        <w:tc>
          <w:tcPr>
            <w:tcW w:w="1293" w:type="dxa"/>
            <w:vMerge w:val="restart"/>
            <w:noWrap/>
            <w:vAlign w:val="center"/>
          </w:tcPr>
          <w:p w14:paraId="3415089B">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★基础能力</w:t>
            </w:r>
          </w:p>
        </w:tc>
        <w:tc>
          <w:tcPr>
            <w:tcW w:w="5749" w:type="dxa"/>
            <w:vAlign w:val="center"/>
          </w:tcPr>
          <w:p w14:paraId="25F7F7E1">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单台GPU算力资源最高可以支持384核CPU、1536G内存；</w:t>
            </w:r>
          </w:p>
        </w:tc>
      </w:tr>
      <w:tr w14:paraId="0A2B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0B5E00F2">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3056FCC9">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142C7FB1">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单台GPU算力资源系统盘最高支持2048GB，最高可挂载20块弹性云硬盘、单盘最高可达32000GB；</w:t>
            </w:r>
          </w:p>
        </w:tc>
      </w:tr>
      <w:tr w14:paraId="621C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3E08BF27">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709A15E7">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62473DD8">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单台GPU算力资源最高可挂8个弹性网卡、单网卡最高可绑定IP数30个；</w:t>
            </w:r>
          </w:p>
        </w:tc>
      </w:tr>
      <w:tr w14:paraId="3038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79D8B6CF">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09EA2F8B">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782EA336">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单台GPU算力资源最高包转发率（pps）达到4500W；</w:t>
            </w:r>
          </w:p>
        </w:tc>
      </w:tr>
      <w:tr w14:paraId="0484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79DE8F59">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6A2E40C4">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0B778DBA">
            <w:pP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单台GPU算力资源内网带宽最高支持100Gbps</w:t>
            </w:r>
            <w:r>
              <w:rPr>
                <w:rFonts w:hint="eastAsia" w:ascii="宋体" w:hAnsi="宋体"/>
                <w:color w:val="000000" w:themeColor="text1"/>
                <w:szCs w:val="21"/>
                <w:lang w:eastAsia="zh-CN"/>
                <w14:textFill>
                  <w14:solidFill>
                    <w14:schemeClr w14:val="tx1"/>
                  </w14:solidFill>
                </w14:textFill>
              </w:rPr>
              <w:t>。</w:t>
            </w:r>
          </w:p>
        </w:tc>
      </w:tr>
      <w:tr w14:paraId="4F04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54" w:type="dxa"/>
            <w:vMerge w:val="continue"/>
            <w:vAlign w:val="center"/>
          </w:tcPr>
          <w:p w14:paraId="35ECF4F3">
            <w:pPr>
              <w:jc w:val="center"/>
              <w:rPr>
                <w:rFonts w:hint="eastAsia" w:ascii="宋体" w:hAnsi="宋体"/>
                <w:color w:val="000000" w:themeColor="text1"/>
                <w:szCs w:val="21"/>
                <w14:textFill>
                  <w14:solidFill>
                    <w14:schemeClr w14:val="tx1"/>
                  </w14:solidFill>
                </w14:textFill>
              </w:rPr>
            </w:pPr>
          </w:p>
        </w:tc>
        <w:tc>
          <w:tcPr>
            <w:tcW w:w="1293" w:type="dxa"/>
            <w:vMerge w:val="restart"/>
            <w:noWrap/>
            <w:vAlign w:val="center"/>
          </w:tcPr>
          <w:p w14:paraId="5E7DEF15">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★操作系统</w:t>
            </w:r>
          </w:p>
        </w:tc>
        <w:tc>
          <w:tcPr>
            <w:tcW w:w="5749" w:type="dxa"/>
            <w:vAlign w:val="center"/>
          </w:tcPr>
          <w:p w14:paraId="2049EC8C">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GPU算力资源提供主流的Windows、Linux等操作系统，且均具备正版授权，授权费用须包含在本次投标报价中；</w:t>
            </w:r>
          </w:p>
        </w:tc>
      </w:tr>
      <w:tr w14:paraId="68D6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776D570A">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38B11E82">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7DEC2F13">
            <w:pP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GPU算力资源基于KVM虚拟化引擎生产</w:t>
            </w:r>
            <w:r>
              <w:rPr>
                <w:rFonts w:hint="eastAsia" w:ascii="宋体" w:hAnsi="宋体"/>
                <w:color w:val="000000" w:themeColor="text1"/>
                <w:szCs w:val="21"/>
                <w:lang w:eastAsia="zh-CN"/>
                <w14:textFill>
                  <w14:solidFill>
                    <w14:schemeClr w14:val="tx1"/>
                  </w14:solidFill>
                </w14:textFill>
              </w:rPr>
              <w:t>。</w:t>
            </w:r>
          </w:p>
        </w:tc>
      </w:tr>
      <w:tr w14:paraId="29AB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16974BDE">
            <w:pPr>
              <w:jc w:val="center"/>
              <w:rPr>
                <w:rFonts w:hint="eastAsia" w:ascii="宋体" w:hAnsi="宋体"/>
                <w:color w:val="000000" w:themeColor="text1"/>
                <w:szCs w:val="21"/>
                <w14:textFill>
                  <w14:solidFill>
                    <w14:schemeClr w14:val="tx1"/>
                  </w14:solidFill>
                </w14:textFill>
              </w:rPr>
            </w:pPr>
          </w:p>
        </w:tc>
        <w:tc>
          <w:tcPr>
            <w:tcW w:w="1293" w:type="dxa"/>
            <w:vMerge w:val="restart"/>
            <w:noWrap/>
            <w:vAlign w:val="center"/>
          </w:tcPr>
          <w:p w14:paraId="45464A3B">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镜像环境</w:t>
            </w:r>
          </w:p>
        </w:tc>
        <w:tc>
          <w:tcPr>
            <w:tcW w:w="5749" w:type="dxa"/>
            <w:vAlign w:val="center"/>
          </w:tcPr>
          <w:p w14:paraId="349A9752">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可指定用户预先配置好的镜像文件作为模板进行GPU算力资源的创建，支持自定义镜像跨地域复制；</w:t>
            </w:r>
          </w:p>
        </w:tc>
      </w:tr>
      <w:tr w14:paraId="1A89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2855B24B">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7AA5BFE2">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43BF3CBC">
            <w:pP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★可以在创建GPU算力资源时，在服务市场里选择预装特定版本驱动和 CUDA 的镜像</w:t>
            </w:r>
            <w:r>
              <w:rPr>
                <w:rFonts w:hint="eastAsia" w:ascii="宋体" w:hAnsi="宋体"/>
                <w:color w:val="000000" w:themeColor="text1"/>
                <w:szCs w:val="21"/>
                <w:lang w:eastAsia="zh-CN"/>
                <w14:textFill>
                  <w14:solidFill>
                    <w14:schemeClr w14:val="tx1"/>
                  </w14:solidFill>
                </w14:textFill>
              </w:rPr>
              <w:t>；</w:t>
            </w:r>
          </w:p>
        </w:tc>
      </w:tr>
      <w:tr w14:paraId="0748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54" w:type="dxa"/>
            <w:vMerge w:val="continue"/>
            <w:vAlign w:val="center"/>
          </w:tcPr>
          <w:p w14:paraId="32A5ED87">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2296298A">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75C45045">
            <w:pP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选择公共镜像支持创建实例时后台自动安装GPU驱动，该方式仅支持部分实例类型和 Linux 公共镜像</w:t>
            </w:r>
            <w:r>
              <w:rPr>
                <w:rFonts w:hint="eastAsia" w:ascii="宋体" w:hAnsi="宋体"/>
                <w:color w:val="000000" w:themeColor="text1"/>
                <w:szCs w:val="21"/>
                <w:lang w:eastAsia="zh-CN"/>
                <w14:textFill>
                  <w14:solidFill>
                    <w14:schemeClr w14:val="tx1"/>
                  </w14:solidFill>
                </w14:textFill>
              </w:rPr>
              <w:t>。</w:t>
            </w:r>
          </w:p>
        </w:tc>
      </w:tr>
      <w:tr w14:paraId="20C7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00F08555">
            <w:pPr>
              <w:jc w:val="center"/>
              <w:rPr>
                <w:rFonts w:hint="eastAsia" w:ascii="宋体" w:hAnsi="宋体"/>
                <w:color w:val="000000" w:themeColor="text1"/>
                <w:szCs w:val="21"/>
                <w14:textFill>
                  <w14:solidFill>
                    <w14:schemeClr w14:val="tx1"/>
                  </w14:solidFill>
                </w14:textFill>
              </w:rPr>
            </w:pPr>
          </w:p>
        </w:tc>
        <w:tc>
          <w:tcPr>
            <w:tcW w:w="1293" w:type="dxa"/>
            <w:vMerge w:val="restart"/>
            <w:noWrap/>
            <w:vAlign w:val="center"/>
          </w:tcPr>
          <w:p w14:paraId="2637C6A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管理功能</w:t>
            </w:r>
          </w:p>
        </w:tc>
        <w:tc>
          <w:tcPr>
            <w:tcW w:w="5749" w:type="dxa"/>
            <w:vAlign w:val="center"/>
          </w:tcPr>
          <w:p w14:paraId="44CDA88D">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支持使用密钥登录和密码登录；</w:t>
            </w:r>
          </w:p>
        </w:tc>
      </w:tr>
      <w:tr w14:paraId="0732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323794E3">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19579079">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4F4E3AC9">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支持通过WebShell 登录、VNC 登录以及远程登录软件登录；</w:t>
            </w:r>
          </w:p>
        </w:tc>
      </w:tr>
      <w:tr w14:paraId="667C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2907C6DE">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2A64F88F">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7EA04B7B">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支持计算能力的弹性伸缩，可根据定时、周期或监控策略，增加或减少GPU算力资源实例；</w:t>
            </w:r>
          </w:p>
        </w:tc>
      </w:tr>
      <w:tr w14:paraId="2284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55A3CC2E">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07DCE378">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400F3581">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支持通过API或CLI管控控制云服务器；</w:t>
            </w:r>
          </w:p>
        </w:tc>
      </w:tr>
      <w:tr w14:paraId="7FDD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4EEBF07C">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4C7593B9">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55B0EF68">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针对NVIDIA GPU系列实例提供了监控 GPU 使用率，显存使用量，功耗以及温度等参数的能力；</w:t>
            </w:r>
          </w:p>
        </w:tc>
      </w:tr>
      <w:tr w14:paraId="6F89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6648FFD2">
            <w:pPr>
              <w:jc w:val="center"/>
              <w:rPr>
                <w:rFonts w:hint="eastAsia" w:ascii="宋体" w:hAnsi="宋体"/>
                <w:color w:val="000000" w:themeColor="text1"/>
                <w:szCs w:val="21"/>
                <w14:textFill>
                  <w14:solidFill>
                    <w14:schemeClr w14:val="tx1"/>
                  </w14:solidFill>
                </w14:textFill>
              </w:rPr>
            </w:pPr>
          </w:p>
        </w:tc>
        <w:tc>
          <w:tcPr>
            <w:tcW w:w="1293" w:type="dxa"/>
            <w:noWrap/>
            <w:vAlign w:val="center"/>
          </w:tcPr>
          <w:p w14:paraId="198B011F">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软件服务</w:t>
            </w:r>
          </w:p>
        </w:tc>
        <w:tc>
          <w:tcPr>
            <w:tcW w:w="5749" w:type="dxa"/>
            <w:vAlign w:val="center"/>
          </w:tcPr>
          <w:p w14:paraId="04B6AFF9">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支持在多个容器间共享GPU卡并提供容器间显存与算力强隔离的共享技术；</w:t>
            </w:r>
          </w:p>
        </w:tc>
      </w:tr>
      <w:tr w14:paraId="5FFF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17478BD0">
            <w:pPr>
              <w:jc w:val="center"/>
              <w:rPr>
                <w:rFonts w:hint="eastAsia" w:ascii="宋体" w:hAnsi="宋体"/>
                <w:color w:val="000000" w:themeColor="text1"/>
                <w:szCs w:val="21"/>
                <w14:textFill>
                  <w14:solidFill>
                    <w14:schemeClr w14:val="tx1"/>
                  </w14:solidFill>
                </w14:textFill>
              </w:rPr>
            </w:pPr>
          </w:p>
        </w:tc>
        <w:tc>
          <w:tcPr>
            <w:tcW w:w="1293" w:type="dxa"/>
            <w:vMerge w:val="restart"/>
            <w:noWrap/>
            <w:vAlign w:val="center"/>
          </w:tcPr>
          <w:p w14:paraId="2ECB65D5">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★灵活性</w:t>
            </w:r>
          </w:p>
        </w:tc>
        <w:tc>
          <w:tcPr>
            <w:tcW w:w="5749" w:type="dxa"/>
            <w:vAlign w:val="center"/>
          </w:tcPr>
          <w:p w14:paraId="4C0E69DB">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支持弹性伸缩；</w:t>
            </w:r>
          </w:p>
        </w:tc>
      </w:tr>
      <w:tr w14:paraId="4DBA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72DC76E1">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0EC9993E">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67088A9B">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支持按量计费转包年包月；</w:t>
            </w:r>
          </w:p>
        </w:tc>
      </w:tr>
      <w:tr w14:paraId="4982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restart"/>
            <w:vAlign w:val="center"/>
          </w:tcPr>
          <w:p w14:paraId="7E48A41E">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配套基础设施环境</w:t>
            </w:r>
          </w:p>
        </w:tc>
        <w:tc>
          <w:tcPr>
            <w:tcW w:w="1293" w:type="dxa"/>
            <w:vMerge w:val="restart"/>
            <w:vAlign w:val="center"/>
          </w:tcPr>
          <w:p w14:paraId="43CD03E4">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★云硬盘</w:t>
            </w:r>
          </w:p>
        </w:tc>
        <w:tc>
          <w:tcPr>
            <w:tcW w:w="5749" w:type="dxa"/>
            <w:vAlign w:val="center"/>
          </w:tcPr>
          <w:p w14:paraId="2B1B185F">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高性能云硬盘支持单盘最大IOPS≥6000，最大吞吐量≥160MB/s</w:t>
            </w:r>
          </w:p>
        </w:tc>
      </w:tr>
      <w:tr w14:paraId="756C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390551F2">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1C259505">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68D2AE11">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SSD云硬盘支持单盘最大IOPS≥26000，最大吞吐量≥260MB/s</w:t>
            </w:r>
          </w:p>
        </w:tc>
      </w:tr>
      <w:tr w14:paraId="1AE0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6439A526">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12817EE5">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0CEDD3BD">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支持数据跨机架存储，可靠性等于或大于99.9999999%（提供制造商官网相关描述截图并加盖制造商公章）</w:t>
            </w:r>
          </w:p>
        </w:tc>
      </w:tr>
      <w:tr w14:paraId="59E5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3705F8E8">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7B2AB179">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2FE75CF4">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支持提供高达100万IOPS和4GB/s的云硬盘产品</w:t>
            </w:r>
          </w:p>
        </w:tc>
      </w:tr>
      <w:tr w14:paraId="6A0C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5F5C95A2">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7DE54E20">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60F31F81">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云硬盘提供块存储服务，提供三副本机制，要求可靠性达99.9999999%</w:t>
            </w:r>
          </w:p>
        </w:tc>
      </w:tr>
      <w:tr w14:paraId="3902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7B58CDB7">
            <w:pPr>
              <w:jc w:val="center"/>
              <w:rPr>
                <w:rFonts w:hint="eastAsia" w:ascii="宋体" w:hAnsi="宋体"/>
                <w:color w:val="000000" w:themeColor="text1"/>
                <w:szCs w:val="21"/>
                <w14:textFill>
                  <w14:solidFill>
                    <w14:schemeClr w14:val="tx1"/>
                  </w14:solidFill>
                </w14:textFill>
              </w:rPr>
            </w:pPr>
          </w:p>
        </w:tc>
        <w:tc>
          <w:tcPr>
            <w:tcW w:w="1293" w:type="dxa"/>
            <w:vMerge w:val="restart"/>
            <w:vAlign w:val="center"/>
          </w:tcPr>
          <w:p w14:paraId="18D8CE75">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云网络</w:t>
            </w:r>
          </w:p>
        </w:tc>
        <w:tc>
          <w:tcPr>
            <w:tcW w:w="5749" w:type="dxa"/>
            <w:vAlign w:val="center"/>
          </w:tcPr>
          <w:p w14:paraId="50752469">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通过控制台或API自定义网段划分、创建子网、配置路由表和网关</w:t>
            </w:r>
          </w:p>
        </w:tc>
      </w:tr>
      <w:tr w14:paraId="58D0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38F4BB0D">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1FB8BF63">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0D92EE64">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支持广播和组播（提供制造商官网相关描述截图并加盖制造商公章）</w:t>
            </w:r>
          </w:p>
        </w:tc>
      </w:tr>
      <w:tr w14:paraId="1434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47355FC1">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65A74714">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5D5EAD8B">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支持弹性网卡</w:t>
            </w:r>
          </w:p>
        </w:tc>
      </w:tr>
      <w:tr w14:paraId="562C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4218734C">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3F0C01AD">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4AA9263C">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支持弹性公网IP</w:t>
            </w:r>
          </w:p>
        </w:tc>
      </w:tr>
      <w:tr w14:paraId="415C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09A49259">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098F14EF">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5122DBEE">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支持公网网关</w:t>
            </w:r>
          </w:p>
        </w:tc>
      </w:tr>
      <w:tr w14:paraId="4FA6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068809B0">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2BE8623B">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0D0D3B3E">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支持自定义和划分网络IP地址段</w:t>
            </w:r>
          </w:p>
        </w:tc>
      </w:tr>
      <w:tr w14:paraId="200A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3E34D03C">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0B255894">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32C3E3E2">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支持高可用虚拟IP（HAVIP），提升业务容灾能力（提供制造商官网相关描述截图并加盖制造商公章）</w:t>
            </w:r>
          </w:p>
        </w:tc>
      </w:tr>
      <w:tr w14:paraId="36D1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4C2E353C">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23BD0C93">
            <w:pPr>
              <w:jc w:val="center"/>
              <w:rPr>
                <w:rFonts w:hint="eastAsia" w:ascii="宋体" w:hAnsi="宋体"/>
                <w:color w:val="000000" w:themeColor="text1"/>
                <w:szCs w:val="21"/>
                <w14:textFill>
                  <w14:solidFill>
                    <w14:schemeClr w14:val="tx1"/>
                  </w14:solidFill>
                </w14:textFill>
              </w:rPr>
            </w:pPr>
          </w:p>
        </w:tc>
        <w:tc>
          <w:tcPr>
            <w:tcW w:w="5749" w:type="dxa"/>
            <w:vAlign w:val="center"/>
          </w:tcPr>
          <w:p w14:paraId="26982BB6">
            <w:pPr>
              <w:rPr>
                <w:rFonts w:hint="eastAsia" w:ascii="宋体" w:hAnsi="宋体"/>
                <w:color w:val="FF0000"/>
                <w:szCs w:val="21"/>
              </w:rPr>
            </w:pPr>
            <w:r>
              <w:rPr>
                <w:rFonts w:hint="eastAsia" w:ascii="宋体" w:hAnsi="宋体"/>
                <w:szCs w:val="21"/>
              </w:rPr>
              <w:t>云服务厂商机房出口带宽≥300Mbps</w:t>
            </w:r>
          </w:p>
        </w:tc>
      </w:tr>
      <w:tr w14:paraId="6533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restart"/>
            <w:vAlign w:val="center"/>
          </w:tcPr>
          <w:p w14:paraId="2104BB41">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配套工具人工智能开发平台</w:t>
            </w:r>
          </w:p>
        </w:tc>
        <w:tc>
          <w:tcPr>
            <w:tcW w:w="1293" w:type="dxa"/>
            <w:vMerge w:val="restart"/>
            <w:vAlign w:val="center"/>
          </w:tcPr>
          <w:p w14:paraId="4D906EC6">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机器学习</w:t>
            </w:r>
          </w:p>
        </w:tc>
        <w:tc>
          <w:tcPr>
            <w:tcW w:w="5749" w:type="dxa"/>
          </w:tcPr>
          <w:p w14:paraId="38F68AAE">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支持</w:t>
            </w:r>
            <w:r>
              <w:rPr>
                <w:rFonts w:hint="eastAsia" w:ascii="宋体" w:hAnsi="宋体"/>
                <w:color w:val="000000" w:themeColor="text1"/>
                <w:szCs w:val="21"/>
                <w14:textFill>
                  <w14:solidFill>
                    <w14:schemeClr w14:val="tx1"/>
                  </w14:solidFill>
                </w14:textFill>
              </w:rPr>
              <w:t>训练推理加速能力的主流开源大模型（须包含DeepSeek R1 671B、DeepSeek V3 671B）</w:t>
            </w:r>
          </w:p>
        </w:tc>
      </w:tr>
      <w:tr w14:paraId="08D8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72737BCA">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5360E6CC">
            <w:pPr>
              <w:jc w:val="center"/>
              <w:rPr>
                <w:rFonts w:hint="eastAsia" w:ascii="宋体" w:hAnsi="宋体"/>
                <w:color w:val="000000" w:themeColor="text1"/>
                <w:szCs w:val="21"/>
                <w14:textFill>
                  <w14:solidFill>
                    <w14:schemeClr w14:val="tx1"/>
                  </w14:solidFill>
                </w14:textFill>
              </w:rPr>
            </w:pPr>
          </w:p>
        </w:tc>
        <w:tc>
          <w:tcPr>
            <w:tcW w:w="5749" w:type="dxa"/>
          </w:tcPr>
          <w:p w14:paraId="47830809">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支持图片分类任务创建模型、数据选择和预览、参数设置、训练模型、模型评测、一键发布</w:t>
            </w:r>
          </w:p>
        </w:tc>
      </w:tr>
      <w:tr w14:paraId="026E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6535F71C">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6255DB77">
            <w:pPr>
              <w:jc w:val="center"/>
              <w:rPr>
                <w:rFonts w:hint="eastAsia" w:ascii="宋体" w:hAnsi="宋体"/>
                <w:color w:val="000000" w:themeColor="text1"/>
                <w:szCs w:val="21"/>
                <w14:textFill>
                  <w14:solidFill>
                    <w14:schemeClr w14:val="tx1"/>
                  </w14:solidFill>
                </w14:textFill>
              </w:rPr>
            </w:pPr>
          </w:p>
        </w:tc>
        <w:tc>
          <w:tcPr>
            <w:tcW w:w="5749" w:type="dxa"/>
          </w:tcPr>
          <w:p w14:paraId="12D14C75">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支持目标检测任务创建模型、数据选择和预览、参数设置、训练模型、模型评测、一键发布</w:t>
            </w:r>
          </w:p>
        </w:tc>
      </w:tr>
      <w:tr w14:paraId="050B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752EFE03">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26D3A8E3">
            <w:pPr>
              <w:jc w:val="center"/>
              <w:rPr>
                <w:rFonts w:hint="eastAsia" w:ascii="宋体" w:hAnsi="宋体"/>
                <w:color w:val="000000" w:themeColor="text1"/>
                <w:szCs w:val="21"/>
                <w14:textFill>
                  <w14:solidFill>
                    <w14:schemeClr w14:val="tx1"/>
                  </w14:solidFill>
                </w14:textFill>
              </w:rPr>
            </w:pPr>
          </w:p>
        </w:tc>
        <w:tc>
          <w:tcPr>
            <w:tcW w:w="5749" w:type="dxa"/>
          </w:tcPr>
          <w:p w14:paraId="2102D752">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支持业务场景为杯盘的模型创建、数据选择和预览、参数设置、训练模型、模型评测、一键发布</w:t>
            </w:r>
          </w:p>
        </w:tc>
      </w:tr>
      <w:tr w14:paraId="554C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18523BFC">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25D40292">
            <w:pPr>
              <w:jc w:val="center"/>
              <w:rPr>
                <w:rFonts w:hint="eastAsia" w:ascii="宋体" w:hAnsi="宋体"/>
                <w:color w:val="000000" w:themeColor="text1"/>
                <w:szCs w:val="21"/>
                <w14:textFill>
                  <w14:solidFill>
                    <w14:schemeClr w14:val="tx1"/>
                  </w14:solidFill>
                </w14:textFill>
              </w:rPr>
            </w:pPr>
          </w:p>
        </w:tc>
        <w:tc>
          <w:tcPr>
            <w:tcW w:w="5749" w:type="dxa"/>
          </w:tcPr>
          <w:p w14:paraId="51737494">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支持自动学习任务（训练、评测、发布）状态查看和汇总信息，支持全生命周期管理，包含任务启动，停止，重启，删除等功能</w:t>
            </w:r>
          </w:p>
        </w:tc>
      </w:tr>
      <w:tr w14:paraId="7F69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668AC6F8">
            <w:pPr>
              <w:jc w:val="center"/>
              <w:rPr>
                <w:rFonts w:hint="eastAsia" w:ascii="宋体" w:hAnsi="宋体"/>
                <w:color w:val="000000" w:themeColor="text1"/>
                <w:szCs w:val="21"/>
                <w14:textFill>
                  <w14:solidFill>
                    <w14:schemeClr w14:val="tx1"/>
                  </w14:solidFill>
                </w14:textFill>
              </w:rPr>
            </w:pPr>
          </w:p>
        </w:tc>
        <w:tc>
          <w:tcPr>
            <w:tcW w:w="1293" w:type="dxa"/>
            <w:vMerge w:val="restart"/>
            <w:vAlign w:val="center"/>
          </w:tcPr>
          <w:p w14:paraId="75000B2E">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数据集管理</w:t>
            </w:r>
          </w:p>
        </w:tc>
        <w:tc>
          <w:tcPr>
            <w:tcW w:w="5749" w:type="dxa"/>
          </w:tcPr>
          <w:p w14:paraId="1DB9E3EA">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支持本地导入或云存储源导入数据文件和标签文件到数据中心进行统一纳管（标签文件需满足指定格式规范）</w:t>
            </w:r>
          </w:p>
        </w:tc>
      </w:tr>
      <w:tr w14:paraId="1C0D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07A5217A">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6501E936">
            <w:pPr>
              <w:jc w:val="center"/>
              <w:rPr>
                <w:rFonts w:hint="eastAsia" w:ascii="宋体" w:hAnsi="宋体"/>
                <w:color w:val="000000" w:themeColor="text1"/>
                <w:szCs w:val="21"/>
                <w14:textFill>
                  <w14:solidFill>
                    <w14:schemeClr w14:val="tx1"/>
                  </w14:solidFill>
                </w14:textFill>
              </w:rPr>
            </w:pPr>
          </w:p>
        </w:tc>
        <w:tc>
          <w:tcPr>
            <w:tcW w:w="5749" w:type="dxa"/>
          </w:tcPr>
          <w:p w14:paraId="155C96AF">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支持的数据类型有：文本 (txt、csv)、图片 (jpg、png、jpeg、bmp)、表格 (xls、xlsx、csv) 和其他（任意格式文件）</w:t>
            </w:r>
          </w:p>
        </w:tc>
      </w:tr>
      <w:tr w14:paraId="5D03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54240A22">
            <w:pPr>
              <w:jc w:val="cente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05A5A6C7">
            <w:pPr>
              <w:jc w:val="center"/>
              <w:rPr>
                <w:rFonts w:hint="eastAsia" w:ascii="宋体" w:hAnsi="宋体"/>
                <w:color w:val="000000" w:themeColor="text1"/>
                <w:szCs w:val="21"/>
                <w14:textFill>
                  <w14:solidFill>
                    <w14:schemeClr w14:val="tx1"/>
                  </w14:solidFill>
                </w14:textFill>
              </w:rPr>
            </w:pPr>
          </w:p>
        </w:tc>
        <w:tc>
          <w:tcPr>
            <w:tcW w:w="5749" w:type="dxa"/>
          </w:tcPr>
          <w:p w14:paraId="3EFBCD66">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支持用户“删除”数据中心的数据集记录</w:t>
            </w:r>
          </w:p>
        </w:tc>
      </w:tr>
      <w:tr w14:paraId="44AC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68F0BB71">
            <w:pPr>
              <w:jc w:val="center"/>
              <w:rPr>
                <w:rFonts w:hint="eastAsia" w:ascii="宋体" w:hAnsi="宋体"/>
                <w:color w:val="000000" w:themeColor="text1"/>
                <w:szCs w:val="21"/>
                <w14:textFill>
                  <w14:solidFill>
                    <w14:schemeClr w14:val="tx1"/>
                  </w14:solidFill>
                </w14:textFill>
              </w:rPr>
            </w:pPr>
          </w:p>
        </w:tc>
        <w:tc>
          <w:tcPr>
            <w:tcW w:w="1293" w:type="dxa"/>
            <w:vMerge w:val="restart"/>
            <w:vAlign w:val="center"/>
          </w:tcPr>
          <w:p w14:paraId="7653CB4B">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检测认证</w:t>
            </w:r>
          </w:p>
        </w:tc>
        <w:tc>
          <w:tcPr>
            <w:tcW w:w="5749" w:type="dxa"/>
            <w:vAlign w:val="center"/>
          </w:tcPr>
          <w:p w14:paraId="07AAF602">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该平台的大模型服务能力成熟度可达到协同优化级（提供国家权威机构颁发的大模型服务能力等级证书扫描件）</w:t>
            </w:r>
          </w:p>
        </w:tc>
      </w:tr>
      <w:tr w14:paraId="057C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249DF771">
            <w:pPr>
              <w:rPr>
                <w:rFonts w:hint="eastAsia" w:ascii="宋体" w:hAnsi="宋体"/>
                <w:color w:val="000000" w:themeColor="text1"/>
                <w:szCs w:val="21"/>
                <w14:textFill>
                  <w14:solidFill>
                    <w14:schemeClr w14:val="tx1"/>
                  </w14:solidFill>
                </w14:textFill>
              </w:rPr>
            </w:pPr>
          </w:p>
        </w:tc>
        <w:tc>
          <w:tcPr>
            <w:tcW w:w="1293" w:type="dxa"/>
            <w:vMerge w:val="continue"/>
            <w:vAlign w:val="center"/>
          </w:tcPr>
          <w:p w14:paraId="5B2A7A4C">
            <w:pPr>
              <w:rPr>
                <w:rFonts w:hint="eastAsia" w:ascii="宋体" w:hAnsi="宋体"/>
                <w:color w:val="000000" w:themeColor="text1"/>
                <w:szCs w:val="21"/>
                <w14:textFill>
                  <w14:solidFill>
                    <w14:schemeClr w14:val="tx1"/>
                  </w14:solidFill>
                </w14:textFill>
              </w:rPr>
            </w:pPr>
          </w:p>
        </w:tc>
        <w:tc>
          <w:tcPr>
            <w:tcW w:w="5749" w:type="dxa"/>
            <w:vAlign w:val="center"/>
          </w:tcPr>
          <w:p w14:paraId="07A2A40F">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该平台符合COSCL 0009-2022《信息技术 云计算 智能云基础设施能力要求》相关标准（提供国家权威机构颁发的检测报告扫描件）</w:t>
            </w:r>
          </w:p>
        </w:tc>
      </w:tr>
      <w:tr w14:paraId="37A3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4" w:type="dxa"/>
            <w:vMerge w:val="continue"/>
            <w:vAlign w:val="center"/>
          </w:tcPr>
          <w:p w14:paraId="7A130981">
            <w:pPr>
              <w:rPr>
                <w:rFonts w:hint="eastAsia" w:ascii="宋体" w:hAnsi="宋体"/>
                <w:color w:val="000000" w:themeColor="text1"/>
                <w:szCs w:val="21"/>
                <w14:textFill>
                  <w14:solidFill>
                    <w14:schemeClr w14:val="tx1"/>
                  </w14:solidFill>
                </w14:textFill>
              </w:rPr>
            </w:pPr>
          </w:p>
        </w:tc>
        <w:tc>
          <w:tcPr>
            <w:tcW w:w="1293" w:type="dxa"/>
            <w:vAlign w:val="center"/>
          </w:tcPr>
          <w:p w14:paraId="47608769">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安全方面</w:t>
            </w:r>
          </w:p>
        </w:tc>
        <w:tc>
          <w:tcPr>
            <w:tcW w:w="5749" w:type="dxa"/>
            <w:vAlign w:val="center"/>
          </w:tcPr>
          <w:p w14:paraId="5D379033">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供应商所投GPU算力资源提供免费的主机安全基础防护和DDoS基础防护能力（防护带宽≥2Gbps），防止数据泄露，满足您的日常安全运营需求，且具备三级等保测评相关认证。</w:t>
            </w:r>
          </w:p>
        </w:tc>
      </w:tr>
    </w:tbl>
    <w:p w14:paraId="7F6620D6">
      <w:pPr>
        <w:pStyle w:val="48"/>
        <w:rPr>
          <w:rFonts w:hint="eastAsia"/>
        </w:rPr>
      </w:pPr>
    </w:p>
    <w:p w14:paraId="49C760C1">
      <w:pPr>
        <w:spacing w:line="360" w:lineRule="auto"/>
        <w:ind w:firstLine="422"/>
        <w:outlineLvl w:val="1"/>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三、服务内容</w:t>
      </w:r>
    </w:p>
    <w:p w14:paraId="00D7968D">
      <w:pPr>
        <w:spacing w:line="360" w:lineRule="auto"/>
        <w:ind w:firstLine="422"/>
        <w:outlineLvl w:val="1"/>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、实施要求</w:t>
      </w:r>
    </w:p>
    <w:p w14:paraId="5323E6D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项目有效期</w:t>
      </w:r>
      <w:r>
        <w:rPr>
          <w:rFonts w:ascii="宋体" w:hAnsi="宋体"/>
          <w:color w:val="000000" w:themeColor="text1"/>
          <w:szCs w:val="21"/>
          <w14:textFill>
            <w14:solidFill>
              <w14:schemeClr w14:val="tx1"/>
            </w14:solidFill>
          </w14:textFill>
        </w:rPr>
        <w:t>内</w:t>
      </w:r>
      <w:r>
        <w:rPr>
          <w:rFonts w:hint="eastAsia" w:ascii="宋体" w:hAnsi="宋体"/>
          <w:color w:val="000000" w:themeColor="text1"/>
          <w:szCs w:val="21"/>
          <w14:textFill>
            <w14:solidFill>
              <w14:schemeClr w14:val="tx1"/>
            </w14:solidFill>
          </w14:textFill>
        </w:rPr>
        <w:t>，供应商应进行全程跟踪，提供全面技术支持服务，确保项目的顺利进行。</w:t>
      </w:r>
    </w:p>
    <w:p w14:paraId="235C91B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电话支持服务：当采购人遇到产品使用故障后，可直接拨打所提供的响应电话，并提供合同号，产品所在地，故障现象及产品序列号等信息以要求供应商和</w:t>
      </w:r>
      <w:r>
        <w:rPr>
          <w:rFonts w:ascii="宋体" w:hAnsi="宋体"/>
          <w:color w:val="000000" w:themeColor="text1"/>
          <w:szCs w:val="21"/>
          <w14:textFill>
            <w14:solidFill>
              <w14:schemeClr w14:val="tx1"/>
            </w14:solidFill>
          </w14:textFill>
        </w:rPr>
        <w:t>云服务提供</w:t>
      </w:r>
      <w:r>
        <w:rPr>
          <w:rFonts w:hint="eastAsia" w:ascii="宋体" w:hAnsi="宋体"/>
          <w:color w:val="000000" w:themeColor="text1"/>
          <w:szCs w:val="21"/>
          <w14:textFill>
            <w14:solidFill>
              <w14:schemeClr w14:val="tx1"/>
            </w14:solidFill>
          </w14:textFill>
        </w:rPr>
        <w:t>商提供免费服务。响应人员在接到采购方电话后会指派供应商工程师向采购人提供电话诊断及现场服务。供应商工程师将通过电话诊断故障及解决问题。如果产品故障无法通过电话解决，供应商工程师将到采购方产品现场提供现场支持服务。电话支持服务：7×24小时服务。</w:t>
      </w:r>
    </w:p>
    <w:p w14:paraId="314FD74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现场支持服务：如果采购人采购的产品的故障无法通过电话解决，供应商工程师将于1小时内到达采购的产品现场进行故障排查。现场支持服务：7×24小时服务。</w:t>
      </w:r>
    </w:p>
    <w:p w14:paraId="5F01990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主动预防性服务：供应商特定服务工程师将定期（每</w:t>
      </w:r>
      <w:r>
        <w:rPr>
          <w:rFonts w:hint="eastAsia" w:ascii="宋体" w:hAnsi="宋体"/>
          <w:color w:val="000000" w:themeColor="text1"/>
          <w:szCs w:val="21"/>
          <w:lang w:val="en-US" w:eastAsia="zh-CN"/>
          <w14:textFill>
            <w14:solidFill>
              <w14:schemeClr w14:val="tx1"/>
            </w14:solidFill>
          </w14:textFill>
        </w:rPr>
        <w:t>月</w:t>
      </w:r>
      <w:r>
        <w:rPr>
          <w:rFonts w:hint="eastAsia" w:ascii="宋体" w:hAnsi="宋体"/>
          <w:color w:val="000000" w:themeColor="text1"/>
          <w:szCs w:val="21"/>
          <w14:textFill>
            <w14:solidFill>
              <w14:schemeClr w14:val="tx1"/>
            </w14:solidFill>
          </w14:textFill>
        </w:rPr>
        <w:t>一次）电话联络采购人项目负责人，了解采购产品使用状况，进行问题咨询，并对采购人采购</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产品提供定期（每季度一次）的主动预防性维护。预防性维护服务包括系统健康检查，合同租期内的软件系统免费升级。供应商将与采购人在定期维护服务时间上达成一致，制定合理的预防性维护服务计划。服务检测的时间应在不影响采购人产品使用的时间进行。任何调整必须事先与采购人协商。</w:t>
      </w:r>
    </w:p>
    <w:p w14:paraId="5B5969A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咨询服务：服务期内供应商为采购人提供免费IT咨询服务。</w:t>
      </w:r>
    </w:p>
    <w:p w14:paraId="1037150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供应商应指定固定的人员组成为服务团队，服务团队成员必须参加过本次集成项目并熟悉本系统环境，遇到工作任务冲突时，必须优先服务于采购人，服务团队成员必须稳定。本项目上线后，至少有</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名技术人员可实时响应系统配置变更需求。</w:t>
      </w:r>
    </w:p>
    <w:p w14:paraId="4CC2AD69">
      <w:pPr>
        <w:spacing w:line="360" w:lineRule="auto"/>
        <w:ind w:firstLine="422"/>
        <w:outlineLvl w:val="1"/>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3.2、技术培训 </w:t>
      </w:r>
    </w:p>
    <w:p w14:paraId="6383854F">
      <w:pPr>
        <w:numPr>
          <w:ilvl w:val="0"/>
          <w:numId w:val="17"/>
        </w:numPr>
        <w:spacing w:line="360" w:lineRule="auto"/>
        <w:ind w:left="0"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供应商应负责采购人技术人员和管理专家的技术培训,培训讲师、</w:t>
      </w:r>
      <w:r>
        <w:rPr>
          <w:rFonts w:ascii="宋体" w:hAnsi="宋体"/>
          <w:color w:val="000000" w:themeColor="text1"/>
          <w:kern w:val="0"/>
          <w:szCs w:val="21"/>
          <w14:textFill>
            <w14:solidFill>
              <w14:schemeClr w14:val="tx1"/>
            </w14:solidFill>
          </w14:textFill>
        </w:rPr>
        <w:t>课程和内容须由供应商直接提供，</w:t>
      </w:r>
      <w:r>
        <w:rPr>
          <w:rFonts w:hint="eastAsia" w:ascii="宋体" w:hAnsi="宋体"/>
          <w:color w:val="000000" w:themeColor="text1"/>
          <w:kern w:val="0"/>
          <w:szCs w:val="21"/>
          <w14:textFill>
            <w14:solidFill>
              <w14:schemeClr w14:val="tx1"/>
            </w14:solidFill>
          </w14:textFill>
        </w:rPr>
        <w:t>关于培训做以下说明：</w:t>
      </w:r>
    </w:p>
    <w:p w14:paraId="479E24AE">
      <w:pPr>
        <w:pStyle w:val="99"/>
        <w:numPr>
          <w:ilvl w:val="0"/>
          <w:numId w:val="18"/>
        </w:numPr>
        <w:spacing w:line="360" w:lineRule="auto"/>
        <w:ind w:left="0" w:firstLine="42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初级培训，供应商应提供预培训的详细计划（包括人数、时间、课程等）及培训所需的教材和教师讲解和说明。教材和讲解说明要求用中文（或其他经双方商定的文字）编写。</w:t>
      </w:r>
    </w:p>
    <w:p w14:paraId="18F20027">
      <w:pPr>
        <w:pStyle w:val="99"/>
        <w:numPr>
          <w:ilvl w:val="0"/>
          <w:numId w:val="18"/>
        </w:numPr>
        <w:spacing w:line="360" w:lineRule="auto"/>
        <w:ind w:left="0" w:firstLine="42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高级培训，为得到进一步培训及维护操作的实践经验，由采购人选派一批人员进行高级培训,地点应在供应商培训中心进行。人数由双方商定。供应商负责提供详细培训计划及课程内容。有关高级培训计划具体执行方法另行商定。</w:t>
      </w:r>
    </w:p>
    <w:p w14:paraId="16FCA2F3">
      <w:pPr>
        <w:pStyle w:val="99"/>
        <w:numPr>
          <w:ilvl w:val="0"/>
          <w:numId w:val="18"/>
        </w:numPr>
        <w:spacing w:line="360" w:lineRule="auto"/>
        <w:ind w:left="0" w:firstLine="42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现场培训，为使采购人维护人员能独立进行云平台的</w:t>
      </w:r>
      <w:r>
        <w:rPr>
          <w:rFonts w:ascii="宋体" w:hAnsi="宋体" w:eastAsia="宋体"/>
          <w:color w:val="000000" w:themeColor="text1"/>
          <w:szCs w:val="21"/>
          <w14:textFill>
            <w14:solidFill>
              <w14:schemeClr w14:val="tx1"/>
            </w14:solidFill>
          </w14:textFill>
        </w:rPr>
        <w:t>使用和日常</w:t>
      </w:r>
      <w:r>
        <w:rPr>
          <w:rFonts w:hint="eastAsia" w:ascii="宋体" w:hAnsi="宋体" w:eastAsia="宋体"/>
          <w:color w:val="000000" w:themeColor="text1"/>
          <w:szCs w:val="21"/>
          <w14:textFill>
            <w14:solidFill>
              <w14:schemeClr w14:val="tx1"/>
            </w14:solidFill>
          </w14:textFill>
        </w:rPr>
        <w:t>运维等。要求供应商负责对维护人员进行现场培训。现场培训可在安装调测阶段及移交后进行。</w:t>
      </w:r>
    </w:p>
    <w:p w14:paraId="75040264">
      <w:pPr>
        <w:numPr>
          <w:ilvl w:val="0"/>
          <w:numId w:val="17"/>
        </w:numPr>
        <w:spacing w:line="360" w:lineRule="auto"/>
        <w:ind w:left="0"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培训教材、设备，供应商应提供全套培训教材。培训使用教材应包括相关的安装测试和维护技术。操作维护培训和高级培训应包括所提供操作维护方法、安装调测、排除故障及软件结构、定制和升级，业务开发等各个方面。</w:t>
      </w:r>
    </w:p>
    <w:p w14:paraId="35DCA66C">
      <w:pPr>
        <w:numPr>
          <w:ilvl w:val="0"/>
          <w:numId w:val="17"/>
        </w:numPr>
        <w:spacing w:line="360" w:lineRule="auto"/>
        <w:ind w:left="0"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供应商应该保证采购人技术人员接受培训后能熟练掌握系统的使用和维护。</w:t>
      </w:r>
    </w:p>
    <w:p w14:paraId="6CE94CE1">
      <w:pPr>
        <w:numPr>
          <w:ilvl w:val="0"/>
          <w:numId w:val="17"/>
        </w:numPr>
        <w:spacing w:line="360" w:lineRule="auto"/>
        <w:ind w:left="0"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供应商免费提供运维人员的相关技能、使用及维护等培训。</w:t>
      </w:r>
    </w:p>
    <w:p w14:paraId="4D375729">
      <w:pPr>
        <w:numPr>
          <w:ilvl w:val="0"/>
          <w:numId w:val="17"/>
        </w:numPr>
        <w:spacing w:line="360" w:lineRule="auto"/>
        <w:ind w:left="0"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供应商承担培训任务的师资需具有相当的理论实践水平和实际工作经验。</w:t>
      </w:r>
    </w:p>
    <w:p w14:paraId="5F17B0CF">
      <w:pPr>
        <w:numPr>
          <w:ilvl w:val="0"/>
          <w:numId w:val="17"/>
        </w:numPr>
        <w:spacing w:line="360" w:lineRule="auto"/>
        <w:ind w:left="0"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供应商负责提供教材和实际的操作环境，保证培训的质量和效果。</w:t>
      </w:r>
    </w:p>
    <w:p w14:paraId="2AE6EB23">
      <w:pPr>
        <w:widowControl/>
        <w:numPr>
          <w:ilvl w:val="0"/>
          <w:numId w:val="17"/>
        </w:numPr>
        <w:overflowPunct w:val="0"/>
        <w:autoSpaceDE w:val="0"/>
        <w:autoSpaceDN w:val="0"/>
        <w:adjustRightInd w:val="0"/>
        <w:spacing w:line="360" w:lineRule="auto"/>
        <w:ind w:left="0" w:firstLine="420" w:firstLineChars="200"/>
        <w:jc w:val="left"/>
        <w:textAlignment w:val="baseline"/>
        <w:rPr>
          <w:rFonts w:hint="eastAsia"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通过培训，使采购人的技术人员能够达到能对系统独立进行管理、维护测试和故障处理等工作，以便系统能正常、安全地运行。</w:t>
      </w:r>
    </w:p>
    <w:p w14:paraId="15F6E032">
      <w:pPr>
        <w:spacing w:line="360" w:lineRule="auto"/>
        <w:ind w:firstLine="422"/>
        <w:outlineLvl w:val="1"/>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3.3、项目</w:t>
      </w:r>
      <w:r>
        <w:rPr>
          <w:rFonts w:hint="eastAsia" w:ascii="宋体" w:hAnsi="宋体"/>
          <w:b/>
          <w:bCs/>
          <w:color w:val="000000" w:themeColor="text1"/>
          <w:szCs w:val="21"/>
          <w:lang w:val="en-US" w:eastAsia="zh-CN"/>
          <w14:textFill>
            <w14:solidFill>
              <w14:schemeClr w14:val="tx1"/>
            </w14:solidFill>
          </w14:textFill>
        </w:rPr>
        <w:t>实施</w:t>
      </w:r>
      <w:r>
        <w:rPr>
          <w:rFonts w:hint="eastAsia" w:ascii="宋体" w:hAnsi="宋体"/>
          <w:b/>
          <w:bCs/>
          <w:color w:val="000000" w:themeColor="text1"/>
          <w:szCs w:val="21"/>
          <w14:textFill>
            <w14:solidFill>
              <w14:schemeClr w14:val="tx1"/>
            </w14:solidFill>
          </w14:textFill>
        </w:rPr>
        <w:t>进度</w:t>
      </w:r>
      <w:r>
        <w:rPr>
          <w:rFonts w:hint="eastAsia" w:ascii="宋体" w:hAnsi="宋体"/>
          <w:b/>
          <w:bCs/>
          <w:color w:val="000000" w:themeColor="text1"/>
          <w:szCs w:val="21"/>
          <w:lang w:val="en-US" w:eastAsia="zh-CN"/>
          <w14:textFill>
            <w14:solidFill>
              <w14:schemeClr w14:val="tx1"/>
            </w14:solidFill>
          </w14:textFill>
        </w:rPr>
        <w:t>要求</w:t>
      </w:r>
    </w:p>
    <w:p w14:paraId="3B03A8CB">
      <w:pPr>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根据供应商的技术方案，提供项目实施计划、实施步骤，保证项目顺利完成。</w:t>
      </w:r>
    </w:p>
    <w:p w14:paraId="4681CADB">
      <w:pPr>
        <w:spacing w:line="36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以合同</w:t>
      </w:r>
      <w:r>
        <w:rPr>
          <w:rFonts w:ascii="宋体" w:hAnsi="宋体"/>
          <w:color w:val="000000" w:themeColor="text1"/>
          <w:szCs w:val="21"/>
          <w14:textFill>
            <w14:solidFill>
              <w14:schemeClr w14:val="tx1"/>
            </w14:solidFill>
          </w14:textFill>
        </w:rPr>
        <w:t>签订为起始时间，</w:t>
      </w:r>
      <w:r>
        <w:rPr>
          <w:rFonts w:hint="eastAsia" w:ascii="宋体" w:hAnsi="宋体"/>
          <w:color w:val="000000" w:themeColor="text1"/>
          <w:szCs w:val="21"/>
          <w14:textFill>
            <w14:solidFill>
              <w14:schemeClr w14:val="tx1"/>
            </w14:solidFill>
          </w14:textFill>
        </w:rPr>
        <w:t>供应商应按照采购人要求实施项目技术服务工作，请以</w:t>
      </w:r>
      <w:r>
        <w:rPr>
          <w:rFonts w:ascii="宋体" w:hAnsi="宋体"/>
          <w:color w:val="000000" w:themeColor="text1"/>
          <w:szCs w:val="21"/>
          <w14:textFill>
            <w14:solidFill>
              <w14:schemeClr w14:val="tx1"/>
            </w14:solidFill>
          </w14:textFill>
        </w:rPr>
        <w:t>表格形式</w:t>
      </w:r>
      <w:r>
        <w:rPr>
          <w:rFonts w:hint="eastAsia" w:ascii="宋体" w:hAnsi="宋体"/>
          <w:color w:val="000000" w:themeColor="text1"/>
          <w:szCs w:val="21"/>
          <w14:textFill>
            <w14:solidFill>
              <w14:schemeClr w14:val="tx1"/>
            </w14:solidFill>
          </w14:textFill>
        </w:rPr>
        <w:t>提供GPU算力资源租用</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项目实施计划、实施步骤、实施周期</w:t>
      </w:r>
      <w:r>
        <w:rPr>
          <w:rFonts w:ascii="宋体" w:hAnsi="宋体"/>
          <w:color w:val="000000" w:themeColor="text1"/>
          <w:szCs w:val="21"/>
          <w14:textFill>
            <w14:solidFill>
              <w14:schemeClr w14:val="tx1"/>
            </w14:solidFill>
          </w14:textFill>
        </w:rPr>
        <w:t>等内容</w:t>
      </w:r>
      <w:r>
        <w:rPr>
          <w:rFonts w:hint="eastAsia" w:ascii="宋体" w:hAnsi="宋体"/>
          <w:color w:val="000000" w:themeColor="text1"/>
          <w:szCs w:val="21"/>
          <w14:textFill>
            <w14:solidFill>
              <w14:schemeClr w14:val="tx1"/>
            </w14:solidFill>
          </w14:textFill>
        </w:rPr>
        <w:t>。</w:t>
      </w:r>
    </w:p>
    <w:tbl>
      <w:tblPr>
        <w:tblStyle w:val="5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117"/>
        <w:gridCol w:w="1443"/>
        <w:gridCol w:w="4239"/>
      </w:tblGrid>
      <w:tr w14:paraId="7B18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5" w:type="dxa"/>
          </w:tcPr>
          <w:p w14:paraId="7C500274">
            <w:pPr>
              <w:spacing w:line="360" w:lineRule="auto"/>
              <w:jc w:val="center"/>
              <w:rPr>
                <w:rFonts w:hint="eastAsia" w:ascii="宋体" w:hAnsi="宋体"/>
                <w:color w:val="000000" w:themeColor="text1"/>
                <w:szCs w:val="21"/>
                <w14:textFill>
                  <w14:solidFill>
                    <w14:schemeClr w14:val="tx1"/>
                  </w14:solidFill>
                </w14:textFill>
              </w:rPr>
            </w:pPr>
          </w:p>
        </w:tc>
        <w:tc>
          <w:tcPr>
            <w:tcW w:w="1117" w:type="dxa"/>
          </w:tcPr>
          <w:p w14:paraId="247B269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步骤</w:t>
            </w:r>
          </w:p>
        </w:tc>
        <w:tc>
          <w:tcPr>
            <w:tcW w:w="1443" w:type="dxa"/>
          </w:tcPr>
          <w:p w14:paraId="2384FBED">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w:t>
            </w:r>
          </w:p>
        </w:tc>
        <w:tc>
          <w:tcPr>
            <w:tcW w:w="4239" w:type="dxa"/>
          </w:tcPr>
          <w:p w14:paraId="3FC170FD">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39F7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85" w:type="dxa"/>
            <w:vAlign w:val="center"/>
          </w:tcPr>
          <w:p w14:paraId="74511C1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GPU算力资源租用项目</w:t>
            </w:r>
            <w:r>
              <w:rPr>
                <w:rFonts w:ascii="宋体" w:hAnsi="宋体"/>
                <w:color w:val="000000" w:themeColor="text1"/>
                <w:szCs w:val="21"/>
                <w14:textFill>
                  <w14:solidFill>
                    <w14:schemeClr w14:val="tx1"/>
                  </w14:solidFill>
                </w14:textFill>
              </w:rPr>
              <w:t>实施计划</w:t>
            </w:r>
          </w:p>
        </w:tc>
        <w:tc>
          <w:tcPr>
            <w:tcW w:w="1117" w:type="dxa"/>
            <w:vAlign w:val="center"/>
          </w:tcPr>
          <w:p w14:paraId="66AFA0A7">
            <w:pPr>
              <w:spacing w:line="360" w:lineRule="auto"/>
              <w:ind w:firstLine="420" w:firstLineChars="200"/>
              <w:jc w:val="center"/>
              <w:rPr>
                <w:rFonts w:hint="eastAsia" w:ascii="宋体" w:hAnsi="宋体"/>
                <w:color w:val="000000" w:themeColor="text1"/>
                <w:szCs w:val="21"/>
                <w14:textFill>
                  <w14:solidFill>
                    <w14:schemeClr w14:val="tx1"/>
                  </w14:solidFill>
                </w14:textFill>
              </w:rPr>
            </w:pPr>
          </w:p>
        </w:tc>
        <w:tc>
          <w:tcPr>
            <w:tcW w:w="1443" w:type="dxa"/>
            <w:vAlign w:val="center"/>
          </w:tcPr>
          <w:p w14:paraId="7AB32212">
            <w:pPr>
              <w:spacing w:line="360" w:lineRule="auto"/>
              <w:ind w:firstLine="420" w:firstLineChars="200"/>
              <w:jc w:val="center"/>
              <w:rPr>
                <w:rFonts w:hint="eastAsia" w:ascii="宋体" w:hAnsi="宋体"/>
                <w:color w:val="000000" w:themeColor="text1"/>
                <w:szCs w:val="21"/>
                <w14:textFill>
                  <w14:solidFill>
                    <w14:schemeClr w14:val="tx1"/>
                  </w14:solidFill>
                </w14:textFill>
              </w:rPr>
            </w:pPr>
          </w:p>
        </w:tc>
        <w:tc>
          <w:tcPr>
            <w:tcW w:w="4239" w:type="dxa"/>
            <w:vAlign w:val="center"/>
          </w:tcPr>
          <w:p w14:paraId="452F12F6">
            <w:pPr>
              <w:spacing w:line="360" w:lineRule="auto"/>
              <w:ind w:firstLine="420" w:firstLineChars="200"/>
              <w:jc w:val="center"/>
              <w:rPr>
                <w:rFonts w:hint="eastAsia" w:ascii="宋体" w:hAnsi="宋体"/>
                <w:color w:val="000000" w:themeColor="text1"/>
                <w:szCs w:val="21"/>
                <w14:textFill>
                  <w14:solidFill>
                    <w14:schemeClr w14:val="tx1"/>
                  </w14:solidFill>
                </w14:textFill>
              </w:rPr>
            </w:pPr>
          </w:p>
        </w:tc>
      </w:tr>
      <w:bookmarkEnd w:id="26"/>
    </w:tbl>
    <w:p w14:paraId="7CAFAA69">
      <w:pPr>
        <w:pStyle w:val="48"/>
        <w:rPr>
          <w:rFonts w:hint="eastAsia"/>
        </w:rPr>
      </w:pPr>
    </w:p>
    <w:p w14:paraId="2D2953ED">
      <w:pPr>
        <w:pStyle w:val="48"/>
        <w:rPr>
          <w:rFonts w:hint="eastAsia"/>
        </w:rPr>
      </w:pPr>
    </w:p>
    <w:bookmarkEnd w:id="18"/>
    <w:bookmarkEnd w:id="19"/>
    <w:bookmarkEnd w:id="20"/>
    <w:p w14:paraId="28797CD0">
      <w:pPr>
        <w:widowControl/>
        <w:ind w:firstLine="723"/>
        <w:jc w:val="left"/>
        <w:rPr>
          <w:rFonts w:eastAsia="黑体"/>
          <w:b/>
          <w:bCs/>
          <w:color w:val="000000" w:themeColor="text1"/>
          <w:kern w:val="44"/>
          <w:sz w:val="36"/>
          <w:szCs w:val="36"/>
          <w14:textFill>
            <w14:solidFill>
              <w14:schemeClr w14:val="tx1"/>
            </w14:solidFill>
          </w14:textFill>
        </w:rPr>
      </w:pPr>
      <w:bookmarkStart w:id="27" w:name="_Toc10238"/>
      <w:r>
        <w:rPr>
          <w:b/>
          <w:color w:val="000000" w:themeColor="text1"/>
          <w:sz w:val="36"/>
          <w:szCs w:val="36"/>
          <w14:textFill>
            <w14:solidFill>
              <w14:schemeClr w14:val="tx1"/>
            </w14:solidFill>
          </w14:textFill>
        </w:rPr>
        <w:br w:type="page"/>
      </w:r>
    </w:p>
    <w:p w14:paraId="303CB887">
      <w:pPr>
        <w:pStyle w:val="3"/>
        <w:spacing w:before="0" w:after="0" w:line="360" w:lineRule="auto"/>
        <w:ind w:firstLine="723"/>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第六章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竞争性谈判响应文件格式</w:t>
      </w:r>
      <w:bookmarkEnd w:id="27"/>
    </w:p>
    <w:p w14:paraId="247FECA9">
      <w:pPr>
        <w:ind w:firstLine="420"/>
        <w:rPr>
          <w:color w:val="000000" w:themeColor="text1"/>
          <w14:textFill>
            <w14:solidFill>
              <w14:schemeClr w14:val="tx1"/>
            </w14:solidFill>
          </w14:textFill>
        </w:rPr>
      </w:pPr>
    </w:p>
    <w:p w14:paraId="5AA6CC29">
      <w:pPr>
        <w:ind w:firstLine="420"/>
        <w:rPr>
          <w:color w:val="000000" w:themeColor="text1"/>
          <w14:textFill>
            <w14:solidFill>
              <w14:schemeClr w14:val="tx1"/>
            </w14:solidFill>
          </w14:textFill>
        </w:rPr>
      </w:pPr>
    </w:p>
    <w:p w14:paraId="4BF326A6">
      <w:pPr>
        <w:ind w:firstLine="420"/>
        <w:rPr>
          <w:color w:val="000000" w:themeColor="text1"/>
          <w14:textFill>
            <w14:solidFill>
              <w14:schemeClr w14:val="tx1"/>
            </w14:solidFill>
          </w14:textFill>
        </w:rPr>
      </w:pPr>
    </w:p>
    <w:p w14:paraId="4A1E7B68">
      <w:pPr>
        <w:ind w:firstLine="420"/>
        <w:rPr>
          <w:color w:val="000000" w:themeColor="text1"/>
          <w14:textFill>
            <w14:solidFill>
              <w14:schemeClr w14:val="tx1"/>
            </w14:solidFill>
          </w14:textFill>
        </w:rPr>
      </w:pPr>
    </w:p>
    <w:p w14:paraId="0E711B1A">
      <w:pPr>
        <w:ind w:firstLine="420"/>
        <w:rPr>
          <w:color w:val="000000" w:themeColor="text1"/>
          <w14:textFill>
            <w14:solidFill>
              <w14:schemeClr w14:val="tx1"/>
            </w14:solidFill>
          </w14:textFill>
        </w:rPr>
      </w:pPr>
    </w:p>
    <w:p w14:paraId="24297184">
      <w:pPr>
        <w:ind w:firstLine="420"/>
        <w:rPr>
          <w:color w:val="000000" w:themeColor="text1"/>
          <w14:textFill>
            <w14:solidFill>
              <w14:schemeClr w14:val="tx1"/>
            </w14:solidFill>
          </w14:textFill>
        </w:rPr>
      </w:pPr>
    </w:p>
    <w:p w14:paraId="64F489DA">
      <w:pPr>
        <w:ind w:firstLine="420"/>
        <w:rPr>
          <w:color w:val="000000" w:themeColor="text1"/>
          <w14:textFill>
            <w14:solidFill>
              <w14:schemeClr w14:val="tx1"/>
            </w14:solidFill>
          </w14:textFill>
        </w:rPr>
      </w:pPr>
    </w:p>
    <w:p w14:paraId="7D956E3F">
      <w:pPr>
        <w:pStyle w:val="21"/>
        <w:adjustRightInd w:val="0"/>
        <w:snapToGrid w:val="0"/>
        <w:spacing w:before="312" w:beforeLines="100" w:after="312" w:afterLines="100"/>
        <w:ind w:right="210" w:rightChars="100"/>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江苏省广电有线信息网络股份有限公司</w:t>
      </w:r>
    </w:p>
    <w:p w14:paraId="1C4C0207">
      <w:pPr>
        <w:pStyle w:val="21"/>
        <w:adjustRightInd w:val="0"/>
        <w:snapToGrid w:val="0"/>
        <w:spacing w:before="312" w:beforeLines="100" w:after="312" w:afterLines="100"/>
        <w:ind w:right="210" w:rightChars="100" w:firstLine="880"/>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GPU算力资源租用服务</w:t>
      </w:r>
    </w:p>
    <w:p w14:paraId="32DDC99A">
      <w:pPr>
        <w:pStyle w:val="21"/>
        <w:adjustRightInd w:val="0"/>
        <w:snapToGrid w:val="0"/>
        <w:spacing w:before="312" w:beforeLines="100" w:after="312" w:afterLines="100"/>
        <w:ind w:right="210" w:rightChars="100" w:firstLine="960"/>
        <w:jc w:val="center"/>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竞争性谈判响应文件</w:t>
      </w:r>
    </w:p>
    <w:p w14:paraId="018BEE84">
      <w:pPr>
        <w:pStyle w:val="21"/>
        <w:kinsoku w:val="0"/>
        <w:overflowPunct w:val="0"/>
        <w:adjustRightInd w:val="0"/>
        <w:snapToGrid w:val="0"/>
        <w:spacing w:before="312" w:beforeLines="100" w:after="312" w:afterLines="100"/>
        <w:ind w:left="210" w:leftChars="100" w:right="210" w:rightChars="100" w:firstLine="880" w:firstLineChars="200"/>
        <w:jc w:val="left"/>
        <w:rPr>
          <w:color w:val="000000" w:themeColor="text1"/>
          <w:sz w:val="44"/>
          <w:szCs w:val="44"/>
          <w14:textFill>
            <w14:solidFill>
              <w14:schemeClr w14:val="tx1"/>
            </w14:solidFill>
          </w14:textFill>
        </w:rPr>
      </w:pPr>
    </w:p>
    <w:p w14:paraId="704A020F">
      <w:pPr>
        <w:pStyle w:val="21"/>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623DFDEC">
      <w:pPr>
        <w:pStyle w:val="21"/>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7F433181">
      <w:pPr>
        <w:pStyle w:val="21"/>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4FCF1BD9">
      <w:pPr>
        <w:pStyle w:val="21"/>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576C2295">
      <w:pPr>
        <w:pStyle w:val="21"/>
        <w:kinsoku w:val="0"/>
        <w:overflowPunct w:val="0"/>
        <w:adjustRightInd w:val="0"/>
        <w:snapToGrid w:val="0"/>
        <w:spacing w:before="312" w:beforeLines="100" w:after="312" w:afterLines="100"/>
        <w:ind w:left="210" w:leftChars="100" w:right="210" w:rightChars="100" w:firstLine="1220" w:firstLineChars="200"/>
        <w:jc w:val="left"/>
        <w:rPr>
          <w:color w:val="000000" w:themeColor="text1"/>
          <w:sz w:val="61"/>
          <w:szCs w:val="61"/>
          <w14:textFill>
            <w14:solidFill>
              <w14:schemeClr w14:val="tx1"/>
            </w14:solidFill>
          </w14:textFill>
        </w:rPr>
      </w:pPr>
    </w:p>
    <w:p w14:paraId="6A77844B">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供应商：（盖单位章）</w:t>
      </w:r>
    </w:p>
    <w:p w14:paraId="061B2D1B">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法定代表人或其委托代理人：（签字）</w:t>
      </w:r>
    </w:p>
    <w:p w14:paraId="5B9E21F3">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年月日</w:t>
      </w:r>
      <w:r>
        <w:rPr>
          <w:color w:val="000000" w:themeColor="text1"/>
          <w:szCs w:val="28"/>
          <w14:textFill>
            <w14:solidFill>
              <w14:schemeClr w14:val="tx1"/>
            </w14:solidFill>
          </w14:textFill>
        </w:rPr>
        <w:br w:type="page"/>
      </w:r>
    </w:p>
    <w:p w14:paraId="5C894982">
      <w:pPr>
        <w:pStyle w:val="4"/>
        <w:snapToGrid/>
        <w:spacing w:beforeLines="0" w:afterLines="0" w:line="416" w:lineRule="auto"/>
        <w:ind w:right="0" w:rightChars="0" w:firstLine="560"/>
        <w:jc w:val="center"/>
        <w:rPr>
          <w:rFonts w:hAnsi="Arial"/>
          <w:sz w:val="28"/>
          <w:szCs w:val="32"/>
        </w:rPr>
      </w:pPr>
      <w:bookmarkStart w:id="28" w:name="_Toc32384"/>
      <w:r>
        <w:rPr>
          <w:rFonts w:hint="eastAsia" w:hAnsi="Arial"/>
          <w:sz w:val="28"/>
          <w:szCs w:val="32"/>
        </w:rPr>
        <w:t>评审索引表</w:t>
      </w:r>
      <w:bookmarkEnd w:id="28"/>
    </w:p>
    <w:p w14:paraId="19D5DF17">
      <w:pPr>
        <w:spacing w:before="312" w:after="312" w:line="276" w:lineRule="auto"/>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3CDC272F">
      <w:pPr>
        <w:pStyle w:val="15"/>
        <w:spacing w:before="312" w:after="312"/>
        <w:ind w:firstLine="482"/>
        <w:rPr>
          <w:rFonts w:hint="eastAsia" w:ascii="宋体" w:hAnsi="宋体" w:eastAsia="宋体"/>
          <w:b/>
          <w:color w:val="000000" w:themeColor="text1"/>
          <w:sz w:val="24"/>
          <w14:textFill>
            <w14:solidFill>
              <w14:schemeClr w14:val="tx1"/>
            </w14:solidFill>
          </w14:textFill>
        </w:rPr>
      </w:pPr>
    </w:p>
    <w:p w14:paraId="64D807E5">
      <w:pPr>
        <w:pStyle w:val="5"/>
        <w:spacing w:before="260" w:after="156" w:line="415" w:lineRule="auto"/>
        <w:ind w:firstLine="442"/>
        <w:jc w:val="center"/>
        <w:rPr>
          <w:rFonts w:hint="eastAsia" w:ascii="宋体" w:hAnsi="宋体" w:eastAsia="宋体"/>
          <w:b/>
          <w:bCs/>
          <w:color w:val="000000" w:themeColor="text1"/>
          <w:sz w:val="22"/>
          <w:szCs w:val="28"/>
          <w14:textFill>
            <w14:solidFill>
              <w14:schemeClr w14:val="tx1"/>
            </w14:solidFill>
          </w14:textFill>
        </w:rPr>
      </w:pPr>
      <w:bookmarkStart w:id="29" w:name="_Toc30919"/>
      <w:r>
        <w:rPr>
          <w:rFonts w:hint="eastAsia" w:ascii="宋体" w:hAnsi="宋体" w:eastAsia="宋体"/>
          <w:b/>
          <w:bCs/>
          <w:color w:val="000000" w:themeColor="text1"/>
          <w:sz w:val="22"/>
          <w:szCs w:val="28"/>
          <w14:textFill>
            <w14:solidFill>
              <w14:schemeClr w14:val="tx1"/>
            </w14:solidFill>
          </w14:textFill>
        </w:rPr>
        <w:t>初步</w:t>
      </w:r>
      <w:r>
        <w:rPr>
          <w:rFonts w:ascii="宋体" w:hAnsi="宋体" w:eastAsia="宋体"/>
          <w:b/>
          <w:bCs/>
          <w:color w:val="000000" w:themeColor="text1"/>
          <w:sz w:val="22"/>
          <w:szCs w:val="28"/>
          <w14:textFill>
            <w14:solidFill>
              <w14:schemeClr w14:val="tx1"/>
            </w14:solidFill>
          </w14:textFill>
        </w:rPr>
        <w:t>评审索引表</w:t>
      </w:r>
      <w:bookmarkEnd w:id="29"/>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431"/>
        <w:gridCol w:w="1108"/>
      </w:tblGrid>
      <w:tr w14:paraId="0026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4EB3C384">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3774" w:type="pct"/>
            <w:tcBorders>
              <w:top w:val="single" w:color="auto" w:sz="4" w:space="0"/>
              <w:left w:val="single" w:color="auto" w:sz="4" w:space="0"/>
              <w:bottom w:val="single" w:color="auto" w:sz="4" w:space="0"/>
              <w:right w:val="single" w:color="auto" w:sz="4" w:space="0"/>
            </w:tcBorders>
            <w:vAlign w:val="center"/>
          </w:tcPr>
          <w:p w14:paraId="61608B4C">
            <w:pPr>
              <w:widowControl/>
              <w:jc w:val="center"/>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评审因素</w:t>
            </w:r>
          </w:p>
        </w:tc>
        <w:tc>
          <w:tcPr>
            <w:tcW w:w="650" w:type="pct"/>
            <w:tcBorders>
              <w:top w:val="single" w:color="auto" w:sz="4" w:space="0"/>
              <w:left w:val="single" w:color="auto" w:sz="4" w:space="0"/>
              <w:bottom w:val="single" w:color="auto" w:sz="4" w:space="0"/>
              <w:right w:val="single" w:color="auto" w:sz="4" w:space="0"/>
            </w:tcBorders>
            <w:vAlign w:val="center"/>
          </w:tcPr>
          <w:p w14:paraId="4FCCD579">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证明材料对应页码</w:t>
            </w:r>
          </w:p>
        </w:tc>
      </w:tr>
      <w:tr w14:paraId="5908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5D6091A6">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774" w:type="pct"/>
            <w:tcBorders>
              <w:top w:val="single" w:color="auto" w:sz="4" w:space="0"/>
              <w:left w:val="single" w:color="auto" w:sz="4" w:space="0"/>
              <w:bottom w:val="single" w:color="auto" w:sz="4" w:space="0"/>
              <w:right w:val="single" w:color="auto" w:sz="4" w:space="0"/>
            </w:tcBorders>
            <w:vAlign w:val="center"/>
          </w:tcPr>
          <w:p w14:paraId="5CC06592">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5C057937">
            <w:pPr>
              <w:widowControl/>
              <w:jc w:val="center"/>
              <w:rPr>
                <w:rFonts w:hint="eastAsia" w:ascii="宋体" w:hAnsi="宋体" w:cs="宋体"/>
                <w:color w:val="000000" w:themeColor="text1"/>
                <w:kern w:val="0"/>
                <w:szCs w:val="21"/>
                <w14:textFill>
                  <w14:solidFill>
                    <w14:schemeClr w14:val="tx1"/>
                  </w14:solidFill>
                </w14:textFill>
              </w:rPr>
            </w:pPr>
          </w:p>
        </w:tc>
      </w:tr>
      <w:tr w14:paraId="54A2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58FFE13">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774" w:type="pct"/>
            <w:tcBorders>
              <w:top w:val="single" w:color="auto" w:sz="4" w:space="0"/>
              <w:left w:val="single" w:color="auto" w:sz="4" w:space="0"/>
              <w:bottom w:val="single" w:color="auto" w:sz="4" w:space="0"/>
              <w:right w:val="single" w:color="auto" w:sz="4" w:space="0"/>
            </w:tcBorders>
            <w:vAlign w:val="center"/>
          </w:tcPr>
          <w:p w14:paraId="2012E317">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0F9EA813">
            <w:pPr>
              <w:widowControl/>
              <w:jc w:val="center"/>
              <w:rPr>
                <w:rFonts w:hint="eastAsia" w:ascii="宋体" w:hAnsi="宋体" w:cs="宋体"/>
                <w:color w:val="000000" w:themeColor="text1"/>
                <w:kern w:val="0"/>
                <w:szCs w:val="21"/>
                <w14:textFill>
                  <w14:solidFill>
                    <w14:schemeClr w14:val="tx1"/>
                  </w14:solidFill>
                </w14:textFill>
              </w:rPr>
            </w:pPr>
          </w:p>
        </w:tc>
      </w:tr>
      <w:tr w14:paraId="6816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C53FCB5">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774" w:type="pct"/>
            <w:tcBorders>
              <w:top w:val="single" w:color="auto" w:sz="4" w:space="0"/>
              <w:left w:val="single" w:color="auto" w:sz="4" w:space="0"/>
              <w:bottom w:val="single" w:color="auto" w:sz="4" w:space="0"/>
              <w:right w:val="single" w:color="auto" w:sz="4" w:space="0"/>
            </w:tcBorders>
            <w:vAlign w:val="center"/>
          </w:tcPr>
          <w:p w14:paraId="3D12B22D">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114A3D18">
            <w:pPr>
              <w:widowControl/>
              <w:jc w:val="center"/>
              <w:rPr>
                <w:rFonts w:hint="eastAsia" w:ascii="宋体" w:hAnsi="宋体" w:cs="宋体"/>
                <w:color w:val="000000" w:themeColor="text1"/>
                <w:kern w:val="0"/>
                <w:szCs w:val="21"/>
                <w14:textFill>
                  <w14:solidFill>
                    <w14:schemeClr w14:val="tx1"/>
                  </w14:solidFill>
                </w14:textFill>
              </w:rPr>
            </w:pPr>
          </w:p>
        </w:tc>
      </w:tr>
      <w:tr w14:paraId="592C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431BD3FF">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3774" w:type="pct"/>
            <w:tcBorders>
              <w:top w:val="single" w:color="auto" w:sz="4" w:space="0"/>
              <w:left w:val="single" w:color="auto" w:sz="4" w:space="0"/>
              <w:bottom w:val="single" w:color="auto" w:sz="4" w:space="0"/>
              <w:right w:val="single" w:color="auto" w:sz="4" w:space="0"/>
            </w:tcBorders>
            <w:vAlign w:val="center"/>
          </w:tcPr>
          <w:p w14:paraId="1DA0B8C0">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39DC72CB">
            <w:pPr>
              <w:widowControl/>
              <w:jc w:val="center"/>
              <w:rPr>
                <w:rFonts w:hint="eastAsia" w:ascii="宋体" w:hAnsi="宋体" w:cs="宋体"/>
                <w:color w:val="000000" w:themeColor="text1"/>
                <w:kern w:val="0"/>
                <w:szCs w:val="21"/>
                <w14:textFill>
                  <w14:solidFill>
                    <w14:schemeClr w14:val="tx1"/>
                  </w14:solidFill>
                </w14:textFill>
              </w:rPr>
            </w:pPr>
          </w:p>
        </w:tc>
      </w:tr>
      <w:tr w14:paraId="5C5A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347746F">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3774" w:type="pct"/>
            <w:tcBorders>
              <w:top w:val="single" w:color="auto" w:sz="4" w:space="0"/>
              <w:left w:val="single" w:color="auto" w:sz="4" w:space="0"/>
              <w:bottom w:val="single" w:color="auto" w:sz="4" w:space="0"/>
              <w:right w:val="single" w:color="auto" w:sz="4" w:space="0"/>
            </w:tcBorders>
            <w:vAlign w:val="center"/>
          </w:tcPr>
          <w:p w14:paraId="074A7C93">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4F99DA5C">
            <w:pPr>
              <w:widowControl/>
              <w:jc w:val="center"/>
              <w:rPr>
                <w:rFonts w:hint="eastAsia" w:ascii="宋体" w:hAnsi="宋体" w:cs="宋体"/>
                <w:color w:val="000000" w:themeColor="text1"/>
                <w:kern w:val="0"/>
                <w:szCs w:val="21"/>
                <w14:textFill>
                  <w14:solidFill>
                    <w14:schemeClr w14:val="tx1"/>
                  </w14:solidFill>
                </w14:textFill>
              </w:rPr>
            </w:pPr>
          </w:p>
        </w:tc>
      </w:tr>
      <w:tr w14:paraId="5290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3C85C1C">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3774" w:type="pct"/>
            <w:tcBorders>
              <w:top w:val="single" w:color="auto" w:sz="4" w:space="0"/>
              <w:left w:val="single" w:color="auto" w:sz="4" w:space="0"/>
              <w:bottom w:val="single" w:color="auto" w:sz="4" w:space="0"/>
              <w:right w:val="single" w:color="auto" w:sz="4" w:space="0"/>
            </w:tcBorders>
            <w:vAlign w:val="center"/>
          </w:tcPr>
          <w:p w14:paraId="58825AB6">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1BDEEF55">
            <w:pPr>
              <w:widowControl/>
              <w:jc w:val="center"/>
              <w:rPr>
                <w:rFonts w:hint="eastAsia" w:ascii="宋体" w:hAnsi="宋体" w:cs="宋体"/>
                <w:color w:val="000000" w:themeColor="text1"/>
                <w:kern w:val="0"/>
                <w:szCs w:val="21"/>
                <w14:textFill>
                  <w14:solidFill>
                    <w14:schemeClr w14:val="tx1"/>
                  </w14:solidFill>
                </w14:textFill>
              </w:rPr>
            </w:pPr>
          </w:p>
        </w:tc>
      </w:tr>
      <w:tr w14:paraId="12F0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03666C62">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3774" w:type="pct"/>
            <w:tcBorders>
              <w:top w:val="single" w:color="auto" w:sz="4" w:space="0"/>
              <w:left w:val="single" w:color="auto" w:sz="4" w:space="0"/>
              <w:bottom w:val="single" w:color="auto" w:sz="4" w:space="0"/>
              <w:right w:val="single" w:color="auto" w:sz="4" w:space="0"/>
            </w:tcBorders>
            <w:vAlign w:val="center"/>
          </w:tcPr>
          <w:p w14:paraId="0B588CE0">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5F21135D">
            <w:pPr>
              <w:widowControl/>
              <w:jc w:val="center"/>
              <w:rPr>
                <w:rFonts w:hint="eastAsia" w:ascii="宋体" w:hAnsi="宋体" w:cs="宋体"/>
                <w:color w:val="000000" w:themeColor="text1"/>
                <w:kern w:val="0"/>
                <w:szCs w:val="21"/>
                <w14:textFill>
                  <w14:solidFill>
                    <w14:schemeClr w14:val="tx1"/>
                  </w14:solidFill>
                </w14:textFill>
              </w:rPr>
            </w:pPr>
          </w:p>
        </w:tc>
      </w:tr>
      <w:tr w14:paraId="096C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73BD5B8">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3774" w:type="pct"/>
            <w:tcBorders>
              <w:top w:val="single" w:color="auto" w:sz="4" w:space="0"/>
              <w:left w:val="single" w:color="auto" w:sz="4" w:space="0"/>
              <w:bottom w:val="single" w:color="auto" w:sz="4" w:space="0"/>
              <w:right w:val="single" w:color="auto" w:sz="4" w:space="0"/>
            </w:tcBorders>
            <w:vAlign w:val="center"/>
          </w:tcPr>
          <w:p w14:paraId="0D82CB5D">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6DC06841">
            <w:pPr>
              <w:widowControl/>
              <w:jc w:val="center"/>
              <w:rPr>
                <w:rFonts w:hint="eastAsia" w:ascii="宋体" w:hAnsi="宋体" w:cs="宋体"/>
                <w:color w:val="000000" w:themeColor="text1"/>
                <w:kern w:val="0"/>
                <w:szCs w:val="21"/>
                <w14:textFill>
                  <w14:solidFill>
                    <w14:schemeClr w14:val="tx1"/>
                  </w14:solidFill>
                </w14:textFill>
              </w:rPr>
            </w:pPr>
          </w:p>
        </w:tc>
      </w:tr>
      <w:tr w14:paraId="33B7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F6B41E2">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3774" w:type="pct"/>
            <w:tcBorders>
              <w:top w:val="single" w:color="auto" w:sz="4" w:space="0"/>
              <w:left w:val="single" w:color="auto" w:sz="4" w:space="0"/>
              <w:bottom w:val="single" w:color="auto" w:sz="4" w:space="0"/>
              <w:right w:val="single" w:color="auto" w:sz="4" w:space="0"/>
            </w:tcBorders>
            <w:vAlign w:val="center"/>
          </w:tcPr>
          <w:p w14:paraId="70CB4EDE">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429D9DB3">
            <w:pPr>
              <w:widowControl/>
              <w:jc w:val="center"/>
              <w:rPr>
                <w:rFonts w:hint="eastAsia" w:ascii="宋体" w:hAnsi="宋体" w:cs="宋体"/>
                <w:color w:val="000000" w:themeColor="text1"/>
                <w:kern w:val="0"/>
                <w:szCs w:val="21"/>
                <w14:textFill>
                  <w14:solidFill>
                    <w14:schemeClr w14:val="tx1"/>
                  </w14:solidFill>
                </w14:textFill>
              </w:rPr>
            </w:pPr>
          </w:p>
        </w:tc>
      </w:tr>
      <w:tr w14:paraId="26F7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802ABC1">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3774" w:type="pct"/>
            <w:tcBorders>
              <w:top w:val="single" w:color="auto" w:sz="4" w:space="0"/>
              <w:left w:val="single" w:color="auto" w:sz="4" w:space="0"/>
              <w:bottom w:val="single" w:color="auto" w:sz="4" w:space="0"/>
              <w:right w:val="single" w:color="auto" w:sz="4" w:space="0"/>
            </w:tcBorders>
            <w:vAlign w:val="center"/>
          </w:tcPr>
          <w:p w14:paraId="0983E375">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23B9B8E7">
            <w:pPr>
              <w:widowControl/>
              <w:jc w:val="center"/>
              <w:rPr>
                <w:rFonts w:hint="eastAsia" w:ascii="宋体" w:hAnsi="宋体" w:cs="宋体"/>
                <w:color w:val="000000" w:themeColor="text1"/>
                <w:kern w:val="0"/>
                <w:szCs w:val="21"/>
                <w14:textFill>
                  <w14:solidFill>
                    <w14:schemeClr w14:val="tx1"/>
                  </w14:solidFill>
                </w14:textFill>
              </w:rPr>
            </w:pPr>
          </w:p>
        </w:tc>
      </w:tr>
      <w:tr w14:paraId="08E2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3C5104F">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3774" w:type="pct"/>
            <w:tcBorders>
              <w:top w:val="single" w:color="auto" w:sz="4" w:space="0"/>
              <w:left w:val="single" w:color="auto" w:sz="4" w:space="0"/>
              <w:bottom w:val="single" w:color="auto" w:sz="4" w:space="0"/>
              <w:right w:val="single" w:color="auto" w:sz="4" w:space="0"/>
            </w:tcBorders>
            <w:vAlign w:val="center"/>
          </w:tcPr>
          <w:p w14:paraId="6A0F9285">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7274E0D7">
            <w:pPr>
              <w:widowControl/>
              <w:jc w:val="center"/>
              <w:rPr>
                <w:rFonts w:hint="eastAsia" w:ascii="宋体" w:hAnsi="宋体" w:cs="宋体"/>
                <w:color w:val="000000" w:themeColor="text1"/>
                <w:kern w:val="0"/>
                <w:szCs w:val="21"/>
                <w14:textFill>
                  <w14:solidFill>
                    <w14:schemeClr w14:val="tx1"/>
                  </w14:solidFill>
                </w14:textFill>
              </w:rPr>
            </w:pPr>
          </w:p>
        </w:tc>
      </w:tr>
      <w:tr w14:paraId="11F1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47628FF">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3774" w:type="pct"/>
            <w:tcBorders>
              <w:top w:val="single" w:color="auto" w:sz="4" w:space="0"/>
              <w:left w:val="single" w:color="auto" w:sz="4" w:space="0"/>
              <w:bottom w:val="single" w:color="auto" w:sz="4" w:space="0"/>
              <w:right w:val="single" w:color="auto" w:sz="4" w:space="0"/>
            </w:tcBorders>
            <w:vAlign w:val="center"/>
          </w:tcPr>
          <w:p w14:paraId="740FBDDD">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1AF3B19C">
            <w:pPr>
              <w:widowControl/>
              <w:jc w:val="center"/>
              <w:rPr>
                <w:rFonts w:hint="eastAsia" w:ascii="宋体" w:hAnsi="宋体" w:cs="宋体"/>
                <w:color w:val="000000" w:themeColor="text1"/>
                <w:kern w:val="0"/>
                <w:szCs w:val="21"/>
                <w14:textFill>
                  <w14:solidFill>
                    <w14:schemeClr w14:val="tx1"/>
                  </w14:solidFill>
                </w14:textFill>
              </w:rPr>
            </w:pPr>
          </w:p>
        </w:tc>
      </w:tr>
      <w:tr w14:paraId="1D80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8788ED0">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3774" w:type="pct"/>
            <w:tcBorders>
              <w:top w:val="single" w:color="auto" w:sz="4" w:space="0"/>
              <w:left w:val="single" w:color="auto" w:sz="4" w:space="0"/>
              <w:bottom w:val="single" w:color="auto" w:sz="4" w:space="0"/>
              <w:right w:val="single" w:color="auto" w:sz="4" w:space="0"/>
            </w:tcBorders>
            <w:vAlign w:val="center"/>
          </w:tcPr>
          <w:p w14:paraId="440BB7B9">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10941F48">
            <w:pPr>
              <w:widowControl/>
              <w:jc w:val="center"/>
              <w:rPr>
                <w:rFonts w:hint="eastAsia" w:ascii="宋体" w:hAnsi="宋体" w:cs="宋体"/>
                <w:color w:val="000000" w:themeColor="text1"/>
                <w:kern w:val="0"/>
                <w:szCs w:val="21"/>
                <w14:textFill>
                  <w14:solidFill>
                    <w14:schemeClr w14:val="tx1"/>
                  </w14:solidFill>
                </w14:textFill>
              </w:rPr>
            </w:pPr>
          </w:p>
        </w:tc>
      </w:tr>
      <w:tr w14:paraId="14CB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2A99325">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3774" w:type="pct"/>
            <w:tcBorders>
              <w:top w:val="single" w:color="auto" w:sz="4" w:space="0"/>
              <w:left w:val="single" w:color="auto" w:sz="4" w:space="0"/>
              <w:bottom w:val="single" w:color="auto" w:sz="4" w:space="0"/>
              <w:right w:val="single" w:color="auto" w:sz="4" w:space="0"/>
            </w:tcBorders>
            <w:vAlign w:val="center"/>
          </w:tcPr>
          <w:p w14:paraId="6E7EF078">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16DC1984">
            <w:pPr>
              <w:widowControl/>
              <w:jc w:val="center"/>
              <w:rPr>
                <w:rFonts w:hint="eastAsia" w:ascii="宋体" w:hAnsi="宋体" w:cs="宋体"/>
                <w:color w:val="000000" w:themeColor="text1"/>
                <w:kern w:val="0"/>
                <w:szCs w:val="21"/>
                <w14:textFill>
                  <w14:solidFill>
                    <w14:schemeClr w14:val="tx1"/>
                  </w14:solidFill>
                </w14:textFill>
              </w:rPr>
            </w:pPr>
          </w:p>
        </w:tc>
      </w:tr>
      <w:tr w14:paraId="4D2B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3227E98">
            <w:pPr>
              <w:widowControl/>
              <w:jc w:val="center"/>
              <w:rPr>
                <w:rFonts w:hint="eastAsia" w:ascii="宋体" w:hAnsi="宋体"/>
                <w:color w:val="000000" w:themeColor="text1"/>
                <w14:textFill>
                  <w14:solidFill>
                    <w14:schemeClr w14:val="tx1"/>
                  </w14:solidFill>
                </w14:textFill>
              </w:rPr>
            </w:pPr>
          </w:p>
        </w:tc>
        <w:tc>
          <w:tcPr>
            <w:tcW w:w="3774" w:type="pct"/>
            <w:tcBorders>
              <w:top w:val="single" w:color="auto" w:sz="4" w:space="0"/>
              <w:left w:val="single" w:color="auto" w:sz="4" w:space="0"/>
              <w:bottom w:val="single" w:color="auto" w:sz="4" w:space="0"/>
              <w:right w:val="single" w:color="auto" w:sz="4" w:space="0"/>
            </w:tcBorders>
            <w:vAlign w:val="center"/>
          </w:tcPr>
          <w:p w14:paraId="3D5F6F00">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11322E6A">
            <w:pPr>
              <w:widowControl/>
              <w:jc w:val="center"/>
              <w:rPr>
                <w:rFonts w:hint="eastAsia" w:ascii="宋体" w:hAnsi="宋体" w:cs="宋体"/>
                <w:color w:val="000000" w:themeColor="text1"/>
                <w:kern w:val="0"/>
                <w:szCs w:val="21"/>
                <w14:textFill>
                  <w14:solidFill>
                    <w14:schemeClr w14:val="tx1"/>
                  </w14:solidFill>
                </w14:textFill>
              </w:rPr>
            </w:pPr>
          </w:p>
        </w:tc>
      </w:tr>
    </w:tbl>
    <w:p w14:paraId="14842C64">
      <w:pPr>
        <w:spacing w:before="312" w:after="312"/>
        <w:ind w:firstLine="420"/>
        <w:rPr>
          <w:color w:val="000000" w:themeColor="text1"/>
          <w14:textFill>
            <w14:solidFill>
              <w14:schemeClr w14:val="tx1"/>
            </w14:solidFill>
          </w14:textFill>
        </w:rPr>
      </w:pPr>
    </w:p>
    <w:p w14:paraId="2DA7A80F">
      <w:pPr>
        <w:pStyle w:val="52"/>
        <w:spacing w:before="312" w:after="312"/>
        <w:ind w:left="210" w:firstLine="560"/>
        <w:rPr>
          <w:color w:val="000000" w:themeColor="text1"/>
          <w14:textFill>
            <w14:solidFill>
              <w14:schemeClr w14:val="tx1"/>
            </w14:solidFill>
          </w14:textFill>
        </w:rPr>
      </w:pPr>
    </w:p>
    <w:p w14:paraId="13E715FA">
      <w:pPr>
        <w:pStyle w:val="52"/>
        <w:spacing w:before="312" w:after="312"/>
        <w:ind w:left="210" w:firstLine="560"/>
        <w:rPr>
          <w:color w:val="000000" w:themeColor="text1"/>
          <w14:textFill>
            <w14:solidFill>
              <w14:schemeClr w14:val="tx1"/>
            </w14:solidFill>
          </w14:textFill>
        </w:rPr>
      </w:pPr>
    </w:p>
    <w:p w14:paraId="2342D916">
      <w:pPr>
        <w:pStyle w:val="52"/>
        <w:spacing w:before="312" w:after="312"/>
        <w:ind w:left="210" w:firstLine="560"/>
        <w:rPr>
          <w:color w:val="000000" w:themeColor="text1"/>
          <w14:textFill>
            <w14:solidFill>
              <w14:schemeClr w14:val="tx1"/>
            </w14:solidFill>
          </w14:textFill>
        </w:rPr>
      </w:pPr>
    </w:p>
    <w:p w14:paraId="568EDC7C">
      <w:pPr>
        <w:pStyle w:val="5"/>
        <w:spacing w:before="260" w:after="260" w:line="416" w:lineRule="auto"/>
        <w:ind w:firstLine="442"/>
        <w:jc w:val="center"/>
        <w:rPr>
          <w:rFonts w:hint="eastAsia" w:ascii="宋体" w:hAnsi="宋体" w:eastAsia="宋体"/>
          <w:b/>
          <w:bCs/>
          <w:color w:val="000000" w:themeColor="text1"/>
          <w:sz w:val="22"/>
          <w:szCs w:val="28"/>
          <w14:textFill>
            <w14:solidFill>
              <w14:schemeClr w14:val="tx1"/>
            </w14:solidFill>
          </w14:textFill>
        </w:rPr>
      </w:pPr>
      <w:bookmarkStart w:id="30" w:name="_Toc22528"/>
      <w:r>
        <w:rPr>
          <w:rFonts w:hint="eastAsia" w:ascii="宋体" w:hAnsi="宋体" w:eastAsia="宋体"/>
          <w:b/>
          <w:bCs/>
          <w:color w:val="000000" w:themeColor="text1"/>
          <w:sz w:val="22"/>
          <w:szCs w:val="28"/>
          <w14:textFill>
            <w14:solidFill>
              <w14:schemeClr w14:val="tx1"/>
            </w14:solidFill>
          </w14:textFill>
        </w:rPr>
        <w:t>详细</w:t>
      </w:r>
      <w:r>
        <w:rPr>
          <w:rFonts w:ascii="宋体" w:hAnsi="宋体" w:eastAsia="宋体"/>
          <w:b/>
          <w:bCs/>
          <w:color w:val="000000" w:themeColor="text1"/>
          <w:sz w:val="22"/>
          <w:szCs w:val="28"/>
          <w14:textFill>
            <w14:solidFill>
              <w14:schemeClr w14:val="tx1"/>
            </w14:solidFill>
          </w14:textFill>
        </w:rPr>
        <w:t>评审索引表</w:t>
      </w:r>
      <w:bookmarkEnd w:id="30"/>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12A6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41AD636E">
            <w:pPr>
              <w:widowControl/>
              <w:spacing w:line="300" w:lineRule="auto"/>
              <w:ind w:firstLine="422"/>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评标项目</w:t>
            </w:r>
          </w:p>
        </w:tc>
        <w:tc>
          <w:tcPr>
            <w:tcW w:w="6778" w:type="dxa"/>
            <w:vAlign w:val="center"/>
          </w:tcPr>
          <w:p w14:paraId="33CC3965">
            <w:pPr>
              <w:ind w:firstLine="422"/>
              <w:jc w:val="center"/>
              <w:rPr>
                <w:b/>
                <w:color w:val="000000" w:themeColor="text1"/>
                <w14:textFill>
                  <w14:solidFill>
                    <w14:schemeClr w14:val="tx1"/>
                  </w14:solidFill>
                </w14:textFill>
              </w:rPr>
            </w:pPr>
            <w:r>
              <w:rPr>
                <w:b/>
                <w:color w:val="000000" w:themeColor="text1"/>
                <w:kern w:val="0"/>
                <w:szCs w:val="21"/>
                <w14:textFill>
                  <w14:solidFill>
                    <w14:schemeClr w14:val="tx1"/>
                  </w14:solidFill>
                </w14:textFill>
              </w:rPr>
              <w:t>评分要求</w:t>
            </w:r>
          </w:p>
        </w:tc>
        <w:tc>
          <w:tcPr>
            <w:tcW w:w="1141" w:type="dxa"/>
            <w:vAlign w:val="center"/>
          </w:tcPr>
          <w:p w14:paraId="3CC2A7A4">
            <w:pPr>
              <w:ind w:firstLine="422"/>
              <w:jc w:val="center"/>
              <w:rPr>
                <w:b/>
                <w:color w:val="000000" w:themeColor="text1"/>
                <w14:textFill>
                  <w14:solidFill>
                    <w14:schemeClr w14:val="tx1"/>
                  </w14:solidFill>
                </w14:textFill>
              </w:rPr>
            </w:pPr>
            <w:r>
              <w:rPr>
                <w:rFonts w:hint="eastAsia"/>
                <w:b/>
                <w:color w:val="000000" w:themeColor="text1"/>
                <w:kern w:val="0"/>
                <w:szCs w:val="21"/>
                <w14:textFill>
                  <w14:solidFill>
                    <w14:schemeClr w14:val="tx1"/>
                  </w14:solidFill>
                </w14:textFill>
              </w:rPr>
              <w:t>响应文件响应的页码</w:t>
            </w:r>
          </w:p>
        </w:tc>
      </w:tr>
      <w:tr w14:paraId="7009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07ECBF17">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11" w:type="dxa"/>
            <w:vAlign w:val="center"/>
          </w:tcPr>
          <w:p w14:paraId="206B987E">
            <w:pPr>
              <w:widowControl/>
              <w:spacing w:line="300" w:lineRule="auto"/>
              <w:jc w:val="center"/>
              <w:rPr>
                <w:color w:val="000000" w:themeColor="text1"/>
                <w:kern w:val="0"/>
                <w:szCs w:val="21"/>
                <w14:textFill>
                  <w14:solidFill>
                    <w14:schemeClr w14:val="tx1"/>
                  </w14:solidFill>
                </w14:textFill>
              </w:rPr>
            </w:pPr>
          </w:p>
        </w:tc>
        <w:tc>
          <w:tcPr>
            <w:tcW w:w="6778" w:type="dxa"/>
          </w:tcPr>
          <w:p w14:paraId="5AC5EA05">
            <w:pPr>
              <w:widowControl/>
              <w:tabs>
                <w:tab w:val="left" w:pos="402"/>
              </w:tabs>
              <w:ind w:left="420"/>
              <w:rPr>
                <w:color w:val="000000" w:themeColor="text1"/>
                <w:kern w:val="0"/>
                <w:szCs w:val="21"/>
                <w14:textFill>
                  <w14:solidFill>
                    <w14:schemeClr w14:val="tx1"/>
                  </w14:solidFill>
                </w14:textFill>
              </w:rPr>
            </w:pPr>
          </w:p>
        </w:tc>
        <w:tc>
          <w:tcPr>
            <w:tcW w:w="1141" w:type="dxa"/>
          </w:tcPr>
          <w:p w14:paraId="75AFB042">
            <w:pPr>
              <w:widowControl/>
              <w:tabs>
                <w:tab w:val="left" w:pos="0"/>
                <w:tab w:val="left" w:pos="402"/>
              </w:tabs>
              <w:spacing w:line="300" w:lineRule="auto"/>
              <w:rPr>
                <w:color w:val="000000" w:themeColor="text1"/>
                <w:kern w:val="0"/>
                <w:szCs w:val="21"/>
                <w14:textFill>
                  <w14:solidFill>
                    <w14:schemeClr w14:val="tx1"/>
                  </w14:solidFill>
                </w14:textFill>
              </w:rPr>
            </w:pPr>
          </w:p>
        </w:tc>
      </w:tr>
      <w:tr w14:paraId="57F1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429C8BCA">
            <w:pPr>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211" w:type="dxa"/>
            <w:vAlign w:val="center"/>
          </w:tcPr>
          <w:p w14:paraId="0AAB8D97">
            <w:pPr>
              <w:jc w:val="center"/>
              <w:rPr>
                <w:color w:val="000000" w:themeColor="text1"/>
                <w:kern w:val="0"/>
                <w:szCs w:val="21"/>
                <w14:textFill>
                  <w14:solidFill>
                    <w14:schemeClr w14:val="tx1"/>
                  </w14:solidFill>
                </w14:textFill>
              </w:rPr>
            </w:pPr>
          </w:p>
        </w:tc>
        <w:tc>
          <w:tcPr>
            <w:tcW w:w="6778" w:type="dxa"/>
            <w:vAlign w:val="center"/>
          </w:tcPr>
          <w:p w14:paraId="72639F16">
            <w:pPr>
              <w:widowControl/>
              <w:jc w:val="left"/>
              <w:rPr>
                <w:color w:val="000000" w:themeColor="text1"/>
                <w:kern w:val="0"/>
                <w:szCs w:val="21"/>
                <w14:textFill>
                  <w14:solidFill>
                    <w14:schemeClr w14:val="tx1"/>
                  </w14:solidFill>
                </w14:textFill>
              </w:rPr>
            </w:pPr>
          </w:p>
        </w:tc>
        <w:tc>
          <w:tcPr>
            <w:tcW w:w="1141" w:type="dxa"/>
          </w:tcPr>
          <w:p w14:paraId="72DB08E6">
            <w:pPr>
              <w:widowControl/>
              <w:jc w:val="left"/>
              <w:rPr>
                <w:color w:val="000000" w:themeColor="text1"/>
                <w:kern w:val="0"/>
                <w:szCs w:val="21"/>
                <w14:textFill>
                  <w14:solidFill>
                    <w14:schemeClr w14:val="tx1"/>
                  </w14:solidFill>
                </w14:textFill>
              </w:rPr>
            </w:pPr>
          </w:p>
        </w:tc>
      </w:tr>
      <w:tr w14:paraId="08C5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5F418643">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211" w:type="dxa"/>
            <w:vAlign w:val="center"/>
          </w:tcPr>
          <w:p w14:paraId="6FC8904E">
            <w:pPr>
              <w:ind w:firstLine="422"/>
              <w:jc w:val="center"/>
              <w:rPr>
                <w:rFonts w:hint="eastAsia" w:ascii="宋体" w:hAnsi="宋体"/>
                <w:b/>
                <w:color w:val="000000" w:themeColor="text1"/>
                <w14:textFill>
                  <w14:solidFill>
                    <w14:schemeClr w14:val="tx1"/>
                  </w14:solidFill>
                </w14:textFill>
              </w:rPr>
            </w:pPr>
          </w:p>
        </w:tc>
        <w:tc>
          <w:tcPr>
            <w:tcW w:w="6778" w:type="dxa"/>
            <w:vAlign w:val="center"/>
          </w:tcPr>
          <w:p w14:paraId="7C54E39D">
            <w:pPr>
              <w:widowControl/>
              <w:jc w:val="left"/>
              <w:rPr>
                <w:rFonts w:hint="eastAsia" w:ascii="宋体" w:hAnsi="宋体"/>
                <w:color w:val="000000" w:themeColor="text1"/>
                <w:szCs w:val="21"/>
                <w14:textFill>
                  <w14:solidFill>
                    <w14:schemeClr w14:val="tx1"/>
                  </w14:solidFill>
                </w14:textFill>
              </w:rPr>
            </w:pPr>
          </w:p>
        </w:tc>
        <w:tc>
          <w:tcPr>
            <w:tcW w:w="1141" w:type="dxa"/>
          </w:tcPr>
          <w:p w14:paraId="5FACF1CC">
            <w:pPr>
              <w:widowControl/>
              <w:jc w:val="left"/>
              <w:rPr>
                <w:color w:val="000000" w:themeColor="text1"/>
                <w:kern w:val="0"/>
                <w:szCs w:val="21"/>
                <w14:textFill>
                  <w14:solidFill>
                    <w14:schemeClr w14:val="tx1"/>
                  </w14:solidFill>
                </w14:textFill>
              </w:rPr>
            </w:pPr>
          </w:p>
        </w:tc>
      </w:tr>
      <w:tr w14:paraId="3CEC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0B3869C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11" w:type="dxa"/>
            <w:vAlign w:val="center"/>
          </w:tcPr>
          <w:p w14:paraId="0E3F4307">
            <w:pPr>
              <w:jc w:val="center"/>
              <w:rPr>
                <w:color w:val="000000" w:themeColor="text1"/>
                <w:kern w:val="0"/>
                <w:szCs w:val="21"/>
                <w14:textFill>
                  <w14:solidFill>
                    <w14:schemeClr w14:val="tx1"/>
                  </w14:solidFill>
                </w14:textFill>
              </w:rPr>
            </w:pPr>
          </w:p>
        </w:tc>
        <w:tc>
          <w:tcPr>
            <w:tcW w:w="6778" w:type="dxa"/>
          </w:tcPr>
          <w:p w14:paraId="2BFB1273">
            <w:pPr>
              <w:widowControl/>
              <w:jc w:val="left"/>
              <w:rPr>
                <w:color w:val="000000" w:themeColor="text1"/>
                <w:kern w:val="0"/>
                <w:szCs w:val="21"/>
                <w14:textFill>
                  <w14:solidFill>
                    <w14:schemeClr w14:val="tx1"/>
                  </w14:solidFill>
                </w14:textFill>
              </w:rPr>
            </w:pPr>
          </w:p>
        </w:tc>
        <w:tc>
          <w:tcPr>
            <w:tcW w:w="1141" w:type="dxa"/>
          </w:tcPr>
          <w:p w14:paraId="59FF9460">
            <w:pPr>
              <w:widowControl/>
              <w:jc w:val="left"/>
              <w:rPr>
                <w:color w:val="000000" w:themeColor="text1"/>
                <w:kern w:val="0"/>
                <w:szCs w:val="21"/>
                <w14:textFill>
                  <w14:solidFill>
                    <w14:schemeClr w14:val="tx1"/>
                  </w14:solidFill>
                </w14:textFill>
              </w:rPr>
            </w:pPr>
          </w:p>
        </w:tc>
      </w:tr>
      <w:tr w14:paraId="5E67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48007A54">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211" w:type="dxa"/>
            <w:vAlign w:val="center"/>
          </w:tcPr>
          <w:p w14:paraId="5561CB45">
            <w:pPr>
              <w:jc w:val="center"/>
              <w:rPr>
                <w:color w:val="000000" w:themeColor="text1"/>
                <w:kern w:val="0"/>
                <w:szCs w:val="21"/>
                <w14:textFill>
                  <w14:solidFill>
                    <w14:schemeClr w14:val="tx1"/>
                  </w14:solidFill>
                </w14:textFill>
              </w:rPr>
            </w:pPr>
          </w:p>
        </w:tc>
        <w:tc>
          <w:tcPr>
            <w:tcW w:w="6778" w:type="dxa"/>
            <w:vAlign w:val="center"/>
          </w:tcPr>
          <w:p w14:paraId="23BFFF58">
            <w:pPr>
              <w:widowControl/>
              <w:jc w:val="left"/>
              <w:rPr>
                <w:color w:val="000000" w:themeColor="text1"/>
                <w:kern w:val="0"/>
                <w:szCs w:val="21"/>
                <w14:textFill>
                  <w14:solidFill>
                    <w14:schemeClr w14:val="tx1"/>
                  </w14:solidFill>
                </w14:textFill>
              </w:rPr>
            </w:pPr>
          </w:p>
        </w:tc>
        <w:tc>
          <w:tcPr>
            <w:tcW w:w="1141" w:type="dxa"/>
          </w:tcPr>
          <w:p w14:paraId="17B38E51">
            <w:pPr>
              <w:widowControl/>
              <w:jc w:val="left"/>
              <w:rPr>
                <w:color w:val="000000" w:themeColor="text1"/>
                <w:kern w:val="0"/>
                <w:szCs w:val="21"/>
                <w14:textFill>
                  <w14:solidFill>
                    <w14:schemeClr w14:val="tx1"/>
                  </w14:solidFill>
                </w14:textFill>
              </w:rPr>
            </w:pPr>
          </w:p>
        </w:tc>
      </w:tr>
      <w:tr w14:paraId="0654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4" w:type="dxa"/>
            <w:vAlign w:val="center"/>
          </w:tcPr>
          <w:p w14:paraId="3FFAB4E7">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1211" w:type="dxa"/>
            <w:vAlign w:val="center"/>
          </w:tcPr>
          <w:p w14:paraId="0FFAD11F">
            <w:pPr>
              <w:jc w:val="center"/>
              <w:rPr>
                <w:color w:val="000000" w:themeColor="text1"/>
                <w:kern w:val="0"/>
                <w:szCs w:val="21"/>
                <w14:textFill>
                  <w14:solidFill>
                    <w14:schemeClr w14:val="tx1"/>
                  </w14:solidFill>
                </w14:textFill>
              </w:rPr>
            </w:pPr>
          </w:p>
        </w:tc>
        <w:tc>
          <w:tcPr>
            <w:tcW w:w="6778" w:type="dxa"/>
            <w:vAlign w:val="center"/>
          </w:tcPr>
          <w:p w14:paraId="24354584">
            <w:pPr>
              <w:widowControl/>
              <w:ind w:firstLine="482"/>
              <w:rPr>
                <w:rFonts w:eastAsia="仿宋_GB2312"/>
                <w:b/>
                <w:bCs/>
                <w:color w:val="000000" w:themeColor="text1"/>
                <w:kern w:val="0"/>
                <w:sz w:val="24"/>
                <w14:textFill>
                  <w14:solidFill>
                    <w14:schemeClr w14:val="tx1"/>
                  </w14:solidFill>
                </w14:textFill>
              </w:rPr>
            </w:pPr>
          </w:p>
        </w:tc>
        <w:tc>
          <w:tcPr>
            <w:tcW w:w="1141" w:type="dxa"/>
            <w:vAlign w:val="center"/>
          </w:tcPr>
          <w:p w14:paraId="2AB895B9">
            <w:pPr>
              <w:widowControl/>
              <w:ind w:firstLine="482"/>
              <w:jc w:val="left"/>
              <w:rPr>
                <w:rFonts w:eastAsia="仿宋_GB2312"/>
                <w:b/>
                <w:bCs/>
                <w:color w:val="000000" w:themeColor="text1"/>
                <w:kern w:val="0"/>
                <w:sz w:val="24"/>
                <w14:textFill>
                  <w14:solidFill>
                    <w14:schemeClr w14:val="tx1"/>
                  </w14:solidFill>
                </w14:textFill>
              </w:rPr>
            </w:pPr>
          </w:p>
        </w:tc>
      </w:tr>
    </w:tbl>
    <w:p w14:paraId="76954FAE">
      <w:pPr>
        <w:pStyle w:val="15"/>
        <w:spacing w:before="312" w:after="312"/>
        <w:ind w:firstLine="560"/>
        <w:rPr>
          <w:color w:val="000000" w:themeColor="text1"/>
          <w14:textFill>
            <w14:solidFill>
              <w14:schemeClr w14:val="tx1"/>
            </w14:solidFill>
          </w14:textFill>
        </w:rPr>
      </w:pPr>
    </w:p>
    <w:p w14:paraId="591EC2E4">
      <w:pPr>
        <w:spacing w:before="312" w:after="312"/>
        <w:ind w:firstLine="420"/>
        <w:rPr>
          <w:color w:val="000000" w:themeColor="text1"/>
          <w14:textFill>
            <w14:solidFill>
              <w14:schemeClr w14:val="tx1"/>
            </w14:solidFill>
          </w14:textFill>
        </w:rPr>
      </w:pPr>
    </w:p>
    <w:p w14:paraId="0C278843">
      <w:pPr>
        <w:spacing w:before="312" w:after="312"/>
        <w:ind w:firstLine="420"/>
        <w:rPr>
          <w:color w:val="000000" w:themeColor="text1"/>
          <w14:textFill>
            <w14:solidFill>
              <w14:schemeClr w14:val="tx1"/>
            </w14:solidFill>
          </w14:textFill>
        </w:rPr>
      </w:pPr>
    </w:p>
    <w:p w14:paraId="63A3273D">
      <w:pPr>
        <w:spacing w:before="312" w:after="312"/>
        <w:ind w:firstLine="420"/>
        <w:rPr>
          <w:color w:val="000000" w:themeColor="text1"/>
          <w14:textFill>
            <w14:solidFill>
              <w14:schemeClr w14:val="tx1"/>
            </w14:solidFill>
          </w14:textFill>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5253225">
      <w:pPr>
        <w:pStyle w:val="4"/>
        <w:spacing w:before="240" w:after="240"/>
        <w:ind w:firstLine="480"/>
        <w:rPr>
          <w:rStyle w:val="116"/>
          <w:rFonts w:hint="eastAsia" w:hAnsi="宋体"/>
          <w:b w:val="0"/>
          <w:bCs/>
          <w:sz w:val="24"/>
          <w:szCs w:val="24"/>
        </w:rPr>
      </w:pPr>
      <w:bookmarkStart w:id="31" w:name="_Toc14807"/>
      <w:r>
        <w:rPr>
          <w:rStyle w:val="116"/>
          <w:rFonts w:hint="eastAsia" w:hAnsi="宋体"/>
          <w:b w:val="0"/>
          <w:bCs w:val="0"/>
          <w:sz w:val="24"/>
          <w:szCs w:val="24"/>
        </w:rPr>
        <w:t>附件</w:t>
      </w:r>
      <w:r>
        <w:rPr>
          <w:rStyle w:val="116"/>
          <w:rFonts w:hAnsi="宋体"/>
          <w:b w:val="0"/>
          <w:bCs w:val="0"/>
          <w:sz w:val="24"/>
          <w:szCs w:val="24"/>
        </w:rPr>
        <w:t>1</w:t>
      </w:r>
      <w:r>
        <w:rPr>
          <w:rStyle w:val="116"/>
          <w:rFonts w:hint="eastAsia" w:hAnsi="宋体"/>
          <w:b w:val="0"/>
          <w:bCs w:val="0"/>
          <w:sz w:val="24"/>
          <w:szCs w:val="24"/>
        </w:rPr>
        <w:t>：响应函</w:t>
      </w:r>
      <w:bookmarkEnd w:id="31"/>
    </w:p>
    <w:p w14:paraId="7F0166E4">
      <w:pPr>
        <w:snapToGrid w:val="0"/>
        <w:spacing w:before="240" w:beforeLines="100" w:after="240" w:afterLines="100"/>
        <w:ind w:left="210" w:leftChars="100" w:right="210" w:rightChars="100" w:firstLine="643"/>
        <w:jc w:val="center"/>
        <w:rPr>
          <w:rStyle w:val="116"/>
          <w:rFonts w:hint="eastAsia" w:ascii="宋体" w:hAnsi="宋体"/>
          <w:bCs w:val="0"/>
          <w:color w:val="000000" w:themeColor="text1"/>
          <w14:textFill>
            <w14:solidFill>
              <w14:schemeClr w14:val="tx1"/>
            </w14:solidFill>
          </w14:textFill>
        </w:rPr>
      </w:pPr>
      <w:r>
        <w:rPr>
          <w:rStyle w:val="116"/>
          <w:rFonts w:hint="eastAsia" w:ascii="宋体" w:hAnsi="宋体"/>
          <w:color w:val="000000" w:themeColor="text1"/>
          <w14:textFill>
            <w14:solidFill>
              <w14:schemeClr w14:val="tx1"/>
            </w14:solidFill>
          </w14:textFill>
        </w:rPr>
        <w:t>响应函</w:t>
      </w:r>
    </w:p>
    <w:p w14:paraId="73D53488">
      <w:pPr>
        <w:snapToGrid w:val="0"/>
        <w:spacing w:before="240" w:beforeLines="100" w:after="240" w:afterLines="100"/>
        <w:ind w:left="210" w:leftChars="100" w:right="210" w:rightChars="100" w:firstLine="420" w:firstLineChars="200"/>
        <w:rPr>
          <w:rFonts w:ascii="宋体"/>
          <w:color w:val="000000" w:themeColor="text1"/>
          <w:szCs w:val="21"/>
          <w14:textFill>
            <w14:solidFill>
              <w14:schemeClr w14:val="tx1"/>
            </w14:solidFill>
          </w14:textFill>
        </w:rPr>
      </w:pPr>
    </w:p>
    <w:p w14:paraId="554D4169">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江苏省广电有线信息网络股份有限公司：</w:t>
      </w:r>
    </w:p>
    <w:p w14:paraId="0FD34AAA">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（供应商全称）授权（全权代表姓名、职务、职称）为全权代表，参加贵方组织的（采购编号、项目名称）的有关活动，为此：</w:t>
      </w:r>
    </w:p>
    <w:p w14:paraId="37E4165A">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（1）提供供应商须知规定的全部响应文件（正本</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份，副本</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份、电子版</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w:t>
      </w:r>
    </w:p>
    <w:p w14:paraId="443A562F">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（2）提供按竞争性谈判文件要求的产品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服务的报价。（</w:t>
      </w:r>
      <w:r>
        <w:rPr>
          <w:rFonts w:hint="eastAsia" w:ascii="宋体" w:hAnsi="宋体"/>
          <w:color w:val="000000" w:themeColor="text1"/>
          <w:sz w:val="24"/>
          <w:u w:val="single"/>
          <w14:textFill>
            <w14:solidFill>
              <w14:schemeClr w14:val="tx1"/>
            </w14:solidFill>
          </w14:textFill>
        </w:rPr>
        <w:t>详见附件：报价表</w:t>
      </w:r>
      <w:r>
        <w:rPr>
          <w:rFonts w:hint="eastAsia" w:ascii="宋体" w:hAnsi="宋体"/>
          <w:color w:val="000000" w:themeColor="text1"/>
          <w:sz w:val="24"/>
          <w14:textFill>
            <w14:solidFill>
              <w14:schemeClr w14:val="tx1"/>
            </w14:solidFill>
          </w14:textFill>
        </w:rPr>
        <w:t>）。</w:t>
      </w:r>
    </w:p>
    <w:p w14:paraId="0D091A9A">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（3）供应商将按竞争性谈判文件的规定履行全部责任和义务。</w:t>
      </w:r>
    </w:p>
    <w:p w14:paraId="314E2B09">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（4）供应商已详细审查全部竞争性谈判文件，我们完全理解并同意放弃对竞争性谈判文件提出质疑及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或争议的权利。</w:t>
      </w:r>
    </w:p>
    <w:p w14:paraId="1ED5CEBD">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（5）本供应商递交响应文件的有效期为自递交响应文件截止日起</w:t>
      </w:r>
      <w:r>
        <w:rPr>
          <w:rFonts w:hint="eastAsia" w:ascii="宋体" w:hAnsi="宋体"/>
          <w:color w:val="000000" w:themeColor="text1"/>
          <w:sz w:val="24"/>
          <w:u w:val="single"/>
          <w14:textFill>
            <w14:solidFill>
              <w14:schemeClr w14:val="tx1"/>
            </w14:solidFill>
          </w14:textFill>
        </w:rPr>
        <w:t>90个</w:t>
      </w:r>
      <w:r>
        <w:rPr>
          <w:rFonts w:hint="eastAsia" w:ascii="宋体" w:hAnsi="宋体"/>
          <w:color w:val="000000" w:themeColor="text1"/>
          <w:sz w:val="24"/>
          <w14:textFill>
            <w14:solidFill>
              <w14:schemeClr w14:val="tx1"/>
            </w14:solidFill>
          </w14:textFill>
        </w:rPr>
        <w:t>日历日。</w:t>
      </w:r>
    </w:p>
    <w:p w14:paraId="0B68F3AB">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（6）如果在规定的递交响应文件截止时间后，供应商在谈判有效期内撤回响应文件，将取消供应商参与本项目资格。</w:t>
      </w:r>
    </w:p>
    <w:p w14:paraId="545893C7">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（7）愿意向贵方提供任何与该项响应文件有关的数据、情况和技术资料，完全理解贵方不一定接受最低价的响应文件或收到的任何响应文件。</w:t>
      </w:r>
    </w:p>
    <w:p w14:paraId="652A1D05">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1BA83FF4">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（9）我方在法律和财务上独立、合法运作并独立于采购人。</w:t>
      </w:r>
    </w:p>
    <w:p w14:paraId="20AA4624">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358FA82A">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）根据本项目要求，我单位委派（姓名）（身份证号）作为本项目的项目负责人。</w:t>
      </w:r>
    </w:p>
    <w:p w14:paraId="63332321">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）与本响应文件有关的一切往来通讯请寄：</w:t>
      </w:r>
    </w:p>
    <w:p w14:paraId="3BD79AF4">
      <w:pPr>
        <w:spacing w:line="360" w:lineRule="auto"/>
        <w:ind w:firstLine="480"/>
        <w:rPr>
          <w:rFonts w:hint="eastAsia" w:ascii="宋体" w:hAnsi="宋体"/>
          <w:color w:val="000000" w:themeColor="text1"/>
          <w:sz w:val="24"/>
          <w14:textFill>
            <w14:solidFill>
              <w14:schemeClr w14:val="tx1"/>
            </w14:solidFill>
          </w14:textFill>
        </w:rPr>
      </w:pPr>
    </w:p>
    <w:p w14:paraId="5960670B">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地址传真：</w:t>
      </w:r>
    </w:p>
    <w:p w14:paraId="625DFA1E">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电话电子函件：</w:t>
      </w:r>
    </w:p>
    <w:p w14:paraId="4A514B08">
      <w:pPr>
        <w:spacing w:line="360" w:lineRule="auto"/>
        <w:ind w:firstLine="480"/>
        <w:rPr>
          <w:rFonts w:hint="eastAsia" w:ascii="宋体" w:hAnsi="宋体"/>
          <w:color w:val="000000" w:themeColor="text1"/>
          <w:sz w:val="24"/>
          <w14:textFill>
            <w14:solidFill>
              <w14:schemeClr w14:val="tx1"/>
            </w14:solidFill>
          </w14:textFill>
        </w:rPr>
      </w:pPr>
    </w:p>
    <w:p w14:paraId="2BB84E98">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58ABEB25">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5668C0AF">
      <w:pPr>
        <w:spacing w:line="360" w:lineRule="auto"/>
        <w:ind w:firstLine="48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0BB4D60A">
      <w:pPr>
        <w:spacing w:after="240" w:line="360" w:lineRule="auto"/>
        <w:ind w:firstLine="420"/>
        <w:rPr>
          <w:color w:val="000000" w:themeColor="text1"/>
          <w14:textFill>
            <w14:solidFill>
              <w14:schemeClr w14:val="tx1"/>
            </w14:solidFill>
          </w14:textFill>
        </w:rPr>
      </w:pPr>
    </w:p>
    <w:p w14:paraId="3383F6A8">
      <w:pPr>
        <w:pStyle w:val="4"/>
        <w:spacing w:before="240" w:after="240"/>
        <w:ind w:firstLine="480"/>
        <w:rPr>
          <w:rStyle w:val="116"/>
          <w:rFonts w:hint="eastAsia" w:hAnsi="宋体"/>
          <w:b w:val="0"/>
          <w:bCs/>
          <w:sz w:val="24"/>
          <w:szCs w:val="24"/>
        </w:rPr>
      </w:pPr>
      <w:r>
        <w:br w:type="page"/>
      </w:r>
      <w:bookmarkStart w:id="32" w:name="_Toc6327"/>
      <w:r>
        <w:rPr>
          <w:rStyle w:val="116"/>
          <w:rFonts w:hint="eastAsia" w:hAnsi="宋体"/>
          <w:b w:val="0"/>
          <w:bCs w:val="0"/>
          <w:sz w:val="24"/>
          <w:szCs w:val="24"/>
        </w:rPr>
        <w:t>附件</w:t>
      </w:r>
      <w:r>
        <w:rPr>
          <w:rStyle w:val="116"/>
          <w:rFonts w:hAnsi="宋体"/>
          <w:b w:val="0"/>
          <w:bCs w:val="0"/>
          <w:sz w:val="24"/>
          <w:szCs w:val="24"/>
        </w:rPr>
        <w:t>2</w:t>
      </w:r>
      <w:r>
        <w:rPr>
          <w:rStyle w:val="116"/>
          <w:rFonts w:hint="eastAsia" w:hAnsi="宋体"/>
          <w:b w:val="0"/>
          <w:bCs w:val="0"/>
          <w:sz w:val="24"/>
          <w:szCs w:val="24"/>
        </w:rPr>
        <w:t>：制造商的授权函和承诺函</w:t>
      </w:r>
      <w:r>
        <w:rPr>
          <w:rStyle w:val="116"/>
          <w:rFonts w:hAnsi="宋体"/>
          <w:b w:val="0"/>
          <w:bCs w:val="0"/>
          <w:sz w:val="24"/>
          <w:szCs w:val="24"/>
        </w:rPr>
        <w:br w:type="page"/>
      </w:r>
      <w:bookmarkEnd w:id="32"/>
    </w:p>
    <w:p w14:paraId="689A4745">
      <w:pPr>
        <w:pStyle w:val="4"/>
        <w:spacing w:before="240" w:after="240"/>
        <w:ind w:firstLine="480"/>
        <w:rPr>
          <w:rStyle w:val="90"/>
          <w:rFonts w:hAnsi="Times New Roman" w:eastAsia="宋体"/>
          <w:bCs w:val="0"/>
        </w:rPr>
      </w:pPr>
      <w:bookmarkStart w:id="33" w:name="_Toc9756"/>
      <w:r>
        <w:rPr>
          <w:rStyle w:val="116"/>
          <w:rFonts w:hint="eastAsia" w:hAnsi="宋体"/>
          <w:b w:val="0"/>
          <w:bCs w:val="0"/>
          <w:sz w:val="24"/>
          <w:szCs w:val="24"/>
        </w:rPr>
        <w:t>附件</w:t>
      </w:r>
      <w:r>
        <w:rPr>
          <w:rStyle w:val="116"/>
          <w:rFonts w:hAnsi="宋体"/>
          <w:b w:val="0"/>
          <w:bCs w:val="0"/>
          <w:sz w:val="24"/>
          <w:szCs w:val="24"/>
        </w:rPr>
        <w:t>3</w:t>
      </w:r>
      <w:r>
        <w:rPr>
          <w:rStyle w:val="116"/>
          <w:rFonts w:hint="eastAsia" w:hAnsi="宋体"/>
          <w:b w:val="0"/>
          <w:bCs w:val="0"/>
          <w:sz w:val="24"/>
          <w:szCs w:val="24"/>
        </w:rPr>
        <w:t>：报价表</w:t>
      </w:r>
      <w:r>
        <w:rPr>
          <w:rStyle w:val="116"/>
          <w:rFonts w:hAnsi="宋体"/>
          <w:b w:val="0"/>
          <w:bCs w:val="0"/>
          <w:sz w:val="24"/>
          <w:szCs w:val="24"/>
        </w:rPr>
        <w:t>(</w:t>
      </w:r>
      <w:r>
        <w:rPr>
          <w:rStyle w:val="116"/>
          <w:rFonts w:hint="eastAsia" w:hAnsi="宋体"/>
          <w:b w:val="0"/>
          <w:bCs w:val="0"/>
          <w:sz w:val="24"/>
          <w:szCs w:val="24"/>
        </w:rPr>
        <w:t>格式</w:t>
      </w:r>
      <w:r>
        <w:rPr>
          <w:rStyle w:val="116"/>
          <w:rFonts w:hAnsi="宋体"/>
          <w:b w:val="0"/>
          <w:bCs w:val="0"/>
          <w:sz w:val="24"/>
          <w:szCs w:val="24"/>
        </w:rPr>
        <w:t>)</w:t>
      </w:r>
      <w:bookmarkEnd w:id="33"/>
    </w:p>
    <w:p w14:paraId="01AD23C5">
      <w:pPr>
        <w:spacing w:line="360" w:lineRule="auto"/>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江苏省广电有线信息网络股份有限公司GPU算力资源租用服务</w:t>
      </w:r>
    </w:p>
    <w:tbl>
      <w:tblPr>
        <w:tblStyle w:val="53"/>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818"/>
        <w:gridCol w:w="818"/>
        <w:gridCol w:w="3867"/>
        <w:gridCol w:w="1417"/>
        <w:gridCol w:w="1217"/>
      </w:tblGrid>
      <w:tr w14:paraId="1EFF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831" w:type="dxa"/>
            <w:vAlign w:val="center"/>
          </w:tcPr>
          <w:p w14:paraId="010CAB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设备名称</w:t>
            </w:r>
          </w:p>
        </w:tc>
        <w:tc>
          <w:tcPr>
            <w:tcW w:w="818" w:type="dxa"/>
            <w:shd w:val="clear" w:color="auto" w:fill="auto"/>
            <w:vAlign w:val="center"/>
          </w:tcPr>
          <w:p w14:paraId="4BA86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color w:val="000000" w:themeColor="text1"/>
                <w:kern w:val="2"/>
                <w:sz w:val="21"/>
                <w:szCs w:val="24"/>
                <w:lang w:val="en-US" w:eastAsia="zh-CN" w:bidi="ar-SA"/>
                <w14:textFill>
                  <w14:solidFill>
                    <w14:schemeClr w14:val="tx1"/>
                  </w14:solidFill>
                </w14:textFill>
              </w:rPr>
            </w:pPr>
            <w:r>
              <w:rPr>
                <w:b/>
                <w:color w:val="000000" w:themeColor="text1"/>
                <w14:textFill>
                  <w14:solidFill>
                    <w14:schemeClr w14:val="tx1"/>
                  </w14:solidFill>
                </w14:textFill>
              </w:rPr>
              <w:t>数量</w:t>
            </w:r>
          </w:p>
        </w:tc>
        <w:tc>
          <w:tcPr>
            <w:tcW w:w="818" w:type="dxa"/>
            <w:vAlign w:val="center"/>
          </w:tcPr>
          <w:p w14:paraId="5E2A2A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服务时间</w:t>
            </w:r>
          </w:p>
        </w:tc>
        <w:tc>
          <w:tcPr>
            <w:tcW w:w="3867" w:type="dxa"/>
            <w:vAlign w:val="center"/>
          </w:tcPr>
          <w:p w14:paraId="46239C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型号</w:t>
            </w:r>
            <w:r>
              <w:rPr>
                <w:b/>
                <w:color w:val="000000" w:themeColor="text1"/>
                <w14:textFill>
                  <w14:solidFill>
                    <w14:schemeClr w14:val="tx1"/>
                  </w14:solidFill>
                </w14:textFill>
              </w:rPr>
              <w:t>/配置</w:t>
            </w:r>
          </w:p>
        </w:tc>
        <w:tc>
          <w:tcPr>
            <w:tcW w:w="1417" w:type="dxa"/>
            <w:vAlign w:val="center"/>
          </w:tcPr>
          <w:p w14:paraId="5F476E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含税单价</w:t>
            </w:r>
          </w:p>
          <w:p w14:paraId="52685A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themeColor="text1"/>
                <w14:textFill>
                  <w14:solidFill>
                    <w14:schemeClr w14:val="tx1"/>
                  </w14:solidFill>
                </w14:textFill>
              </w:rPr>
            </w:pPr>
            <w:r>
              <w:rPr>
                <w:b/>
                <w:color w:val="000000" w:themeColor="text1"/>
                <w14:textFill>
                  <w14:solidFill>
                    <w14:schemeClr w14:val="tx1"/>
                  </w14:solidFill>
                </w14:textFill>
              </w:rPr>
              <w:t>（元</w:t>
            </w:r>
            <w:r>
              <w:rPr>
                <w:rFonts w:hint="eastAsia"/>
                <w:b/>
                <w:color w:val="000000" w:themeColor="text1"/>
                <w:lang w:val="en-US" w:eastAsia="zh-CN"/>
                <w14:textFill>
                  <w14:solidFill>
                    <w14:schemeClr w14:val="tx1"/>
                  </w14:solidFill>
                </w14:textFill>
              </w:rPr>
              <w:t>/台/月</w:t>
            </w:r>
            <w:r>
              <w:rPr>
                <w:b/>
                <w:color w:val="000000" w:themeColor="text1"/>
                <w14:textFill>
                  <w14:solidFill>
                    <w14:schemeClr w14:val="tx1"/>
                  </w14:solidFill>
                </w14:textFill>
              </w:rPr>
              <w:t>）</w:t>
            </w:r>
          </w:p>
        </w:tc>
        <w:tc>
          <w:tcPr>
            <w:tcW w:w="1217" w:type="dxa"/>
            <w:vAlign w:val="center"/>
          </w:tcPr>
          <w:p w14:paraId="2BDF4B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含税总价</w:t>
            </w:r>
          </w:p>
          <w:p w14:paraId="691328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themeColor="text1"/>
                <w14:textFill>
                  <w14:solidFill>
                    <w14:schemeClr w14:val="tx1"/>
                  </w14:solidFill>
                </w14:textFill>
              </w:rPr>
            </w:pPr>
            <w:r>
              <w:rPr>
                <w:b/>
                <w:color w:val="000000" w:themeColor="text1"/>
                <w14:textFill>
                  <w14:solidFill>
                    <w14:schemeClr w14:val="tx1"/>
                  </w14:solidFill>
                </w14:textFill>
              </w:rPr>
              <w:t>（元）</w:t>
            </w:r>
          </w:p>
        </w:tc>
      </w:tr>
      <w:tr w14:paraId="464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31" w:type="dxa"/>
            <w:vAlign w:val="center"/>
          </w:tcPr>
          <w:p w14:paraId="458240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GPU算力节点</w:t>
            </w:r>
          </w:p>
        </w:tc>
        <w:tc>
          <w:tcPr>
            <w:tcW w:w="818" w:type="dxa"/>
            <w:shd w:val="clear" w:color="auto" w:fill="auto"/>
            <w:vAlign w:val="center"/>
          </w:tcPr>
          <w:p w14:paraId="78B205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2台</w:t>
            </w:r>
          </w:p>
        </w:tc>
        <w:tc>
          <w:tcPr>
            <w:tcW w:w="818" w:type="dxa"/>
            <w:vAlign w:val="center"/>
          </w:tcPr>
          <w:p w14:paraId="30EB1B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2个月</w:t>
            </w:r>
          </w:p>
        </w:tc>
        <w:tc>
          <w:tcPr>
            <w:tcW w:w="3867" w:type="dxa"/>
            <w:vAlign w:val="center"/>
          </w:tcPr>
          <w:p w14:paraId="3A3D231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CPU：≥384vcpu（主频≥2.5GHz/睿频≥3.6GHz）；</w:t>
            </w:r>
          </w:p>
          <w:p w14:paraId="5676F5E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内存：DDR5 容量≥ 2TB；</w:t>
            </w:r>
          </w:p>
          <w:p w14:paraId="2CC477A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VPC网络带宽：支持100Gbps；</w:t>
            </w:r>
          </w:p>
          <w:p w14:paraId="082E5E1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支持RDMA网络：节点间通信带宽≥3.2Tbps；</w:t>
            </w:r>
          </w:p>
          <w:p w14:paraId="75DC62D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支持NVLink：单机卡间通信支持NVLink，通信带宽≥900GB/s；</w:t>
            </w:r>
          </w:p>
          <w:p w14:paraId="22C8745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单节点GPU卡数：≥8卡;</w:t>
            </w:r>
          </w:p>
          <w:p w14:paraId="7F24549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单GPU卡算力：FP16≥148TFlops，BF16≥148TFlops，FP8≥296TFlops；</w:t>
            </w:r>
          </w:p>
          <w:p w14:paraId="64B8369A">
            <w:pPr>
              <w:pStyle w:val="14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显存：≥96GB HBM3</w:t>
            </w:r>
          </w:p>
          <w:p w14:paraId="48CB1CDD">
            <w:pPr>
              <w:pStyle w:val="14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磁盘：≥NVMe-5T*4</w:t>
            </w:r>
          </w:p>
        </w:tc>
        <w:tc>
          <w:tcPr>
            <w:tcW w:w="1417" w:type="dxa"/>
            <w:vAlign w:val="center"/>
          </w:tcPr>
          <w:p w14:paraId="331F178A">
            <w:pPr>
              <w:pStyle w:val="14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217" w:type="dxa"/>
            <w:vAlign w:val="center"/>
          </w:tcPr>
          <w:p w14:paraId="2C9E0C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14:textFill>
                  <w14:solidFill>
                    <w14:schemeClr w14:val="tx1"/>
                  </w14:solidFill>
                </w14:textFill>
              </w:rPr>
            </w:pPr>
          </w:p>
        </w:tc>
      </w:tr>
      <w:tr w14:paraId="7639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1EBC56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交货期</w:t>
            </w:r>
          </w:p>
        </w:tc>
        <w:tc>
          <w:tcPr>
            <w:tcW w:w="8137" w:type="dxa"/>
            <w:gridSpan w:val="5"/>
            <w:vAlign w:val="center"/>
          </w:tcPr>
          <w:p w14:paraId="3A5BFE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_____</w:t>
            </w:r>
            <w:r>
              <w:rPr>
                <w:rFonts w:hint="eastAsia"/>
                <w:color w:val="000000" w:themeColor="text1"/>
                <w:u w:val="none"/>
                <w14:textFill>
                  <w14:solidFill>
                    <w14:schemeClr w14:val="tx1"/>
                  </w14:solidFill>
                </w14:textFill>
              </w:rPr>
              <w:t>天</w:t>
            </w:r>
          </w:p>
        </w:tc>
      </w:tr>
      <w:tr w14:paraId="5EE7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155A88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交货地点</w:t>
            </w:r>
          </w:p>
        </w:tc>
        <w:tc>
          <w:tcPr>
            <w:tcW w:w="8137" w:type="dxa"/>
            <w:gridSpan w:val="5"/>
            <w:vAlign w:val="center"/>
          </w:tcPr>
          <w:p w14:paraId="4D44AE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人指定地点</w:t>
            </w:r>
          </w:p>
        </w:tc>
      </w:tr>
      <w:tr w14:paraId="7B81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831" w:type="dxa"/>
            <w:vAlign w:val="center"/>
          </w:tcPr>
          <w:p w14:paraId="7B81B1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服务内容</w:t>
            </w:r>
          </w:p>
        </w:tc>
        <w:tc>
          <w:tcPr>
            <w:tcW w:w="8137" w:type="dxa"/>
            <w:gridSpan w:val="5"/>
            <w:vAlign w:val="center"/>
          </w:tcPr>
          <w:p w14:paraId="20A52B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themeColor="text1"/>
                <w14:textFill>
                  <w14:solidFill>
                    <w14:schemeClr w14:val="tx1"/>
                  </w14:solidFill>
                </w14:textFill>
              </w:rPr>
            </w:pPr>
            <w:r>
              <w:rPr>
                <w:color w:val="000000" w:themeColor="text1"/>
                <w14:textFill>
                  <w14:solidFill>
                    <w14:schemeClr w14:val="tx1"/>
                  </w14:solidFill>
                </w14:textFill>
              </w:rPr>
              <w:t>招标文件第五章《技术</w:t>
            </w:r>
            <w:r>
              <w:rPr>
                <w:rFonts w:hint="eastAsia"/>
                <w:color w:val="000000" w:themeColor="text1"/>
                <w14:textFill>
                  <w14:solidFill>
                    <w14:schemeClr w14:val="tx1"/>
                  </w14:solidFill>
                </w14:textFill>
              </w:rPr>
              <w:t>需求书</w:t>
            </w:r>
            <w:r>
              <w:rPr>
                <w:color w:val="000000" w:themeColor="text1"/>
                <w14:textFill>
                  <w14:solidFill>
                    <w14:schemeClr w14:val="tx1"/>
                  </w14:solidFill>
                </w14:textFill>
              </w:rPr>
              <w:t>》中所有要求的内容</w:t>
            </w:r>
          </w:p>
        </w:tc>
      </w:tr>
      <w:tr w14:paraId="4EAA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1" w:type="dxa"/>
            <w:vAlign w:val="center"/>
          </w:tcPr>
          <w:p w14:paraId="04960C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u w:val="single"/>
                <w14:textFill>
                  <w14:solidFill>
                    <w14:schemeClr w14:val="tx1"/>
                  </w14:solidFill>
                </w14:textFill>
              </w:rPr>
            </w:pPr>
            <w:r>
              <w:rPr>
                <w:color w:val="000000" w:themeColor="text1"/>
                <w14:textFill>
                  <w14:solidFill>
                    <w14:schemeClr w14:val="tx1"/>
                  </w14:solidFill>
                </w14:textFill>
              </w:rPr>
              <w:t>备注</w:t>
            </w:r>
          </w:p>
        </w:tc>
        <w:tc>
          <w:tcPr>
            <w:tcW w:w="8137" w:type="dxa"/>
            <w:gridSpan w:val="5"/>
            <w:vAlign w:val="center"/>
          </w:tcPr>
          <w:p w14:paraId="0205FDC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themeColor="text1"/>
                <w14:textFill>
                  <w14:solidFill>
                    <w14:schemeClr w14:val="tx1"/>
                  </w14:solidFill>
                </w14:textFill>
              </w:rPr>
            </w:pPr>
          </w:p>
        </w:tc>
      </w:tr>
    </w:tbl>
    <w:p w14:paraId="41B6C250">
      <w:pPr>
        <w:snapToGrid w:val="0"/>
        <w:spacing w:line="360" w:lineRule="auto"/>
        <w:ind w:firstLine="420"/>
        <w:rPr>
          <w:color w:val="000000" w:themeColor="text1"/>
          <w14:textFill>
            <w14:solidFill>
              <w14:schemeClr w14:val="tx1"/>
            </w14:solidFill>
          </w14:textFill>
        </w:rPr>
      </w:pPr>
    </w:p>
    <w:p w14:paraId="0093BAD6">
      <w:pPr>
        <w:snapToGrid w:val="0"/>
        <w:spacing w:line="360" w:lineRule="auto"/>
        <w:ind w:firstLine="42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须按照</w:t>
      </w:r>
      <w:r>
        <w:rPr>
          <w:rFonts w:hint="eastAsia"/>
          <w:color w:val="000000" w:themeColor="text1"/>
          <w:szCs w:val="21"/>
          <w14:textFill>
            <w14:solidFill>
              <w14:schemeClr w14:val="tx1"/>
            </w14:solidFill>
          </w14:textFill>
        </w:rPr>
        <w:t>竞争性谈判文件</w:t>
      </w:r>
      <w:r>
        <w:rPr>
          <w:color w:val="000000" w:themeColor="text1"/>
          <w:szCs w:val="21"/>
          <w14:textFill>
            <w14:solidFill>
              <w14:schemeClr w14:val="tx1"/>
            </w14:solidFill>
          </w14:textFill>
        </w:rPr>
        <w:t>要求，提供货到用户指定现场并提供全部服务的含税</w:t>
      </w:r>
      <w:r>
        <w:rPr>
          <w:rFonts w:hint="eastAsia"/>
          <w:color w:val="000000" w:themeColor="text1"/>
          <w:szCs w:val="21"/>
          <w14:textFill>
            <w14:solidFill>
              <w14:schemeClr w14:val="tx1"/>
            </w14:solidFill>
          </w14:textFill>
        </w:rPr>
        <w:t>价。</w:t>
      </w:r>
    </w:p>
    <w:p w14:paraId="3E735605">
      <w:pPr>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2.报价时请仔细阅读竞争性谈判文件《竞争性谈判须知》中关于报价的要求。</w:t>
      </w:r>
    </w:p>
    <w:p w14:paraId="69B7D315">
      <w:pPr>
        <w:snapToGrid w:val="0"/>
        <w:spacing w:after="24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3.供应商应按照竞争性谈判文件中要求提供的服务内容报价。未在表中明确列出的服务项，采购人将视作供应商免费提供。</w:t>
      </w:r>
    </w:p>
    <w:p w14:paraId="4C29CD0E">
      <w:pPr>
        <w:snapToGrid w:val="0"/>
        <w:spacing w:before="240" w:beforeLines="100" w:after="240" w:afterLines="100"/>
        <w:ind w:left="210" w:leftChars="100" w:right="210" w:rightChars="1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14:paraId="7AAC78A9">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r>
        <w:rPr>
          <w:rFonts w:ascii="宋体" w:hAnsi="宋体"/>
          <w:color w:val="000000" w:themeColor="text1"/>
          <w:szCs w:val="21"/>
          <w:u w:val="single"/>
          <w14:textFill>
            <w14:solidFill>
              <w14:schemeClr w14:val="tx1"/>
            </w14:solidFill>
          </w14:textFill>
        </w:rPr>
        <w:t>：</w:t>
      </w:r>
    </w:p>
    <w:p w14:paraId="459DDEC9">
      <w:pPr>
        <w:spacing w:after="240"/>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14:paraId="65BD0EEF">
      <w:pPr>
        <w:pStyle w:val="48"/>
        <w:ind w:left="0" w:leftChars="0" w:firstLine="0" w:firstLineChars="0"/>
        <w:rPr>
          <w:rFonts w:hint="eastAsia"/>
        </w:rPr>
      </w:pPr>
    </w:p>
    <w:p w14:paraId="20F2D8B8">
      <w:pPr>
        <w:pStyle w:val="4"/>
        <w:spacing w:before="240" w:after="240"/>
        <w:ind w:firstLine="480"/>
        <w:rPr>
          <w:rFonts w:hint="eastAsia"/>
          <w:u w:val="single"/>
        </w:rPr>
      </w:pPr>
      <w:r>
        <w:rPr>
          <w:rFonts w:hint="eastAsia"/>
        </w:rPr>
        <w:br w:type="page"/>
      </w:r>
      <w:bookmarkStart w:id="34" w:name="_Toc6737"/>
      <w:r>
        <w:rPr>
          <w:rStyle w:val="116"/>
          <w:rFonts w:hint="eastAsia" w:hAnsi="宋体"/>
          <w:b w:val="0"/>
          <w:bCs w:val="0"/>
          <w:sz w:val="24"/>
          <w:szCs w:val="24"/>
        </w:rPr>
        <w:t>附件</w:t>
      </w:r>
      <w:r>
        <w:rPr>
          <w:rStyle w:val="116"/>
          <w:rFonts w:hAnsi="宋体"/>
          <w:b w:val="0"/>
          <w:bCs w:val="0"/>
          <w:sz w:val="24"/>
          <w:szCs w:val="24"/>
        </w:rPr>
        <w:t>4</w:t>
      </w:r>
      <w:r>
        <w:rPr>
          <w:rStyle w:val="116"/>
          <w:rFonts w:hint="eastAsia" w:hAnsi="宋体"/>
          <w:b w:val="0"/>
          <w:bCs w:val="0"/>
          <w:sz w:val="24"/>
          <w:szCs w:val="24"/>
        </w:rPr>
        <w:t>：商务条款偏离表</w:t>
      </w:r>
      <w:bookmarkEnd w:id="34"/>
    </w:p>
    <w:p w14:paraId="1F70C1EB">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845"/>
        <w:gridCol w:w="2307"/>
        <w:gridCol w:w="2082"/>
        <w:gridCol w:w="1632"/>
      </w:tblGrid>
      <w:tr w14:paraId="24F64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Borders>
              <w:top w:val="single" w:color="auto" w:sz="12" w:space="0"/>
            </w:tcBorders>
          </w:tcPr>
          <w:p w14:paraId="43CC1B41">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42" w:type="pct"/>
            <w:tcBorders>
              <w:top w:val="single" w:color="auto" w:sz="12" w:space="0"/>
            </w:tcBorders>
          </w:tcPr>
          <w:p w14:paraId="083E6003">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竞争性谈判文件条目号</w:t>
            </w:r>
          </w:p>
        </w:tc>
        <w:tc>
          <w:tcPr>
            <w:tcW w:w="1303" w:type="pct"/>
            <w:tcBorders>
              <w:top w:val="single" w:color="auto" w:sz="12" w:space="0"/>
            </w:tcBorders>
          </w:tcPr>
          <w:p w14:paraId="5BF60CEF">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竞争性谈判文件的商务条款</w:t>
            </w:r>
          </w:p>
        </w:tc>
        <w:tc>
          <w:tcPr>
            <w:tcW w:w="1176" w:type="pct"/>
            <w:tcBorders>
              <w:top w:val="single" w:color="auto" w:sz="12" w:space="0"/>
            </w:tcBorders>
          </w:tcPr>
          <w:p w14:paraId="095B0F5C">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响应文件的商务条款</w:t>
            </w:r>
          </w:p>
        </w:tc>
        <w:tc>
          <w:tcPr>
            <w:tcW w:w="923" w:type="pct"/>
            <w:tcBorders>
              <w:top w:val="single" w:color="auto" w:sz="12" w:space="0"/>
            </w:tcBorders>
          </w:tcPr>
          <w:p w14:paraId="0568EA6F">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6BA85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16DB847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7E74BC4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5F684988">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3ED9E0EA">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47964A2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24531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3484CD3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65C2680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6E1D268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6F5C41B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4152E61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7E61F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222D247B">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38DD427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1B4AFF5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27332E2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717DB3A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0D0E6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104E11B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1E099B8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71A056EB">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2F335D26">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6089444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01182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7D4AA74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33FF7E9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6BA9661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5CBF43E5">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309C8E9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bl>
    <w:p w14:paraId="16E40ACA">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14:paraId="457EA7D3">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14:paraId="26F910B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如供应商无任何偏离，也需在响应表中注明并在响应文件中递交此表。</w:t>
      </w:r>
    </w:p>
    <w:p w14:paraId="3C035AE1">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14:paraId="67C24320">
      <w:pPr>
        <w:widowControl/>
        <w:spacing w:after="240"/>
        <w:ind w:firstLine="480"/>
        <w:jc w:val="left"/>
        <w:rPr>
          <w:rStyle w:val="116"/>
          <w:rFonts w:hint="eastAsia" w:hAnsi="宋体"/>
          <w:b w:val="0"/>
          <w:bCs w:val="0"/>
          <w:color w:val="000000" w:themeColor="text1"/>
          <w:sz w:val="24"/>
          <w14:textFill>
            <w14:solidFill>
              <w14:schemeClr w14:val="tx1"/>
            </w14:solidFill>
          </w14:textFill>
        </w:rPr>
      </w:pPr>
      <w:r>
        <w:rPr>
          <w:rStyle w:val="116"/>
          <w:rFonts w:hAnsi="宋体"/>
          <w:b w:val="0"/>
          <w:color w:val="000000" w:themeColor="text1"/>
          <w:sz w:val="24"/>
          <w14:textFill>
            <w14:solidFill>
              <w14:schemeClr w14:val="tx1"/>
            </w14:solidFill>
          </w14:textFill>
        </w:rPr>
        <w:br w:type="page"/>
      </w:r>
    </w:p>
    <w:p w14:paraId="22961737">
      <w:pPr>
        <w:topLinePunct/>
        <w:spacing w:line="360" w:lineRule="auto"/>
        <w:ind w:firstLine="480"/>
        <w:outlineLvl w:val="1"/>
        <w:rPr>
          <w:rStyle w:val="116"/>
          <w:rFonts w:hint="eastAsia" w:hAnsi="宋体"/>
          <w:b w:val="0"/>
          <w:bCs w:val="0"/>
          <w:color w:val="000000" w:themeColor="text1"/>
          <w:sz w:val="24"/>
          <w14:textFill>
            <w14:solidFill>
              <w14:schemeClr w14:val="tx1"/>
            </w14:solidFill>
          </w14:textFill>
        </w:rPr>
      </w:pPr>
      <w:bookmarkStart w:id="35" w:name="_Toc22836"/>
      <w:r>
        <w:rPr>
          <w:rStyle w:val="116"/>
          <w:rFonts w:hint="eastAsia" w:hAnsi="宋体"/>
          <w:b w:val="0"/>
          <w:bCs w:val="0"/>
          <w:color w:val="000000" w:themeColor="text1"/>
          <w:sz w:val="24"/>
          <w14:textFill>
            <w14:solidFill>
              <w14:schemeClr w14:val="tx1"/>
            </w14:solidFill>
          </w14:textFill>
        </w:rPr>
        <w:t>附件</w:t>
      </w:r>
      <w:r>
        <w:rPr>
          <w:rStyle w:val="116"/>
          <w:rFonts w:hAnsi="宋体"/>
          <w:b w:val="0"/>
          <w:bCs w:val="0"/>
          <w:color w:val="000000" w:themeColor="text1"/>
          <w:sz w:val="24"/>
          <w14:textFill>
            <w14:solidFill>
              <w14:schemeClr w14:val="tx1"/>
            </w14:solidFill>
          </w14:textFill>
        </w:rPr>
        <w:t>5</w:t>
      </w:r>
      <w:r>
        <w:rPr>
          <w:rStyle w:val="116"/>
          <w:rFonts w:hint="eastAsia" w:hAnsi="宋体"/>
          <w:b w:val="0"/>
          <w:bCs w:val="0"/>
          <w:color w:val="000000" w:themeColor="text1"/>
          <w:sz w:val="24"/>
          <w14:textFill>
            <w14:solidFill>
              <w14:schemeClr w14:val="tx1"/>
            </w14:solidFill>
          </w14:textFill>
        </w:rPr>
        <w:t>：法定代表人身份证明及授权委托书</w:t>
      </w:r>
      <w:bookmarkEnd w:id="35"/>
    </w:p>
    <w:p w14:paraId="730564BB">
      <w:pPr>
        <w:topLinePunct/>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 xml:space="preserve"> （供应商名称）</w:t>
      </w:r>
      <w:r>
        <w:rPr>
          <w:rFonts w:hint="eastAsia" w:ascii="宋体" w:hAnsi="宋体" w:cs="宋体"/>
          <w:color w:val="000000" w:themeColor="text1"/>
          <w:szCs w:val="21"/>
          <w14:textFill>
            <w14:solidFill>
              <w14:schemeClr w14:val="tx1"/>
            </w14:solidFill>
          </w14:textFill>
        </w:rPr>
        <w:t>的法定代表人，现委托</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为我方授权代表。授权代表根据授权，以我方名义全权处理</w:t>
      </w:r>
      <w:r>
        <w:rPr>
          <w:rFonts w:hint="eastAsia" w:ascii="宋体" w:hAnsi="宋体" w:cs="宋体"/>
          <w:color w:val="000000" w:themeColor="text1"/>
          <w:szCs w:val="21"/>
          <w:u w:val="single"/>
          <w14:textFill>
            <w14:solidFill>
              <w14:schemeClr w14:val="tx1"/>
            </w14:solidFill>
          </w14:textFill>
        </w:rPr>
        <w:t xml:space="preserve">            项目</w:t>
      </w:r>
      <w:r>
        <w:rPr>
          <w:rFonts w:hint="eastAsia" w:ascii="宋体" w:hAnsi="宋体" w:cs="宋体"/>
          <w:color w:val="000000" w:themeColor="text1"/>
          <w:szCs w:val="21"/>
          <w14:textFill>
            <w14:solidFill>
              <w14:schemeClr w14:val="tx1"/>
            </w14:solidFill>
          </w14:textFill>
        </w:rPr>
        <w:t>（签署、澄清、说明、补正、递交、撤回、修改响应文件、参与谈判、签订合同和处理一切有关事宜），其法律后果由我方承担。</w:t>
      </w:r>
    </w:p>
    <w:p w14:paraId="30F64C4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p>
    <w:p w14:paraId="73D8FA7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授权代表无转委托权。</w:t>
      </w:r>
    </w:p>
    <w:p w14:paraId="660D635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附：法定代表人和授权代表身份证复印件(需同时提供正面及背面)</w:t>
      </w:r>
    </w:p>
    <w:p w14:paraId="2AA834B4">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0" t="0" r="0" b="635"/>
                <wp:wrapNone/>
                <wp:docPr id="7"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4B42D11">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DJBBAVlAgAArwQAAA4AAABkcnMvZTJvRG9jLnhtbK1U&#10;zW7UMBC+I/EOlu80m21Du1GzVdWqCKnASoUH8DrOxsLxmLF3s+UEpwpx4AF4AW6cuMLTlJ+3YOKk&#10;ZVs49EAOlsdjf/PNNzPZP1g3hq0Ueg224OnWiDNlJZTaLgr+4vnJgz3OfBC2FAasKvi58vxgev/e&#10;futyNYYaTKmQEYj1eesKXofg8iTxslaN8FvglCVnBdiIQCYukhJFS+iNScaj0cOkBSwdglTe0+lx&#10;7+QDIt4FEKpKS3UMctkoG3pUVEYESsnX2nk+jWyrSsnwrKq8CswUnDINcaUgtJ93azLdF/kChau1&#10;HCiIu1C4lVMjtKWg11DHIgi2RP0XVKMlgocqbElokj6RqAhlkY5uaXNWC6diLiS1d9ei+/8HK5+u&#10;Zsh0WfBdzqxoqODfv7z98en95cevObv88PnXm3c/v13QAdvuxGqdz+nNmZthl653pyBfembhqBZ2&#10;oQ4Roa2VKIli2t1PbjzoDE9P2bx9AiXFEssAUbd1hU0HSIqwdSzP+XV51DowSYfb48lulmWcSfKN&#10;03R7kmYxhsivnjv04ZGChnWbglcGWiKG4dAEhVYENesbL8YUq1MfOo4iv3oXcwKjyxNtTDRwMT8y&#10;yFaCGugkfkNIv3nNWNYWfJKNs4h8w+c3IUbx+xdEo4kiM7op+N7mJWM7Hir28sD3Ssa+HGE9Xw+V&#10;mUN5Tuoi9H1OU06bGvA1Zy31eMH9q6VAxZl5bKlCk3RnpxuKaOxku2MycNMz3/QIKwmq4IGzfnsU&#10;+kFaOtSLmiKlMXkLh1TVSkdpO6o9q6EXqI+j4sPMdYOyacdbf/4z0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MkEEBWUCAACvBAAADgAAAAAAAAABACAAAAAoAQAAZHJzL2Uyb0RvYy54bWxQ&#10;SwUGAAAAAAYABgBZAQAA/wUAAAAA&#10;">
                <v:fill on="t" focussize="0,0"/>
                <v:stroke color="#000000" miterlimit="8" joinstyle="miter"/>
                <v:imagedata o:title=""/>
                <o:lock v:ext="edit" aspectratio="f"/>
                <v:textbox>
                  <w:txbxContent>
                    <w:p w14:paraId="74B42D11">
                      <w:pPr>
                        <w:ind w:firstLine="420"/>
                        <w:jc w:val="center"/>
                        <w:rPr>
                          <w:szCs w:val="21"/>
                        </w:rPr>
                      </w:pPr>
                      <w:r>
                        <w:rPr>
                          <w:rFonts w:hint="eastAsia"/>
                          <w:szCs w:val="21"/>
                        </w:rPr>
                        <w:t>法定代表人身份证正面复印件</w:t>
                      </w:r>
                    </w:p>
                  </w:txbxContent>
                </v:textbox>
              </v:shape>
            </w:pict>
          </mc:Fallback>
        </mc:AlternateContent>
      </w: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0" t="0" r="0" b="635"/>
                <wp:wrapNone/>
                <wp:docPr id="1"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528DAC1">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MOVvVWQ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6oEzizoqWCf/v8+vvHd5cfvhTs8v2nn6/e/vj6hg5Y1ovVOV/Qm3N3hn263p2CfO6ZhaNG2IU6&#10;RISuUaIiiml/P7nxoDc8PWXz7hFUFEssA0Td1jW2PSApwtaxPBfX5VHrwCQdbmfT3TzPOZPky9J0&#10;e5rmMYYorp479OGBgpb1m5LXBjoihuHQBIVWBHU2NF6MKVanPvQcRXH1LuYERlcn2pho4GJ+ZJCt&#10;BDXQSfzGkH7zmrGsK/k0z/KIfMPnNyEm8fsXRKuJIjO6Lfne5iVjex4q9vLI90rGoRxhPV+PlZlD&#10;dUHqIgx9TlNOmwbwJWcd9XjJ/YulQMWZeWipQtN0Z6cfimjs5LsZGbjpmW96hJUEVfLA2bA9CsMg&#10;LR3qRUOR0pi8hUOqaq2jtD3VgdXYC9THUfFx5vpB2bTjrd//md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s3HJdgAAAAKAQAADwAAAAAAAAABACAAAAAiAAAAZHJzL2Rvd25yZXYueG1sUEsBAhQA&#10;FAAAAAgAh07iQDDlb1VkAgAArwQAAA4AAAAAAAAAAQAgAAAAJwEAAGRycy9lMm9Eb2MueG1sUEsF&#10;BgAAAAAGAAYAWQEAAP0FAAAAAA==&#10;">
                <v:fill on="t" focussize="0,0"/>
                <v:stroke color="#000000" miterlimit="8" joinstyle="miter"/>
                <v:imagedata o:title=""/>
                <o:lock v:ext="edit" aspectratio="f"/>
                <v:textbox>
                  <w:txbxContent>
                    <w:p w14:paraId="7528DAC1">
                      <w:pPr>
                        <w:ind w:firstLine="420"/>
                        <w:jc w:val="center"/>
                        <w:rPr>
                          <w:szCs w:val="21"/>
                        </w:rPr>
                      </w:pPr>
                      <w:r>
                        <w:rPr>
                          <w:rFonts w:hint="eastAsia"/>
                          <w:szCs w:val="21"/>
                        </w:rPr>
                        <w:t>法定代表人身份证背面复印件</w:t>
                      </w:r>
                    </w:p>
                  </w:txbxContent>
                </v:textbox>
              </v:shape>
            </w:pict>
          </mc:Fallback>
        </mc:AlternateContent>
      </w:r>
    </w:p>
    <w:p w14:paraId="11FAB728">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p>
    <w:p w14:paraId="5A51443C">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p>
    <w:p w14:paraId="7AB38F4E">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p>
    <w:p w14:paraId="558D978C">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p>
    <w:p w14:paraId="33FBCB93">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0" t="0" r="0" b="63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A47AA73">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w7uwjWQ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nFmRUsF//b59feP7y4/fCnY5ftPP1+9/fH1DR2wrBerc76gN+fuDPt0vTsF+dwzC0eNsAt1&#10;iAhdo0RFFNP+fnLjQW94esrm3SOoKJZYBoi6rWtse0BShK1jeS6uy6PWgUk63M6mu3mecybJl6Xp&#10;9jTNYwxRXD136MMDBS3rNyWvDXREDMOhCQqtCOpsaLwYU6xOfeg5iuLqXcwJjK5OtDHRwMX8yCBb&#10;CWqgk/iNIf3mNWNZV/JpnuUR+YbPb0JM4vcviFYTRWZ0W/K9zUvG9jxU7OWR75WMQznCer4eKzOH&#10;6oLURRj6nKacNg3gS8466vGS+xdLgYoz89BShabpzk4/FNHYyXczMnDTM9/0CCsJquSBs2F7FIZB&#10;WjrUi4YipTF5C4dU1VpHaXuqA6uxF6iPo+LjzPWDsmnHW7//M7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RNy9gAAAAKAQAADwAAAAAAAAABACAAAAAiAAAAZHJzL2Rvd25yZXYueG1sUEsBAhQA&#10;FAAAAAgAh07iQMO7sI1kAgAArwQAAA4AAAAAAAAAAQAgAAAAJwEAAGRycy9lMm9Eb2MueG1sUEsF&#10;BgAAAAAGAAYAWQEAAP0FAAAAAA==&#10;">
                <v:fill on="t" focussize="0,0"/>
                <v:stroke color="#000000" miterlimit="8" joinstyle="miter"/>
                <v:imagedata o:title=""/>
                <o:lock v:ext="edit" aspectratio="f"/>
                <v:textbox>
                  <w:txbxContent>
                    <w:p w14:paraId="7A47AA73">
                      <w:pPr>
                        <w:ind w:firstLine="420"/>
                        <w:jc w:val="center"/>
                        <w:rPr>
                          <w:szCs w:val="21"/>
                        </w:rPr>
                      </w:pPr>
                      <w:r>
                        <w:rPr>
                          <w:rFonts w:hint="eastAsia"/>
                          <w:szCs w:val="21"/>
                        </w:rPr>
                        <w:t>授权代表身份证背面复印件</w:t>
                      </w:r>
                    </w:p>
                  </w:txbxContent>
                </v:textbox>
              </v:shape>
            </w:pict>
          </mc:Fallback>
        </mc:AlternateContent>
      </w: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0" t="0" r="0" b="635"/>
                <wp:wrapNone/>
                <wp:docPr id="3"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02F951B">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B9URaKZQIAAK8EAAAOAAAAZHJzL2Uyb0RvYy54bWyt&#10;VM1u1DAQviPxDpbvNJttQ7tRs1XVqgipQKXCA3gdZ2Nhe8zYu9lyghNCHHgAXoAbJ67wNOXnLZg4&#10;27IFDj2Qg+XxeL755ptx9g9W1rClwqDBVTzfGnGmnIRau3nFnz09ubfHWYjC1cKAUxW/UIEfTO/e&#10;2e98qcbQgqkVMgJxoex8xdsYfZllQbbKirAFXjlyNoBWRDJxntUoOkK3JhuPRvezDrD2CFKFQKfH&#10;g5OvEfE2gNA0WqpjkAurXBxQURkRqaTQah/4NLFtGiXjk6YJKjJTcao0ppWS0H7Wr9l0X5RzFL7V&#10;ck1B3IbCHzVZoR0lvYY6FlGwBeq/oKyWCAGauCXBZkMhSRGqIh/9oc15K7xKtZDUwV+LHv4frHy8&#10;PEOm64pvc+aEpYZ/+/z6+8d3lx++lOzy/aefr97++PqGDljei9X5UFLMuT/DvtzgT0E+D8zBUSvc&#10;XB0iQtcqURPFdD+7EdAbgULZrHsENeUSiwhJt1WDtgckRdgqtefiuj1qFZmkw+3xZLcoCs4k+cZ5&#10;vj3Ji55TJsqrcI8hPlBgWb+peGOgI2IYD01U6ERUZ8PgpZxieRriEH8Vl2oCo+sTbUwycD47MsiW&#10;ggboJH3rlGHzmnGsq/ikGBcJ+YYvbEKM0vcvCKuJIjPaVnxv85JxPQ+VZnnN90rGoR1xNVutOzOD&#10;+oLURRjmnF45bVrAl5x1NOMVDy8WAhVn5qGjDk3ynZ3+USRjp9gdk4GbntmmRzhJUBWPnA3bozg8&#10;pIVHPW8pU56Kd3BIXW10kranOrCiPvUGzXHq2PrN9Q9l0063fv9np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H1RFoplAgAArwQAAA4AAAAAAAAAAQAgAAAAKQEAAGRycy9lMm9Eb2MueG1s&#10;UEsFBgAAAAAGAAYAWQEAAAAGAAAAAA==&#10;">
                <v:fill on="t" focussize="0,0"/>
                <v:stroke color="#000000" miterlimit="8" joinstyle="miter"/>
                <v:imagedata o:title=""/>
                <o:lock v:ext="edit" aspectratio="f"/>
                <v:textbox>
                  <w:txbxContent>
                    <w:p w14:paraId="302F951B">
                      <w:pPr>
                        <w:ind w:firstLine="420"/>
                        <w:jc w:val="center"/>
                        <w:rPr>
                          <w:szCs w:val="21"/>
                        </w:rPr>
                      </w:pPr>
                      <w:r>
                        <w:rPr>
                          <w:rFonts w:hint="eastAsia"/>
                          <w:szCs w:val="21"/>
                        </w:rPr>
                        <w:t>授权代表身份证正面复印件</w:t>
                      </w:r>
                    </w:p>
                  </w:txbxContent>
                </v:textbox>
              </v:shape>
            </w:pict>
          </mc:Fallback>
        </mc:AlternateContent>
      </w:r>
    </w:p>
    <w:p w14:paraId="5DBD8797">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p>
    <w:p w14:paraId="4B0786BE">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p>
    <w:p w14:paraId="7AC90D86">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p>
    <w:p w14:paraId="0E18BA1B">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p>
    <w:p w14:paraId="65A84AFD">
      <w:pPr>
        <w:spacing w:after="240" w:line="360" w:lineRule="auto"/>
        <w:ind w:firstLine="420" w:firstLineChars="200"/>
        <w:rPr>
          <w:rFonts w:hint="eastAsia" w:ascii="宋体" w:hAnsi="宋体" w:cs="宋体"/>
          <w:color w:val="000000" w:themeColor="text1"/>
          <w:szCs w:val="21"/>
          <w14:textFill>
            <w14:solidFill>
              <w14:schemeClr w14:val="tx1"/>
            </w14:solidFill>
          </w14:textFill>
        </w:rPr>
      </w:pPr>
    </w:p>
    <w:p w14:paraId="0451BA0F">
      <w:pPr>
        <w:spacing w:line="360" w:lineRule="auto"/>
        <w:ind w:right="210"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供应商名称：（盖单位公章）</w:t>
      </w:r>
    </w:p>
    <w:p w14:paraId="4E5B8560">
      <w:pPr>
        <w:spacing w:line="360" w:lineRule="auto"/>
        <w:ind w:right="210"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法定代表人：（签字或盖章）</w:t>
      </w:r>
    </w:p>
    <w:p w14:paraId="281888FF">
      <w:pPr>
        <w:spacing w:line="360" w:lineRule="auto"/>
        <w:ind w:left="2520" w:right="210"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p>
    <w:p w14:paraId="504C5F4D">
      <w:pPr>
        <w:spacing w:line="360" w:lineRule="auto"/>
        <w:ind w:right="315"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委托授权代表：（签字）</w:t>
      </w:r>
    </w:p>
    <w:p w14:paraId="1CF0DD73">
      <w:pPr>
        <w:spacing w:line="360" w:lineRule="auto"/>
        <w:ind w:right="210" w:firstLine="3045" w:firstLineChars="14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p>
    <w:p w14:paraId="5F6C3B66">
      <w:pPr>
        <w:spacing w:line="360" w:lineRule="auto"/>
        <w:ind w:right="210" w:firstLine="2310" w:firstLineChars="11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年月日</w:t>
      </w:r>
    </w:p>
    <w:p w14:paraId="562FA1DA">
      <w:pPr>
        <w:pStyle w:val="4"/>
        <w:spacing w:before="240" w:after="240"/>
        <w:ind w:firstLine="480"/>
        <w:rPr>
          <w:rStyle w:val="116"/>
          <w:bCs/>
          <w:sz w:val="24"/>
          <w:szCs w:val="24"/>
        </w:rPr>
      </w:pPr>
      <w:bookmarkStart w:id="36" w:name="_Toc14322"/>
      <w:r>
        <w:rPr>
          <w:rStyle w:val="116"/>
          <w:rFonts w:hint="eastAsia" w:hAnsi="宋体"/>
          <w:b w:val="0"/>
          <w:bCs w:val="0"/>
          <w:sz w:val="24"/>
          <w:szCs w:val="24"/>
        </w:rPr>
        <w:t>附件</w:t>
      </w:r>
      <w:r>
        <w:rPr>
          <w:rStyle w:val="116"/>
          <w:rFonts w:hAnsi="宋体"/>
          <w:b w:val="0"/>
          <w:bCs w:val="0"/>
          <w:sz w:val="24"/>
          <w:szCs w:val="24"/>
        </w:rPr>
        <w:t>6</w:t>
      </w:r>
      <w:r>
        <w:rPr>
          <w:rStyle w:val="116"/>
          <w:rFonts w:hint="eastAsia" w:hAnsi="宋体"/>
          <w:b w:val="0"/>
          <w:bCs w:val="0"/>
          <w:sz w:val="24"/>
          <w:szCs w:val="24"/>
        </w:rPr>
        <w:t>：技术规范偏离表</w:t>
      </w:r>
      <w:bookmarkEnd w:id="36"/>
    </w:p>
    <w:p w14:paraId="7C611450">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962"/>
        <w:gridCol w:w="2750"/>
        <w:gridCol w:w="2193"/>
      </w:tblGrid>
      <w:tr w14:paraId="73D7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33554563">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672" w:type="pct"/>
            <w:vAlign w:val="center"/>
          </w:tcPr>
          <w:p w14:paraId="6953B869">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竞争性谈判文件技术需求书要求</w:t>
            </w:r>
          </w:p>
        </w:tc>
        <w:tc>
          <w:tcPr>
            <w:tcW w:w="1552" w:type="pct"/>
            <w:vAlign w:val="center"/>
          </w:tcPr>
          <w:p w14:paraId="4BD67EFE">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响应文件技术指标情况</w:t>
            </w:r>
          </w:p>
        </w:tc>
        <w:tc>
          <w:tcPr>
            <w:tcW w:w="1238" w:type="pct"/>
            <w:vAlign w:val="center"/>
          </w:tcPr>
          <w:p w14:paraId="7ED2B0DC">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具体说明</w:t>
            </w:r>
          </w:p>
        </w:tc>
      </w:tr>
      <w:tr w14:paraId="2AAA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3AA95F8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0EC37646">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7B9D0AE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52B952C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3DD9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E520B4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5C86A570">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34859806">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0425EBF6">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5B98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A32616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29CF8B0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1A165B60">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66BC29B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1873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33B503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1580721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7BA6CE9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494FE0E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4E2B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2DE70DA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1402DA7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4C82EBA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559848C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7CAC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526A8E5">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372A16E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64BE9C1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7F76692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4A44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3B4B4E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168DF17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5E7453D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2FC240F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0B55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336C9394">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676672E0">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6051DA9B">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3F3C675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0861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424EC46">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7789142A">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60D78E2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487695E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bl>
    <w:p w14:paraId="0D34B93E">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14:paraId="3AB33B2B">
      <w:pPr>
        <w:snapToGrid w:val="0"/>
        <w:spacing w:before="240" w:beforeLines="100" w:after="240" w:afterLines="100"/>
        <w:ind w:left="210" w:leftChars="100" w:right="210" w:rightChars="100" w:firstLine="420" w:firstLineChars="200"/>
        <w:rPr>
          <w:rFonts w:hint="eastAsia"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r>
        <w:rPr>
          <w:rFonts w:hint="eastAsia" w:ascii="宋体" w:hAnsi="宋体"/>
          <w:color w:val="000000" w:themeColor="text1"/>
          <w:szCs w:val="21"/>
          <w:u w:val="single"/>
          <w14:textFill>
            <w14:solidFill>
              <w14:schemeClr w14:val="tx1"/>
            </w14:solidFill>
          </w14:textFill>
        </w:rPr>
        <w:t>：</w:t>
      </w:r>
    </w:p>
    <w:p w14:paraId="08F1AA94">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本表应依据供应商实际情况逐项逐条填写。</w:t>
      </w:r>
    </w:p>
    <w:p w14:paraId="3A29ADF5">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6C0360B3">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作为响应文件重要的组成部分，任何通过简单拷贝竞争性谈判文件技术要求或简单标注“符合”“满足”或使用“明白”、“理解”、“部分满足”等含混词语的响应文件将被视为实质性不符合。</w:t>
      </w:r>
    </w:p>
    <w:p w14:paraId="58A1A4EB">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14:paraId="4C40A8CE">
      <w:pPr>
        <w:pStyle w:val="4"/>
        <w:spacing w:before="240" w:after="240"/>
        <w:ind w:firstLine="480"/>
        <w:rPr>
          <w:rStyle w:val="116"/>
          <w:b w:val="0"/>
          <w:bCs/>
          <w:sz w:val="24"/>
        </w:rPr>
      </w:pPr>
      <w:r>
        <w:br w:type="page"/>
      </w:r>
      <w:bookmarkStart w:id="37" w:name="_Toc16305"/>
      <w:r>
        <w:rPr>
          <w:rStyle w:val="116"/>
          <w:rFonts w:hint="eastAsia"/>
          <w:b w:val="0"/>
          <w:bCs/>
          <w:sz w:val="24"/>
        </w:rPr>
        <w:t>附件</w:t>
      </w:r>
      <w:r>
        <w:rPr>
          <w:rStyle w:val="116"/>
          <w:b w:val="0"/>
          <w:bCs/>
          <w:sz w:val="24"/>
        </w:rPr>
        <w:t>7</w:t>
      </w:r>
      <w:r>
        <w:rPr>
          <w:rStyle w:val="116"/>
          <w:rFonts w:hint="eastAsia"/>
          <w:b w:val="0"/>
          <w:bCs/>
          <w:sz w:val="24"/>
        </w:rPr>
        <w:t>：资格证明文件</w:t>
      </w:r>
    </w:p>
    <w:p w14:paraId="6798D414">
      <w:pPr>
        <w:snapToGrid w:val="0"/>
        <w:spacing w:before="240" w:beforeLines="100" w:after="240" w:afterLines="100"/>
        <w:ind w:left="210" w:leftChars="100" w:right="210" w:rightChars="100" w:firstLine="420" w:firstLineChars="200"/>
        <w:rPr>
          <w:rFonts w:ascii="宋体"/>
          <w:color w:val="000000" w:themeColor="text1"/>
          <w14:textFill>
            <w14:solidFill>
              <w14:schemeClr w14:val="tx1"/>
            </w14:solidFill>
          </w14:textFill>
        </w:rPr>
      </w:pPr>
    </w:p>
    <w:p w14:paraId="6D0CFD06">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填写须知</w:t>
      </w:r>
    </w:p>
    <w:p w14:paraId="2653AF64">
      <w:pPr>
        <w:numPr>
          <w:ilvl w:val="0"/>
          <w:numId w:val="19"/>
        </w:numPr>
        <w:spacing w:line="360" w:lineRule="auto"/>
        <w:ind w:firstLine="42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供应商应填写和提交下述规定的全部格式以及其它有关资料。</w:t>
      </w:r>
    </w:p>
    <w:p w14:paraId="737C4B7E">
      <w:pPr>
        <w:numPr>
          <w:ilvl w:val="0"/>
          <w:numId w:val="19"/>
        </w:numPr>
        <w:spacing w:line="360" w:lineRule="auto"/>
        <w:ind w:firstLine="42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所附格式中要求填写的全部问题和</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或信息都必须填写。</w:t>
      </w:r>
    </w:p>
    <w:p w14:paraId="02691B83">
      <w:pPr>
        <w:numPr>
          <w:ilvl w:val="0"/>
          <w:numId w:val="19"/>
        </w:numPr>
        <w:spacing w:line="360" w:lineRule="auto"/>
        <w:ind w:firstLine="42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本资格声明的签字人应保证全部声明和填写的内容是真实的和正确的。</w:t>
      </w:r>
    </w:p>
    <w:p w14:paraId="15511216">
      <w:pPr>
        <w:numPr>
          <w:ilvl w:val="0"/>
          <w:numId w:val="19"/>
        </w:numPr>
        <w:spacing w:line="360" w:lineRule="auto"/>
        <w:ind w:firstLine="42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采购人将应用供应商提交的资料根据自己的判断和考虑决定供应商履行合同的合格性及能力。</w:t>
      </w:r>
    </w:p>
    <w:p w14:paraId="622F90E3">
      <w:pPr>
        <w:numPr>
          <w:ilvl w:val="0"/>
          <w:numId w:val="19"/>
        </w:numPr>
        <w:spacing w:line="360" w:lineRule="auto"/>
        <w:ind w:firstLine="42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供应商提交的材料将被保密，但不退还。</w:t>
      </w:r>
    </w:p>
    <w:p w14:paraId="55D63C77">
      <w:pPr>
        <w:numPr>
          <w:ilvl w:val="0"/>
          <w:numId w:val="19"/>
        </w:numPr>
        <w:spacing w:line="360" w:lineRule="auto"/>
        <w:ind w:firstLine="42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全部文件应按规定的语言和份数提交。</w:t>
      </w:r>
    </w:p>
    <w:bookmarkEnd w:id="37"/>
    <w:p w14:paraId="16DA7F91">
      <w:pPr>
        <w:snapToGrid w:val="0"/>
        <w:spacing w:before="240" w:beforeLines="100" w:after="240"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14:textFill>
            <w14:solidFill>
              <w14:schemeClr w14:val="tx1"/>
            </w14:solidFill>
          </w14:textFill>
        </w:rPr>
        <w:br w:type="page"/>
      </w:r>
      <w:r>
        <w:rPr>
          <w:rFonts w:ascii="黑体" w:eastAsia="黑体"/>
          <w:b/>
          <w:color w:val="000000" w:themeColor="text1"/>
          <w14:textFill>
            <w14:solidFill>
              <w14:schemeClr w14:val="tx1"/>
            </w14:solidFill>
          </w14:textFill>
        </w:rPr>
        <w:t xml:space="preserve">7-1  </w:t>
      </w:r>
      <w:r>
        <w:rPr>
          <w:rFonts w:hint="eastAsia" w:ascii="黑体" w:eastAsia="黑体"/>
          <w:b/>
          <w:color w:val="000000" w:themeColor="text1"/>
          <w14:textFill>
            <w14:solidFill>
              <w14:schemeClr w14:val="tx1"/>
            </w14:solidFill>
          </w14:textFill>
        </w:rPr>
        <w:t>资格声明</w:t>
      </w:r>
    </w:p>
    <w:p w14:paraId="575CAB73">
      <w:pPr>
        <w:snapToGrid w:val="0"/>
        <w:spacing w:before="240" w:beforeLines="100" w:after="240" w:afterLines="100"/>
        <w:ind w:right="210" w:right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致：江苏省广电有线信息网络股份有限公司：</w:t>
      </w:r>
    </w:p>
    <w:p w14:paraId="192A4973">
      <w:pPr>
        <w:snapToGrid w:val="0"/>
        <w:spacing w:before="240" w:beforeLines="100" w:after="240" w:afterLines="100"/>
        <w:ind w:left="210" w:leftChars="100" w:right="210" w:rightChars="100" w:firstLine="422" w:firstLineChars="200"/>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资格声明</w:t>
      </w:r>
    </w:p>
    <w:p w14:paraId="06507F1F">
      <w:pPr>
        <w:snapToGrid w:val="0"/>
        <w:spacing w:before="240" w:beforeLines="100" w:after="240" w:afterLines="100"/>
        <w:ind w:right="210" w:rightChars="1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尊敬的女士</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先生：</w:t>
      </w:r>
    </w:p>
    <w:p w14:paraId="59298088">
      <w:p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为响应你方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采购名称</w:t>
      </w:r>
      <w:r>
        <w:rPr>
          <w:rFonts w:ascii="宋体" w:hAnsi="宋体"/>
          <w:color w:val="000000" w:themeColor="text1"/>
          <w:szCs w:val="21"/>
          <w:u w:val="single"/>
          <w14:textFill>
            <w14:solidFill>
              <w14:schemeClr w14:val="tx1"/>
            </w14:solidFill>
          </w14:textFill>
        </w:rPr>
        <w:t>]</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，下述签字人自愿参与谈判，提供竞争性谈判文件技术需求书中规定的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服务名称</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，提交下述文件并声明全部说明是真实的和正确的。下述签字人将就下述文件中存在的虚假或不真实内容对代理机构和采购人承担法律责任。</w:t>
      </w:r>
    </w:p>
    <w:p w14:paraId="2834CB0F">
      <w:pPr>
        <w:numPr>
          <w:ilvl w:val="0"/>
          <w:numId w:val="20"/>
        </w:numPr>
        <w:spacing w:line="360" w:lineRule="auto"/>
        <w:ind w:left="420"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我方的资格声明，各有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份正本，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份副本。</w:t>
      </w:r>
    </w:p>
    <w:p w14:paraId="0C5EB646">
      <w:pPr>
        <w:numPr>
          <w:ilvl w:val="0"/>
          <w:numId w:val="20"/>
        </w:numPr>
        <w:spacing w:line="360" w:lineRule="auto"/>
        <w:ind w:left="420"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下述签字人证明本资格文件中的内容是真实的和正确的。</w:t>
      </w:r>
    </w:p>
    <w:p w14:paraId="28835B45">
      <w:pPr>
        <w:numPr>
          <w:ilvl w:val="0"/>
          <w:numId w:val="20"/>
        </w:numPr>
        <w:spacing w:line="360" w:lineRule="auto"/>
        <w:ind w:left="420"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下述签字人知道，采购人可能要求其提供进一步的资格材料并同意按采购人的要求提交。</w:t>
      </w:r>
    </w:p>
    <w:p w14:paraId="5251369D">
      <w:pPr>
        <w:spacing w:line="360" w:lineRule="auto"/>
        <w:ind w:firstLine="422"/>
        <w:rPr>
          <w:color w:val="000000" w:themeColor="text1"/>
          <w14:textFill>
            <w14:solidFill>
              <w14:schemeClr w14:val="tx1"/>
            </w14:solidFill>
          </w14:textFill>
        </w:rPr>
      </w:pPr>
      <w:r>
        <w:rPr>
          <w:rFonts w:hint="eastAsia"/>
          <w:b/>
          <w:color w:val="000000" w:themeColor="text1"/>
          <w14:textFill>
            <w14:solidFill>
              <w14:schemeClr w14:val="tx1"/>
            </w14:solidFill>
          </w14:textFill>
        </w:rPr>
        <w:t>供应商</w:t>
      </w:r>
      <w:r>
        <w:rPr>
          <w:color w:val="000000" w:themeColor="text1"/>
          <w14:textFill>
            <w14:solidFill>
              <w14:schemeClr w14:val="tx1"/>
            </w14:solidFill>
          </w14:textFill>
        </w:rPr>
        <w:t xml:space="preserve">                                授权签署本资格文件</w:t>
      </w:r>
    </w:p>
    <w:p w14:paraId="10A908FE">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名称（盖章）      签字人姓名、职务（印刷字体）</w:t>
      </w:r>
    </w:p>
    <w:p w14:paraId="3FCAB797">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地址</w:t>
      </w:r>
    </w:p>
    <w:p w14:paraId="5EF1E1FD">
      <w:pPr>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传真      签字</w:t>
      </w:r>
    </w:p>
    <w:p w14:paraId="0077815A">
      <w:pPr>
        <w:snapToGrid w:val="0"/>
        <w:spacing w:before="240" w:beforeLines="100" w:after="240" w:afterLines="100"/>
        <w:ind w:right="210" w:rightChars="100"/>
        <w:rPr>
          <w:rFonts w:ascii="宋体"/>
          <w:color w:val="000000" w:themeColor="text1"/>
          <w:u w:val="single"/>
          <w14:textFill>
            <w14:solidFill>
              <w14:schemeClr w14:val="tx1"/>
            </w14:solidFill>
          </w14:textFill>
        </w:rPr>
      </w:pPr>
      <w:r>
        <w:rPr>
          <w:color w:val="000000" w:themeColor="text1"/>
          <w14:textFill>
            <w14:solidFill>
              <w14:schemeClr w14:val="tx1"/>
            </w14:solidFill>
          </w14:textFill>
        </w:rPr>
        <w:t>邮编      电话</w:t>
      </w:r>
    </w:p>
    <w:p w14:paraId="03AA1664">
      <w:pPr>
        <w:snapToGrid w:val="0"/>
        <w:spacing w:before="240" w:beforeLines="100" w:after="240"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u w:val="single"/>
          <w14:textFill>
            <w14:solidFill>
              <w14:schemeClr w14:val="tx1"/>
            </w14:solidFill>
          </w14:textFill>
        </w:rPr>
        <w:br w:type="page"/>
      </w:r>
      <w:r>
        <w:rPr>
          <w:rFonts w:ascii="黑体" w:eastAsia="黑体"/>
          <w:b/>
          <w:color w:val="000000" w:themeColor="text1"/>
          <w14:textFill>
            <w14:solidFill>
              <w14:schemeClr w14:val="tx1"/>
            </w14:solidFill>
          </w14:textFill>
        </w:rPr>
        <w:t xml:space="preserve">7-2  </w:t>
      </w:r>
      <w:r>
        <w:rPr>
          <w:rFonts w:hint="eastAsia" w:ascii="黑体" w:eastAsia="黑体"/>
          <w:b/>
          <w:color w:val="000000" w:themeColor="text1"/>
          <w14:textFill>
            <w14:solidFill>
              <w14:schemeClr w14:val="tx1"/>
            </w14:solidFill>
          </w14:textFill>
        </w:rPr>
        <w:t>供应商的资格声明</w:t>
      </w:r>
    </w:p>
    <w:p w14:paraId="2F29B2C0">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、名称及概况：</w:t>
      </w:r>
    </w:p>
    <w:p w14:paraId="6DBB4C77">
      <w:pPr>
        <w:numPr>
          <w:ilvl w:val="0"/>
          <w:numId w:val="21"/>
        </w:numPr>
        <w:spacing w:line="360" w:lineRule="auto"/>
        <w:ind w:firstLine="42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14:paraId="4571748B">
      <w:pPr>
        <w:numPr>
          <w:ilvl w:val="0"/>
          <w:numId w:val="21"/>
        </w:num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p w14:paraId="2C90CBBE">
      <w:pPr>
        <w:spacing w:line="360" w:lineRule="auto"/>
        <w:ind w:left="425"/>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电话号码：</w:t>
      </w:r>
    </w:p>
    <w:p w14:paraId="49E50A4B">
      <w:pPr>
        <w:numPr>
          <w:ilvl w:val="0"/>
          <w:numId w:val="21"/>
        </w:numPr>
        <w:spacing w:line="360" w:lineRule="auto"/>
        <w:ind w:firstLine="42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或注册日期：</w:t>
      </w:r>
    </w:p>
    <w:p w14:paraId="72C8CA04">
      <w:pPr>
        <w:numPr>
          <w:ilvl w:val="0"/>
          <w:numId w:val="21"/>
        </w:num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实收资本：</w:t>
      </w:r>
    </w:p>
    <w:p w14:paraId="1BFAF570">
      <w:pPr>
        <w:numPr>
          <w:ilvl w:val="0"/>
          <w:numId w:val="21"/>
        </w:num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近期资产负债表（到年月日止）</w:t>
      </w:r>
    </w:p>
    <w:p w14:paraId="05A69871">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）固定资产：</w:t>
      </w:r>
    </w:p>
    <w:p w14:paraId="6332D6DA">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）流动资产：</w:t>
      </w:r>
    </w:p>
    <w:p w14:paraId="3069650E">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）长期负债：</w:t>
      </w:r>
    </w:p>
    <w:p w14:paraId="5656873A">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）流动负债：</w:t>
      </w:r>
    </w:p>
    <w:p w14:paraId="508E9E4D">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）净值：</w:t>
      </w:r>
    </w:p>
    <w:p w14:paraId="0A5BCED6">
      <w:pPr>
        <w:numPr>
          <w:ilvl w:val="0"/>
          <w:numId w:val="21"/>
        </w:numPr>
        <w:spacing w:line="360" w:lineRule="auto"/>
        <w:ind w:firstLine="42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主要负责人名称：（可选填）</w:t>
      </w:r>
    </w:p>
    <w:p w14:paraId="7F1A9991">
      <w:pPr>
        <w:numPr>
          <w:ilvl w:val="0"/>
          <w:numId w:val="21"/>
        </w:num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供应商在中国的代表的姓名和地址：（可选填）</w:t>
      </w:r>
    </w:p>
    <w:p w14:paraId="3A8247DD">
      <w:pPr>
        <w:numPr>
          <w:ilvl w:val="0"/>
          <w:numId w:val="21"/>
        </w:num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供应商简介（包括但不限于业务范围、注册资金、所有权状况、组织机构及职能、人员构成、公司的场地环境和软硬件设施等）：</w:t>
      </w:r>
    </w:p>
    <w:p w14:paraId="330BAA40">
      <w:pPr>
        <w:numPr>
          <w:ilvl w:val="0"/>
          <w:numId w:val="21"/>
        </w:num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hint="eastAsia" w:ascii="宋体" w:hAnsi="宋体" w:cs="MS Gothic"/>
          <w:color w:val="000000" w:themeColor="text1"/>
          <w:szCs w:val="21"/>
          <w14:textFill>
            <w14:solidFill>
              <w14:schemeClr w14:val="tx1"/>
            </w14:solidFill>
          </w14:textFill>
        </w:rPr>
        <w:t>在中国大</w:t>
      </w:r>
      <w:r>
        <w:rPr>
          <w:rFonts w:hint="eastAsia" w:ascii="宋体" w:hAnsi="宋体" w:cs="宋体"/>
          <w:color w:val="000000" w:themeColor="text1"/>
          <w:szCs w:val="21"/>
          <w14:textFill>
            <w14:solidFill>
              <w14:schemeClr w14:val="tx1"/>
            </w14:solidFill>
          </w14:textFill>
        </w:rPr>
        <w:t>陆</w:t>
      </w:r>
      <w:r>
        <w:rPr>
          <w:rFonts w:hint="eastAsia" w:ascii="宋体" w:hAnsi="宋体" w:cs="MS Gothic"/>
          <w:color w:val="000000" w:themeColor="text1"/>
          <w:szCs w:val="21"/>
          <w14:textFill>
            <w14:solidFill>
              <w14:schemeClr w14:val="tx1"/>
            </w14:solidFill>
          </w14:textFill>
        </w:rPr>
        <w:t>的分公司及</w:t>
      </w:r>
      <w:r>
        <w:rPr>
          <w:rFonts w:hint="eastAsia" w:ascii="宋体" w:hAnsi="宋体" w:cs="宋体"/>
          <w:color w:val="000000" w:themeColor="text1"/>
          <w:szCs w:val="21"/>
          <w14:textFill>
            <w14:solidFill>
              <w14:schemeClr w14:val="tx1"/>
            </w14:solidFill>
          </w14:textFill>
        </w:rPr>
        <w:t>办</w:t>
      </w:r>
      <w:r>
        <w:rPr>
          <w:rFonts w:hint="eastAsia" w:ascii="宋体" w:hAnsi="宋体" w:cs="MS Gothic"/>
          <w:color w:val="000000" w:themeColor="text1"/>
          <w:szCs w:val="21"/>
          <w14:textFill>
            <w14:solidFill>
              <w14:schemeClr w14:val="tx1"/>
            </w14:solidFill>
          </w14:textFill>
        </w:rPr>
        <w:t>事</w:t>
      </w:r>
      <w:r>
        <w:rPr>
          <w:rFonts w:hint="eastAsia" w:ascii="宋体" w:hAnsi="宋体" w:cs="宋体"/>
          <w:color w:val="000000" w:themeColor="text1"/>
          <w:szCs w:val="21"/>
          <w14:textFill>
            <w14:solidFill>
              <w14:schemeClr w14:val="tx1"/>
            </w14:solidFill>
          </w14:textFill>
        </w:rPr>
        <w:t>处</w:t>
      </w:r>
      <w:r>
        <w:rPr>
          <w:rFonts w:hint="eastAsia" w:ascii="宋体" w:hAnsi="宋体" w:cs="MS Gothic"/>
          <w:color w:val="000000" w:themeColor="text1"/>
          <w:szCs w:val="21"/>
          <w14:textFill>
            <w14:solidFill>
              <w14:schemeClr w14:val="tx1"/>
            </w14:solidFill>
          </w14:textFill>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700A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18F1F3B">
            <w:pPr>
              <w:tabs>
                <w:tab w:val="left" w:pos="930"/>
                <w:tab w:val="left" w:pos="8364"/>
              </w:tabs>
              <w:ind w:right="-58" w:firstLine="500"/>
              <w:jc w:val="center"/>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序号</w:t>
            </w:r>
          </w:p>
        </w:tc>
        <w:tc>
          <w:tcPr>
            <w:tcW w:w="1088" w:type="dxa"/>
          </w:tcPr>
          <w:p w14:paraId="4AAE0D4C">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地区</w:t>
            </w:r>
          </w:p>
        </w:tc>
        <w:tc>
          <w:tcPr>
            <w:tcW w:w="3978" w:type="dxa"/>
          </w:tcPr>
          <w:p w14:paraId="124107E9">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分公司</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办</w:t>
            </w:r>
            <w:r>
              <w:rPr>
                <w:rFonts w:hint="eastAsia" w:ascii="宋体" w:hAnsi="宋体" w:cs="MS Gothic"/>
                <w:color w:val="000000" w:themeColor="text1"/>
                <w:spacing w:val="20"/>
                <w:szCs w:val="21"/>
                <w14:textFill>
                  <w14:solidFill>
                    <w14:schemeClr w14:val="tx1"/>
                  </w14:solidFill>
                </w14:textFill>
              </w:rPr>
              <w:t>事</w:t>
            </w:r>
            <w:r>
              <w:rPr>
                <w:rFonts w:hint="eastAsia" w:ascii="宋体" w:hAnsi="宋体" w:cs="宋体"/>
                <w:color w:val="000000" w:themeColor="text1"/>
                <w:spacing w:val="20"/>
                <w:szCs w:val="21"/>
                <w14:textFill>
                  <w14:solidFill>
                    <w14:schemeClr w14:val="tx1"/>
                  </w14:solidFill>
                </w14:textFill>
              </w:rPr>
              <w:t>处</w:t>
            </w:r>
            <w:r>
              <w:rPr>
                <w:rFonts w:hint="eastAsia" w:ascii="宋体" w:hAnsi="宋体" w:cs="MS Gothic"/>
                <w:color w:val="000000" w:themeColor="text1"/>
                <w:spacing w:val="20"/>
                <w:szCs w:val="21"/>
                <w14:textFill>
                  <w14:solidFill>
                    <w14:schemeClr w14:val="tx1"/>
                  </w14:solidFill>
                </w14:textFill>
              </w:rPr>
              <w:t>地址</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联</w:t>
            </w:r>
            <w:r>
              <w:rPr>
                <w:rFonts w:hint="eastAsia" w:ascii="宋体" w:hAnsi="宋体" w:cs="MS Gothic"/>
                <w:color w:val="000000" w:themeColor="text1"/>
                <w:spacing w:val="20"/>
                <w:szCs w:val="21"/>
                <w14:textFill>
                  <w14:solidFill>
                    <w14:schemeClr w14:val="tx1"/>
                  </w14:solidFill>
                </w14:textFill>
              </w:rPr>
              <w:t>系</w:t>
            </w:r>
            <w:r>
              <w:rPr>
                <w:rFonts w:hint="eastAsia" w:ascii="宋体" w:hAnsi="宋体" w:cs="宋体"/>
                <w:color w:val="000000" w:themeColor="text1"/>
                <w:spacing w:val="20"/>
                <w:szCs w:val="21"/>
                <w14:textFill>
                  <w14:solidFill>
                    <w14:schemeClr w14:val="tx1"/>
                  </w14:solidFill>
                </w14:textFill>
              </w:rPr>
              <w:t>电话</w:t>
            </w:r>
          </w:p>
        </w:tc>
        <w:tc>
          <w:tcPr>
            <w:tcW w:w="1155" w:type="dxa"/>
          </w:tcPr>
          <w:p w14:paraId="63D92D50">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负责</w:t>
            </w:r>
            <w:r>
              <w:rPr>
                <w:rFonts w:hint="eastAsia" w:ascii="宋体" w:hAnsi="宋体" w:cs="MS Gothic"/>
                <w:color w:val="000000" w:themeColor="text1"/>
                <w:spacing w:val="20"/>
                <w:szCs w:val="21"/>
                <w14:textFill>
                  <w14:solidFill>
                    <w14:schemeClr w14:val="tx1"/>
                  </w14:solidFill>
                </w14:textFill>
              </w:rPr>
              <w:t>人</w:t>
            </w:r>
          </w:p>
        </w:tc>
        <w:tc>
          <w:tcPr>
            <w:tcW w:w="1072" w:type="dxa"/>
          </w:tcPr>
          <w:p w14:paraId="1DAC54B2">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技</w:t>
            </w:r>
            <w:r>
              <w:rPr>
                <w:rFonts w:hint="eastAsia" w:ascii="宋体" w:hAnsi="宋体" w:cs="宋体"/>
                <w:color w:val="000000" w:themeColor="text1"/>
                <w:spacing w:val="20"/>
                <w:szCs w:val="21"/>
                <w14:textFill>
                  <w14:solidFill>
                    <w14:schemeClr w14:val="tx1"/>
                  </w14:solidFill>
                </w14:textFill>
              </w:rPr>
              <w:t>术</w:t>
            </w:r>
            <w:r>
              <w:rPr>
                <w:rFonts w:hint="eastAsia" w:ascii="宋体" w:hAnsi="宋体" w:cs="MS Gothic"/>
                <w:color w:val="000000" w:themeColor="text1"/>
                <w:spacing w:val="20"/>
                <w:szCs w:val="21"/>
                <w14:textFill>
                  <w14:solidFill>
                    <w14:schemeClr w14:val="tx1"/>
                  </w14:solidFill>
                </w14:textFill>
              </w:rPr>
              <w:t>人</w:t>
            </w:r>
          </w:p>
          <w:p w14:paraId="7739E316">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c>
          <w:tcPr>
            <w:tcW w:w="1066" w:type="dxa"/>
          </w:tcPr>
          <w:p w14:paraId="02C9CC91">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商</w:t>
            </w:r>
            <w:r>
              <w:rPr>
                <w:rFonts w:hint="eastAsia" w:ascii="宋体" w:hAnsi="宋体" w:cs="宋体"/>
                <w:color w:val="000000" w:themeColor="text1"/>
                <w:spacing w:val="20"/>
                <w:szCs w:val="21"/>
                <w14:textFill>
                  <w14:solidFill>
                    <w14:schemeClr w14:val="tx1"/>
                  </w14:solidFill>
                </w14:textFill>
              </w:rPr>
              <w:t>务</w:t>
            </w:r>
            <w:r>
              <w:rPr>
                <w:rFonts w:hint="eastAsia" w:ascii="宋体" w:hAnsi="宋体" w:cs="MS Gothic"/>
                <w:color w:val="000000" w:themeColor="text1"/>
                <w:spacing w:val="20"/>
                <w:szCs w:val="21"/>
                <w14:textFill>
                  <w14:solidFill>
                    <w14:schemeClr w14:val="tx1"/>
                  </w14:solidFill>
                </w14:textFill>
              </w:rPr>
              <w:t>人</w:t>
            </w:r>
          </w:p>
          <w:p w14:paraId="12B976AC">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r>
      <w:tr w14:paraId="5D63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B165BED">
            <w:pPr>
              <w:tabs>
                <w:tab w:val="left" w:pos="930"/>
                <w:tab w:val="left" w:pos="8364"/>
              </w:tabs>
              <w:ind w:right="-58" w:firstLine="500"/>
              <w:jc w:val="center"/>
              <w:rPr>
                <w:rFonts w:hint="eastAsia" w:ascii="宋体" w:hAnsi="宋体"/>
                <w:color w:val="000000" w:themeColor="text1"/>
                <w:spacing w:val="20"/>
                <w:szCs w:val="21"/>
                <w14:textFill>
                  <w14:solidFill>
                    <w14:schemeClr w14:val="tx1"/>
                  </w14:solidFill>
                </w14:textFill>
              </w:rPr>
            </w:pPr>
          </w:p>
        </w:tc>
        <w:tc>
          <w:tcPr>
            <w:tcW w:w="1088" w:type="dxa"/>
          </w:tcPr>
          <w:p w14:paraId="03D169F2">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3978" w:type="dxa"/>
          </w:tcPr>
          <w:p w14:paraId="13DA0A09">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1155" w:type="dxa"/>
          </w:tcPr>
          <w:p w14:paraId="2EBFB9B0">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1072" w:type="dxa"/>
          </w:tcPr>
          <w:p w14:paraId="0C43542E">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1066" w:type="dxa"/>
          </w:tcPr>
          <w:p w14:paraId="0E0127E1">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r>
      <w:tr w14:paraId="251E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13BA581">
            <w:pPr>
              <w:tabs>
                <w:tab w:val="left" w:pos="930"/>
                <w:tab w:val="left" w:pos="8364"/>
              </w:tabs>
              <w:ind w:right="-58" w:firstLine="500"/>
              <w:jc w:val="center"/>
              <w:rPr>
                <w:rFonts w:hint="eastAsia" w:ascii="宋体" w:hAnsi="宋体"/>
                <w:color w:val="000000" w:themeColor="text1"/>
                <w:spacing w:val="20"/>
                <w:szCs w:val="21"/>
                <w14:textFill>
                  <w14:solidFill>
                    <w14:schemeClr w14:val="tx1"/>
                  </w14:solidFill>
                </w14:textFill>
              </w:rPr>
            </w:pPr>
          </w:p>
        </w:tc>
        <w:tc>
          <w:tcPr>
            <w:tcW w:w="1088" w:type="dxa"/>
          </w:tcPr>
          <w:p w14:paraId="7849282B">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3978" w:type="dxa"/>
          </w:tcPr>
          <w:p w14:paraId="2996DF73">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1155" w:type="dxa"/>
          </w:tcPr>
          <w:p w14:paraId="1C0712ED">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1072" w:type="dxa"/>
          </w:tcPr>
          <w:p w14:paraId="566DC0E6">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1066" w:type="dxa"/>
          </w:tcPr>
          <w:p w14:paraId="4B8E173D">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r>
      <w:tr w14:paraId="047B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180709A6">
            <w:pPr>
              <w:tabs>
                <w:tab w:val="left" w:pos="930"/>
                <w:tab w:val="left" w:pos="8364"/>
              </w:tabs>
              <w:ind w:right="-58" w:firstLine="500"/>
              <w:jc w:val="center"/>
              <w:rPr>
                <w:rFonts w:hint="eastAsia" w:ascii="宋体" w:hAnsi="宋体"/>
                <w:color w:val="000000" w:themeColor="text1"/>
                <w:spacing w:val="20"/>
                <w:szCs w:val="21"/>
                <w14:textFill>
                  <w14:solidFill>
                    <w14:schemeClr w14:val="tx1"/>
                  </w14:solidFill>
                </w14:textFill>
              </w:rPr>
            </w:pPr>
          </w:p>
        </w:tc>
        <w:tc>
          <w:tcPr>
            <w:tcW w:w="1088" w:type="dxa"/>
          </w:tcPr>
          <w:p w14:paraId="6109EA63">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3978" w:type="dxa"/>
          </w:tcPr>
          <w:p w14:paraId="5471C3F0">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1155" w:type="dxa"/>
          </w:tcPr>
          <w:p w14:paraId="2B769E36">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1072" w:type="dxa"/>
          </w:tcPr>
          <w:p w14:paraId="00A05729">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c>
          <w:tcPr>
            <w:tcW w:w="1066" w:type="dxa"/>
          </w:tcPr>
          <w:p w14:paraId="223C75B2">
            <w:pPr>
              <w:tabs>
                <w:tab w:val="left" w:pos="930"/>
                <w:tab w:val="left" w:pos="8364"/>
              </w:tabs>
              <w:ind w:right="-58" w:firstLine="500"/>
              <w:rPr>
                <w:rFonts w:hint="eastAsia" w:ascii="宋体" w:hAnsi="宋体"/>
                <w:color w:val="000000" w:themeColor="text1"/>
                <w:spacing w:val="20"/>
                <w:szCs w:val="21"/>
                <w14:textFill>
                  <w14:solidFill>
                    <w14:schemeClr w14:val="tx1"/>
                  </w14:solidFill>
                </w14:textFill>
              </w:rPr>
            </w:pPr>
          </w:p>
        </w:tc>
      </w:tr>
    </w:tbl>
    <w:p w14:paraId="21E02394">
      <w:pPr>
        <w:numPr>
          <w:ilvl w:val="0"/>
          <w:numId w:val="21"/>
        </w:num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研发能力及人员配备：</w:t>
      </w:r>
    </w:p>
    <w:p w14:paraId="2EC1A6E4">
      <w:pPr>
        <w:spacing w:line="360" w:lineRule="auto"/>
        <w:ind w:left="425"/>
        <w:rPr>
          <w:rFonts w:hint="eastAsia" w:ascii="宋体" w:hAnsi="宋体"/>
          <w:color w:val="000000" w:themeColor="text1"/>
          <w:szCs w:val="21"/>
          <w14:textFill>
            <w14:solidFill>
              <w14:schemeClr w14:val="tx1"/>
            </w14:solidFill>
          </w14:textFill>
        </w:rPr>
      </w:pPr>
    </w:p>
    <w:p w14:paraId="562C4AE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有关开户银行的名称和地址：</w:t>
      </w:r>
    </w:p>
    <w:p w14:paraId="7C42B92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供应商所属的集团公司，如有的话：</w:t>
      </w:r>
    </w:p>
    <w:p w14:paraId="26C6E47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其他情况：</w:t>
      </w:r>
    </w:p>
    <w:p w14:paraId="3738740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14:paraId="0BC87B4D">
      <w:pPr>
        <w:spacing w:line="360" w:lineRule="auto"/>
        <w:rPr>
          <w:rFonts w:hint="eastAsia" w:ascii="宋体" w:hAnsi="宋体"/>
          <w:color w:val="000000" w:themeColor="text1"/>
          <w:szCs w:val="21"/>
          <w14:textFill>
            <w14:solidFill>
              <w14:schemeClr w14:val="tx1"/>
            </w14:solidFill>
          </w14:textFill>
        </w:rPr>
      </w:pPr>
    </w:p>
    <w:p w14:paraId="252F0062">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14:paraId="172E670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签字人姓名和职务：</w:t>
      </w:r>
    </w:p>
    <w:p w14:paraId="6A34211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签字人签字：</w:t>
      </w:r>
    </w:p>
    <w:p w14:paraId="6CE607C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签字日期：</w:t>
      </w:r>
    </w:p>
    <w:p w14:paraId="4FC565B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14:paraId="62DCD4A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p w14:paraId="4CD7186F">
      <w:pPr>
        <w:spacing w:line="360" w:lineRule="auto"/>
        <w:rPr>
          <w:rFonts w:hint="eastAsia" w:ascii="宋体" w:hAnsi="宋体"/>
          <w:color w:val="000000" w:themeColor="text1"/>
          <w:szCs w:val="21"/>
          <w14:textFill>
            <w14:solidFill>
              <w14:schemeClr w14:val="tx1"/>
            </w14:solidFill>
          </w14:textFill>
        </w:rPr>
        <w:sectPr>
          <w:pgSz w:w="12240" w:h="15840"/>
          <w:pgMar w:top="1440" w:right="1800" w:bottom="1440" w:left="1800" w:header="720" w:footer="720" w:gutter="0"/>
          <w:cols w:space="720" w:num="1"/>
        </w:sectPr>
      </w:pPr>
      <w:r>
        <w:rPr>
          <w:rFonts w:hint="eastAsia"/>
          <w:color w:val="000000" w:themeColor="text1"/>
          <w14:textFill>
            <w14:solidFill>
              <w14:schemeClr w14:val="tx1"/>
            </w14:solidFill>
          </w14:textFill>
        </w:rPr>
        <w:t>电子</w:t>
      </w:r>
      <w:r>
        <w:rPr>
          <w:color w:val="000000" w:themeColor="text1"/>
          <w14:textFill>
            <w14:solidFill>
              <w14:schemeClr w14:val="tx1"/>
            </w14:solidFill>
          </w14:textFill>
        </w:rPr>
        <w:t>函件</w:t>
      </w:r>
      <w:r>
        <w:rPr>
          <w:rFonts w:hint="eastAsia"/>
          <w:color w:val="000000" w:themeColor="text1"/>
          <w14:textFill>
            <w14:solidFill>
              <w14:schemeClr w14:val="tx1"/>
            </w14:solidFill>
          </w14:textFill>
        </w:rPr>
        <w:t>：</w:t>
      </w:r>
    </w:p>
    <w:p w14:paraId="72D12746">
      <w:pPr>
        <w:snapToGrid w:val="0"/>
        <w:spacing w:before="240" w:beforeLines="100" w:after="240" w:afterLines="100"/>
        <w:ind w:right="210" w:rightChars="100" w:firstLine="422" w:firstLineChars="200"/>
        <w:rPr>
          <w:rFonts w:ascii="黑体" w:eastAsia="黑体"/>
          <w:b/>
          <w:color w:val="000000" w:themeColor="text1"/>
          <w14:textFill>
            <w14:solidFill>
              <w14:schemeClr w14:val="tx1"/>
            </w14:solidFill>
          </w14:textFill>
        </w:rPr>
      </w:pPr>
      <w:r>
        <w:rPr>
          <w:rFonts w:ascii="黑体" w:eastAsia="黑体"/>
          <w:b/>
          <w:color w:val="000000" w:themeColor="text1"/>
          <w14:textFill>
            <w14:solidFill>
              <w14:schemeClr w14:val="tx1"/>
            </w14:solidFill>
          </w14:textFill>
        </w:rPr>
        <w:t xml:space="preserve">7-3  </w:t>
      </w:r>
      <w:r>
        <w:rPr>
          <w:rFonts w:hint="eastAsia" w:ascii="黑体" w:eastAsia="黑体"/>
          <w:b/>
          <w:color w:val="000000" w:themeColor="text1"/>
          <w14:textFill>
            <w14:solidFill>
              <w14:schemeClr w14:val="tx1"/>
            </w14:solidFill>
          </w14:textFill>
        </w:rPr>
        <w:t>其它资格证明文件要求</w:t>
      </w:r>
    </w:p>
    <w:p w14:paraId="5CDC972C">
      <w:pPr>
        <w:snapToGrid w:val="0"/>
        <w:spacing w:before="240" w:beforeLines="100" w:after="240" w:afterLines="100"/>
        <w:ind w:right="210" w:rightChars="1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满足竞争性谈判文件要求的其他证明文件。</w:t>
      </w:r>
    </w:p>
    <w:p w14:paraId="15A05ECF">
      <w:pPr>
        <w:snapToGrid w:val="0"/>
        <w:spacing w:before="240" w:beforeLines="100" w:after="240" w:afterLines="100"/>
        <w:ind w:right="210" w:rightChars="1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供应商认为需要提供的其他文件。</w:t>
      </w:r>
    </w:p>
    <w:p w14:paraId="4461ED49">
      <w:pPr>
        <w:snapToGrid w:val="0"/>
        <w:spacing w:before="240" w:beforeLines="100" w:after="240" w:afterLines="100"/>
        <w:ind w:right="210" w:rightChars="100" w:firstLine="420"/>
        <w:rPr>
          <w:color w:val="000000" w:themeColor="text1"/>
          <w14:textFill>
            <w14:solidFill>
              <w14:schemeClr w14:val="tx1"/>
            </w14:solidFill>
          </w14:textFill>
        </w:rPr>
      </w:pPr>
    </w:p>
    <w:p w14:paraId="7BD8EB4C">
      <w:pPr>
        <w:snapToGrid w:val="0"/>
        <w:spacing w:before="240" w:beforeLines="100" w:after="240" w:afterLines="100"/>
        <w:ind w:right="210" w:rightChars="100" w:firstLine="420"/>
        <w:rPr>
          <w:color w:val="000000" w:themeColor="text1"/>
          <w14:textFill>
            <w14:solidFill>
              <w14:schemeClr w14:val="tx1"/>
            </w14:solidFill>
          </w14:textFill>
        </w:rPr>
      </w:pPr>
    </w:p>
    <w:p w14:paraId="4BC7C463">
      <w:pPr>
        <w:snapToGrid w:val="0"/>
        <w:spacing w:before="240" w:beforeLines="100" w:after="240" w:afterLines="100"/>
        <w:ind w:right="210" w:rightChars="100" w:firstLine="420"/>
        <w:rPr>
          <w:color w:val="000000" w:themeColor="text1"/>
          <w14:textFill>
            <w14:solidFill>
              <w14:schemeClr w14:val="tx1"/>
            </w14:solidFill>
          </w14:textFill>
        </w:rPr>
      </w:pPr>
    </w:p>
    <w:p w14:paraId="49C5D485">
      <w:pPr>
        <w:snapToGrid w:val="0"/>
        <w:spacing w:before="240" w:beforeLines="100" w:after="240" w:afterLines="100"/>
        <w:ind w:right="210" w:rightChars="100" w:firstLine="420"/>
        <w:rPr>
          <w:color w:val="000000" w:themeColor="text1"/>
          <w14:textFill>
            <w14:solidFill>
              <w14:schemeClr w14:val="tx1"/>
            </w14:solidFill>
          </w14:textFill>
        </w:rPr>
      </w:pPr>
    </w:p>
    <w:p w14:paraId="4576C1E4">
      <w:pPr>
        <w:snapToGrid w:val="0"/>
        <w:spacing w:before="240" w:beforeLines="100" w:after="240" w:afterLines="100"/>
        <w:ind w:right="210" w:rightChars="100" w:firstLine="420"/>
        <w:rPr>
          <w:color w:val="000000" w:themeColor="text1"/>
          <w14:textFill>
            <w14:solidFill>
              <w14:schemeClr w14:val="tx1"/>
            </w14:solidFill>
          </w14:textFill>
        </w:rPr>
      </w:pPr>
    </w:p>
    <w:p w14:paraId="77F91DEB">
      <w:pPr>
        <w:snapToGrid w:val="0"/>
        <w:spacing w:before="240" w:beforeLines="100" w:after="240" w:afterLines="100"/>
        <w:ind w:right="210" w:rightChars="100" w:firstLine="420"/>
        <w:rPr>
          <w:color w:val="000000" w:themeColor="text1"/>
          <w14:textFill>
            <w14:solidFill>
              <w14:schemeClr w14:val="tx1"/>
            </w14:solidFill>
          </w14:textFill>
        </w:rPr>
      </w:pPr>
    </w:p>
    <w:p w14:paraId="2AFDB543">
      <w:pPr>
        <w:snapToGrid w:val="0"/>
        <w:spacing w:before="240" w:beforeLines="100" w:after="240" w:afterLines="100"/>
        <w:ind w:right="210" w:rightChars="100" w:firstLine="420"/>
        <w:rPr>
          <w:color w:val="000000" w:themeColor="text1"/>
          <w14:textFill>
            <w14:solidFill>
              <w14:schemeClr w14:val="tx1"/>
            </w14:solidFill>
          </w14:textFill>
        </w:rPr>
      </w:pPr>
    </w:p>
    <w:p w14:paraId="621F8C9A">
      <w:pPr>
        <w:snapToGrid w:val="0"/>
        <w:spacing w:before="240" w:beforeLines="100" w:after="240" w:afterLines="100"/>
        <w:ind w:right="210" w:rightChars="100" w:firstLine="420"/>
        <w:rPr>
          <w:color w:val="000000" w:themeColor="text1"/>
          <w14:textFill>
            <w14:solidFill>
              <w14:schemeClr w14:val="tx1"/>
            </w14:solidFill>
          </w14:textFill>
        </w:rPr>
      </w:pPr>
    </w:p>
    <w:p w14:paraId="6F61D1CD">
      <w:pPr>
        <w:snapToGrid w:val="0"/>
        <w:spacing w:before="240" w:beforeLines="100" w:after="240" w:afterLines="100"/>
        <w:ind w:right="210" w:rightChars="100" w:firstLine="420"/>
        <w:rPr>
          <w:color w:val="000000" w:themeColor="text1"/>
          <w14:textFill>
            <w14:solidFill>
              <w14:schemeClr w14:val="tx1"/>
            </w14:solidFill>
          </w14:textFill>
        </w:rPr>
      </w:pPr>
    </w:p>
    <w:p w14:paraId="16BA87DB">
      <w:pPr>
        <w:snapToGrid w:val="0"/>
        <w:spacing w:before="240" w:beforeLines="100" w:after="240" w:afterLines="100"/>
        <w:ind w:right="210" w:rightChars="100" w:firstLine="420"/>
        <w:rPr>
          <w:color w:val="000000" w:themeColor="text1"/>
          <w14:textFill>
            <w14:solidFill>
              <w14:schemeClr w14:val="tx1"/>
            </w14:solidFill>
          </w14:textFill>
        </w:rPr>
      </w:pPr>
    </w:p>
    <w:p w14:paraId="0CFAA312">
      <w:pPr>
        <w:snapToGrid w:val="0"/>
        <w:spacing w:before="240" w:beforeLines="100" w:after="240" w:afterLines="100"/>
        <w:ind w:right="210" w:rightChars="100" w:firstLine="420"/>
        <w:rPr>
          <w:color w:val="000000" w:themeColor="text1"/>
          <w14:textFill>
            <w14:solidFill>
              <w14:schemeClr w14:val="tx1"/>
            </w14:solidFill>
          </w14:textFill>
        </w:rPr>
      </w:pPr>
    </w:p>
    <w:p w14:paraId="064E9A19">
      <w:pPr>
        <w:snapToGrid w:val="0"/>
        <w:spacing w:before="240" w:beforeLines="100" w:after="240" w:afterLines="100"/>
        <w:ind w:right="210" w:rightChars="100" w:firstLine="420"/>
        <w:rPr>
          <w:color w:val="000000" w:themeColor="text1"/>
          <w14:textFill>
            <w14:solidFill>
              <w14:schemeClr w14:val="tx1"/>
            </w14:solidFill>
          </w14:textFill>
        </w:rPr>
      </w:pPr>
    </w:p>
    <w:p w14:paraId="107A592C">
      <w:pPr>
        <w:pStyle w:val="29"/>
        <w:spacing w:after="240" w:line="360" w:lineRule="auto"/>
        <w:rPr>
          <w:rFonts w:ascii="Times New Roman" w:hAnsi="Times New Roman"/>
          <w:color w:val="000000" w:themeColor="text1"/>
          <w:szCs w:val="21"/>
          <w14:textFill>
            <w14:solidFill>
              <w14:schemeClr w14:val="tx1"/>
            </w14:solidFill>
          </w14:textFill>
        </w:rPr>
      </w:pPr>
      <w:r>
        <w:rPr>
          <w:color w:val="000000" w:themeColor="text1"/>
          <w14:textFill>
            <w14:solidFill>
              <w14:schemeClr w14:val="tx1"/>
            </w14:solidFill>
          </w14:textFill>
        </w:rPr>
        <w:br w:type="page"/>
      </w:r>
    </w:p>
    <w:p w14:paraId="40BBA747">
      <w:pPr>
        <w:pStyle w:val="48"/>
        <w:rPr>
          <w:rFonts w:hint="eastAsia"/>
        </w:rPr>
        <w:sectPr>
          <w:pgSz w:w="12240" w:h="15840"/>
          <w:pgMar w:top="1440" w:right="1800" w:bottom="1440" w:left="1800" w:header="720" w:footer="720" w:gutter="0"/>
          <w:cols w:space="720" w:num="1"/>
        </w:sectPr>
      </w:pPr>
    </w:p>
    <w:p w14:paraId="7A0D34C4">
      <w:pPr>
        <w:pStyle w:val="3"/>
        <w:spacing w:line="360" w:lineRule="auto"/>
        <w:ind w:firstLine="723"/>
        <w:rPr>
          <w:color w:val="000000" w:themeColor="text1"/>
          <w:sz w:val="52"/>
          <w:szCs w:val="52"/>
          <w14:textFill>
            <w14:solidFill>
              <w14:schemeClr w14:val="tx1"/>
            </w14:solidFill>
          </w14:textFill>
        </w:rPr>
      </w:pPr>
      <w:bookmarkStart w:id="38" w:name="_Toc24121"/>
      <w:r>
        <w:rPr>
          <w:rFonts w:hint="eastAsia"/>
          <w:b/>
          <w:color w:val="000000" w:themeColor="text1"/>
          <w:sz w:val="36"/>
          <w:szCs w:val="36"/>
          <w14:textFill>
            <w14:solidFill>
              <w14:schemeClr w14:val="tx1"/>
            </w14:solidFill>
          </w14:textFill>
        </w:rPr>
        <w:t>第七章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其他</w:t>
      </w:r>
    </w:p>
    <w:p w14:paraId="67AE4B92">
      <w:pPr>
        <w:widowControl/>
        <w:ind w:firstLine="482"/>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响应</w:t>
      </w:r>
      <w:r>
        <w:rPr>
          <w:b/>
          <w:color w:val="000000" w:themeColor="text1"/>
          <w:sz w:val="24"/>
          <w14:textFill>
            <w14:solidFill>
              <w14:schemeClr w14:val="tx1"/>
            </w14:solidFill>
          </w14:textFill>
        </w:rPr>
        <w:t>文件</w:t>
      </w:r>
      <w:r>
        <w:rPr>
          <w:b/>
          <w:color w:val="000000" w:themeColor="text1"/>
          <w:kern w:val="11"/>
          <w:sz w:val="24"/>
          <w14:textFill>
            <w14:solidFill>
              <w14:schemeClr w14:val="tx1"/>
            </w14:solidFill>
          </w14:textFill>
        </w:rPr>
        <w:t>封套格式</w:t>
      </w:r>
      <w:r>
        <w:rPr>
          <w:b/>
          <w:color w:val="000000" w:themeColor="text1"/>
          <w:sz w:val="24"/>
          <w14:textFill>
            <w14:solidFill>
              <w14:schemeClr w14:val="tx1"/>
            </w14:solidFill>
          </w14:textFill>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71D38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2496105C">
            <w:pPr>
              <w:spacing w:before="156" w:beforeLines="50" w:after="312" w:afterLines="100"/>
              <w:ind w:firstLine="640"/>
              <w:jc w:val="center"/>
              <w:rPr>
                <w:rFonts w:eastAsia="黑体"/>
                <w:color w:val="000000" w:themeColor="text1"/>
                <w:sz w:val="32"/>
                <w:szCs w:val="32"/>
                <w:u w:val="single"/>
                <w14:textFill>
                  <w14:solidFill>
                    <w14:schemeClr w14:val="tx1"/>
                  </w14:solidFill>
                </w14:textFill>
              </w:rPr>
            </w:pPr>
          </w:p>
          <w:p w14:paraId="2BFE579D">
            <w:pPr>
              <w:ind w:firstLine="640"/>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14:paraId="5773F2BB">
            <w:pPr>
              <w:spacing w:before="312" w:beforeLines="100" w:after="312" w:afterLines="100"/>
              <w:ind w:firstLine="640"/>
              <w:jc w:val="center"/>
              <w:rPr>
                <w:rFonts w:eastAsia="黑体"/>
                <w:color w:val="000000" w:themeColor="text1"/>
                <w:sz w:val="28"/>
                <w:szCs w:val="28"/>
                <w14:textFill>
                  <w14:solidFill>
                    <w14:schemeClr w14:val="tx1"/>
                  </w14:solidFill>
                </w14:textFill>
              </w:rPr>
            </w:pPr>
            <w:r>
              <w:rPr>
                <w:rFonts w:hint="eastAsia" w:eastAsia="黑体"/>
                <w:color w:val="000000" w:themeColor="text1"/>
                <w:sz w:val="32"/>
                <w:szCs w:val="32"/>
                <w14:textFill>
                  <w14:solidFill>
                    <w14:schemeClr w14:val="tx1"/>
                  </w14:solidFill>
                </w14:textFill>
              </w:rPr>
              <w:t>GPU算力资源租用服务</w:t>
            </w:r>
          </w:p>
          <w:p w14:paraId="1633E1D4">
            <w:pPr>
              <w:pStyle w:val="2"/>
              <w:spacing w:before="312" w:beforeLines="100" w:after="312" w:afterLines="100"/>
              <w:ind w:firstLine="560"/>
              <w:jc w:val="center"/>
              <w:rPr>
                <w:rFonts w:eastAsia="黑体"/>
                <w:color w:val="000000" w:themeColor="text1"/>
                <w:szCs w:val="28"/>
                <w14:textFill>
                  <w14:solidFill>
                    <w14:schemeClr w14:val="tx1"/>
                  </w14:solidFill>
                </w14:textFill>
              </w:rPr>
            </w:pPr>
          </w:p>
          <w:p w14:paraId="5F6B3916">
            <w:pPr>
              <w:pStyle w:val="2"/>
              <w:ind w:firstLine="560"/>
              <w:rPr>
                <w:color w:val="000000" w:themeColor="text1"/>
                <w14:textFill>
                  <w14:solidFill>
                    <w14:schemeClr w14:val="tx1"/>
                  </w14:solidFill>
                </w14:textFill>
              </w:rPr>
            </w:pPr>
          </w:p>
          <w:p w14:paraId="2F79EE3D">
            <w:pPr>
              <w:rPr>
                <w:color w:val="000000" w:themeColor="text1"/>
                <w14:textFill>
                  <w14:solidFill>
                    <w14:schemeClr w14:val="tx1"/>
                  </w14:solidFill>
                </w14:textFill>
              </w:rPr>
            </w:pPr>
          </w:p>
          <w:p w14:paraId="73B56D8D">
            <w:pPr>
              <w:ind w:firstLine="1040"/>
              <w:jc w:val="center"/>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w:t>
            </w:r>
          </w:p>
          <w:p w14:paraId="1238C0CC">
            <w:pPr>
              <w:spacing w:after="120"/>
              <w:ind w:firstLine="560"/>
              <w:jc w:val="center"/>
              <w:rPr>
                <w:rFonts w:eastAsia="PMingLiU"/>
                <w:color w:val="000000" w:themeColor="text1"/>
                <w:sz w:val="36"/>
                <w:szCs w:val="36"/>
                <w:lang w:val="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14:paraId="26490E47">
            <w:pPr>
              <w:spacing w:before="312" w:beforeLines="100" w:after="312" w:afterLines="100"/>
              <w:ind w:firstLine="1040"/>
              <w:jc w:val="center"/>
              <w:rPr>
                <w:rFonts w:eastAsia="黑体"/>
                <w:color w:val="000000" w:themeColor="text1"/>
                <w:sz w:val="52"/>
                <w:szCs w:val="36"/>
                <w14:textFill>
                  <w14:solidFill>
                    <w14:schemeClr w14:val="tx1"/>
                  </w14:solidFill>
                </w14:textFill>
              </w:rPr>
            </w:pPr>
          </w:p>
          <w:p w14:paraId="5BB58E29">
            <w:pPr>
              <w:pStyle w:val="2"/>
              <w:spacing w:before="312" w:beforeLines="100" w:after="312" w:afterLines="100"/>
              <w:ind w:firstLine="1040"/>
              <w:jc w:val="center"/>
              <w:rPr>
                <w:rFonts w:eastAsia="黑体"/>
                <w:color w:val="000000" w:themeColor="text1"/>
                <w:sz w:val="52"/>
                <w:szCs w:val="36"/>
                <w14:textFill>
                  <w14:solidFill>
                    <w14:schemeClr w14:val="tx1"/>
                  </w14:solidFill>
                </w14:textFill>
              </w:rPr>
            </w:pPr>
          </w:p>
          <w:p w14:paraId="5F1BA8F6">
            <w:pPr>
              <w:spacing w:line="360" w:lineRule="auto"/>
              <w:ind w:firstLine="480"/>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：（盖单位章）</w:t>
            </w:r>
          </w:p>
          <w:p w14:paraId="432DDF0D">
            <w:pPr>
              <w:spacing w:line="360" w:lineRule="auto"/>
              <w:ind w:firstLine="480"/>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法定代表人或其委托的代理人：（签字）</w:t>
            </w:r>
          </w:p>
          <w:p w14:paraId="51D2CEF6">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p>
          <w:p w14:paraId="1F5A9A05">
            <w:pPr>
              <w:spacing w:after="624" w:afterLines="200"/>
              <w:ind w:firstLine="3000" w:firstLineChars="1250"/>
              <w:rPr>
                <w:color w:val="000000" w:themeColor="text1"/>
                <w:kern w:val="11"/>
                <w14:textFill>
                  <w14:solidFill>
                    <w14:schemeClr w14:val="tx1"/>
                  </w14:solidFill>
                </w14:textFill>
              </w:rPr>
            </w:pPr>
            <w:r>
              <w:rPr>
                <w:rFonts w:eastAsia="黑体"/>
                <w:color w:val="000000" w:themeColor="text1"/>
                <w:sz w:val="24"/>
                <w14:textFill>
                  <w14:solidFill>
                    <w14:schemeClr w14:val="tx1"/>
                  </w14:solidFill>
                </w14:textFill>
              </w:rPr>
              <w:t>年月日</w:t>
            </w:r>
          </w:p>
        </w:tc>
      </w:tr>
      <w:bookmarkEnd w:id="38"/>
    </w:tbl>
    <w:p w14:paraId="5AC147CA">
      <w:pPr>
        <w:ind w:firstLine="480"/>
        <w:rPr>
          <w:color w:val="000000" w:themeColor="text1"/>
          <w:kern w:val="11"/>
          <w:sz w:val="24"/>
          <w14:textFill>
            <w14:solidFill>
              <w14:schemeClr w14:val="tx1"/>
            </w14:solidFill>
          </w14:textFill>
        </w:rPr>
      </w:pPr>
    </w:p>
    <w:p w14:paraId="43EBF84F">
      <w:pPr>
        <w:widowControl/>
        <w:ind w:firstLine="420"/>
        <w:jc w:val="left"/>
        <w:rPr>
          <w:color w:val="000000" w:themeColor="text1"/>
          <w14:textFill>
            <w14:solidFill>
              <w14:schemeClr w14:val="tx1"/>
            </w14:solidFill>
          </w14:textFill>
        </w:rPr>
      </w:pPr>
    </w:p>
    <w:p w14:paraId="4EA1C611">
      <w:pPr>
        <w:widowControl/>
        <w:spacing w:line="360" w:lineRule="auto"/>
        <w:ind w:firstLine="480"/>
        <w:jc w:val="left"/>
        <w:rPr>
          <w:color w:val="000000" w:themeColor="text1"/>
          <w:kern w:val="11"/>
          <w:sz w:val="24"/>
          <w14:textFill>
            <w14:solidFill>
              <w14:schemeClr w14:val="tx1"/>
            </w14:solidFill>
          </w14:textFill>
        </w:rPr>
      </w:pPr>
    </w:p>
    <w:p w14:paraId="2F384C13">
      <w:pPr>
        <w:widowControl/>
        <w:spacing w:line="360" w:lineRule="auto"/>
        <w:ind w:firstLine="480"/>
        <w:jc w:val="left"/>
        <w:rPr>
          <w:color w:val="000000" w:themeColor="text1"/>
          <w:sz w:val="24"/>
          <w14:textFill>
            <w14:solidFill>
              <w14:schemeClr w14:val="tx1"/>
            </w14:solidFill>
          </w14:textFill>
        </w:rPr>
      </w:pPr>
      <w:r>
        <w:rPr>
          <w:rFonts w:hint="eastAsia"/>
          <w:color w:val="000000" w:themeColor="text1"/>
          <w:kern w:val="11"/>
          <w:sz w:val="24"/>
          <w14:textFill>
            <w14:solidFill>
              <w14:schemeClr w14:val="tx1"/>
            </w14:solidFill>
          </w14:textFill>
        </w:rPr>
        <w:t>响应文件电子版</w:t>
      </w:r>
      <w:r>
        <w:rPr>
          <w:color w:val="000000" w:themeColor="text1"/>
          <w:kern w:val="11"/>
          <w:sz w:val="24"/>
          <w14:textFill>
            <w14:solidFill>
              <w14:schemeClr w14:val="tx1"/>
            </w14:solidFill>
          </w14:textFill>
        </w:rPr>
        <w:t>封套格式</w:t>
      </w:r>
      <w:r>
        <w:rPr>
          <w:color w:val="000000" w:themeColor="text1"/>
          <w:sz w:val="24"/>
          <w14:textFill>
            <w14:solidFill>
              <w14:schemeClr w14:val="tx1"/>
            </w14:solidFill>
          </w14:textFill>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70E77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1DCB3CD6">
            <w:pPr>
              <w:spacing w:before="156" w:beforeLines="50" w:after="312" w:afterLines="100"/>
              <w:ind w:firstLine="640"/>
              <w:jc w:val="center"/>
              <w:rPr>
                <w:rFonts w:eastAsia="黑体"/>
                <w:color w:val="000000" w:themeColor="text1"/>
                <w:sz w:val="32"/>
                <w:szCs w:val="32"/>
                <w:u w:val="single"/>
                <w14:textFill>
                  <w14:solidFill>
                    <w14:schemeClr w14:val="tx1"/>
                  </w14:solidFill>
                </w14:textFill>
              </w:rPr>
            </w:pPr>
          </w:p>
          <w:p w14:paraId="18E99F9B">
            <w:pPr>
              <w:ind w:firstLine="640"/>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14:paraId="559CCA2F">
            <w:pPr>
              <w:ind w:firstLine="640"/>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GPU算力资源租用服务</w:t>
            </w:r>
          </w:p>
          <w:p w14:paraId="7B0554D9">
            <w:pPr>
              <w:ind w:firstLine="560"/>
              <w:jc w:val="center"/>
              <w:rPr>
                <w:rFonts w:eastAsia="黑体"/>
                <w:color w:val="000000" w:themeColor="text1"/>
                <w:sz w:val="28"/>
                <w:szCs w:val="28"/>
                <w14:textFill>
                  <w14:solidFill>
                    <w14:schemeClr w14:val="tx1"/>
                  </w14:solidFill>
                </w14:textFill>
              </w:rPr>
            </w:pPr>
          </w:p>
          <w:p w14:paraId="1694F8A1">
            <w:pPr>
              <w:pStyle w:val="2"/>
              <w:ind w:firstLine="560"/>
              <w:jc w:val="center"/>
              <w:rPr>
                <w:rFonts w:eastAsia="黑体"/>
                <w:color w:val="000000" w:themeColor="text1"/>
                <w:szCs w:val="28"/>
                <w:u w:val="single"/>
                <w14:textFill>
                  <w14:solidFill>
                    <w14:schemeClr w14:val="tx1"/>
                  </w14:solidFill>
                </w14:textFill>
              </w:rPr>
            </w:pPr>
          </w:p>
          <w:p w14:paraId="6C12EC43">
            <w:pPr>
              <w:spacing w:before="312" w:beforeLines="100" w:after="312" w:afterLines="100"/>
              <w:ind w:firstLine="1040"/>
              <w:jc w:val="center"/>
              <w:rPr>
                <w:rFonts w:eastAsia="黑体"/>
                <w:color w:val="000000" w:themeColor="text1"/>
                <w:sz w:val="52"/>
                <w:szCs w:val="36"/>
                <w14:textFill>
                  <w14:solidFill>
                    <w14:schemeClr w14:val="tx1"/>
                  </w14:solidFill>
                </w14:textFill>
              </w:rPr>
            </w:pPr>
          </w:p>
          <w:p w14:paraId="2CFEB3E3">
            <w:pPr>
              <w:ind w:firstLine="2600" w:firstLineChars="500"/>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响应文件电子版</w:t>
            </w:r>
          </w:p>
          <w:p w14:paraId="4247D485">
            <w:pPr>
              <w:spacing w:after="120"/>
              <w:ind w:firstLine="560"/>
              <w:jc w:val="center"/>
              <w:rPr>
                <w:rFonts w:eastAsia="PMingLiU"/>
                <w:color w:val="000000" w:themeColor="text1"/>
                <w:sz w:val="36"/>
                <w:szCs w:val="36"/>
                <w:lang w:val="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14:paraId="58B0CFFA">
            <w:pPr>
              <w:ind w:firstLine="883"/>
              <w:jc w:val="center"/>
              <w:rPr>
                <w:rFonts w:eastAsia="黑体"/>
                <w:b/>
                <w:bCs/>
                <w:color w:val="000000" w:themeColor="text1"/>
                <w:sz w:val="44"/>
                <w:szCs w:val="44"/>
                <w14:textFill>
                  <w14:solidFill>
                    <w14:schemeClr w14:val="tx1"/>
                  </w14:solidFill>
                </w14:textFill>
              </w:rPr>
            </w:pPr>
          </w:p>
          <w:p w14:paraId="1227859C">
            <w:pPr>
              <w:spacing w:before="312" w:beforeLines="100" w:after="312" w:afterLines="100"/>
              <w:ind w:firstLine="1040"/>
              <w:jc w:val="center"/>
              <w:rPr>
                <w:rFonts w:eastAsia="黑体"/>
                <w:color w:val="000000" w:themeColor="text1"/>
                <w:sz w:val="52"/>
                <w:szCs w:val="36"/>
                <w14:textFill>
                  <w14:solidFill>
                    <w14:schemeClr w14:val="tx1"/>
                  </w14:solidFill>
                </w14:textFill>
              </w:rPr>
            </w:pPr>
          </w:p>
          <w:p w14:paraId="113D78B5">
            <w:pPr>
              <w:spacing w:line="360" w:lineRule="auto"/>
              <w:ind w:firstLine="480"/>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：（盖单位章）</w:t>
            </w:r>
          </w:p>
          <w:p w14:paraId="7E4C72B8">
            <w:pPr>
              <w:spacing w:line="360" w:lineRule="auto"/>
              <w:ind w:firstLine="480"/>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法定代表人或其委托的代理人：（签字）</w:t>
            </w:r>
          </w:p>
          <w:p w14:paraId="55D9FB2C">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p>
          <w:p w14:paraId="2685AA6B">
            <w:pPr>
              <w:spacing w:after="624" w:afterLines="200"/>
              <w:ind w:firstLine="3000" w:firstLineChars="1250"/>
              <w:rPr>
                <w:color w:val="000000" w:themeColor="text1"/>
                <w:kern w:val="11"/>
                <w14:textFill>
                  <w14:solidFill>
                    <w14:schemeClr w14:val="tx1"/>
                  </w14:solidFill>
                </w14:textFill>
              </w:rPr>
            </w:pPr>
            <w:r>
              <w:rPr>
                <w:rFonts w:eastAsia="黑体"/>
                <w:color w:val="000000" w:themeColor="text1"/>
                <w:sz w:val="24"/>
                <w14:textFill>
                  <w14:solidFill>
                    <w14:schemeClr w14:val="tx1"/>
                  </w14:solidFill>
                </w14:textFill>
              </w:rPr>
              <w:t>年月日</w:t>
            </w:r>
          </w:p>
        </w:tc>
      </w:tr>
    </w:tbl>
    <w:p w14:paraId="7C1D8B8B">
      <w:pPr>
        <w:ind w:firstLine="480"/>
        <w:rPr>
          <w:color w:val="000000" w:themeColor="text1"/>
          <w:kern w:val="11"/>
          <w:sz w:val="24"/>
          <w14:textFill>
            <w14:solidFill>
              <w14:schemeClr w14:val="tx1"/>
            </w14:solidFill>
          </w14:textFill>
        </w:rPr>
      </w:pPr>
    </w:p>
    <w:p w14:paraId="147F51C1">
      <w:pPr>
        <w:widowControl/>
        <w:ind w:firstLine="480"/>
        <w:jc w:val="left"/>
        <w:rPr>
          <w:color w:val="000000" w:themeColor="text1"/>
          <w:kern w:val="11"/>
          <w:sz w:val="24"/>
          <w14:textFill>
            <w14:solidFill>
              <w14:schemeClr w14:val="tx1"/>
            </w14:solidFill>
          </w14:textFill>
        </w:rPr>
      </w:pPr>
      <w:r>
        <w:rPr>
          <w:color w:val="000000" w:themeColor="text1"/>
          <w:kern w:val="11"/>
          <w:sz w:val="24"/>
          <w14:textFill>
            <w14:solidFill>
              <w14:schemeClr w14:val="tx1"/>
            </w14:solidFill>
          </w14:textFill>
        </w:rPr>
        <w:br w:type="page"/>
      </w:r>
    </w:p>
    <w:p w14:paraId="73700F22">
      <w:pPr>
        <w:widowControl/>
        <w:ind w:firstLine="480"/>
        <w:jc w:val="left"/>
        <w:rPr>
          <w:rFonts w:eastAsia="黑体"/>
          <w:bCs/>
          <w:color w:val="000000" w:themeColor="text1"/>
          <w:kern w:val="44"/>
          <w:sz w:val="30"/>
          <w:szCs w:val="44"/>
          <w14:textFill>
            <w14:solidFill>
              <w14:schemeClr w14:val="tx1"/>
            </w14:solidFill>
          </w14:textFill>
        </w:rPr>
      </w:pPr>
      <w:r>
        <w:rPr>
          <w:rFonts w:hint="eastAsia"/>
          <w:color w:val="000000" w:themeColor="text1"/>
          <w:kern w:val="11"/>
          <w:sz w:val="24"/>
          <w14:textFill>
            <w14:solidFill>
              <w14:schemeClr w14:val="tx1"/>
            </w14:solidFill>
          </w14:textFill>
        </w:rPr>
        <w:t>响应</w:t>
      </w:r>
      <w:r>
        <w:rPr>
          <w:color w:val="000000" w:themeColor="text1"/>
          <w:kern w:val="11"/>
          <w:sz w:val="24"/>
          <w14:textFill>
            <w14:solidFill>
              <w14:schemeClr w14:val="tx1"/>
            </w14:solidFill>
          </w14:textFill>
        </w:rPr>
        <w:t>文件</w:t>
      </w:r>
      <w:r>
        <w:rPr>
          <w:rFonts w:hint="eastAsia"/>
          <w:color w:val="000000" w:themeColor="text1"/>
          <w:kern w:val="11"/>
          <w:sz w:val="24"/>
          <w14:textFill>
            <w14:solidFill>
              <w14:schemeClr w14:val="tx1"/>
            </w14:solidFill>
          </w14:textFill>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F1C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14:paraId="2D018A22">
            <w:pPr>
              <w:spacing w:line="360" w:lineRule="auto"/>
              <w:ind w:firstLine="482"/>
              <w:jc w:val="center"/>
              <w:rPr>
                <w:color w:val="000000" w:themeColor="text1"/>
                <w14:textFill>
                  <w14:solidFill>
                    <w14:schemeClr w14:val="tx1"/>
                  </w14:solidFill>
                </w14:textFill>
              </w:rPr>
            </w:pPr>
            <w:r>
              <w:rPr>
                <w:b/>
                <w:bCs/>
                <w:color w:val="000000" w:themeColor="text1"/>
                <w:kern w:val="11"/>
                <w:sz w:val="24"/>
                <w14:textFill>
                  <w14:solidFill>
                    <w14:schemeClr w14:val="tx1"/>
                  </w14:solidFill>
                </w14:textFill>
              </w:rPr>
              <w:t>--------------</w:t>
            </w:r>
            <w:r>
              <w:rPr>
                <w:rFonts w:ascii="黑体" w:hAnsi="黑体" w:eastAsia="黑体"/>
                <w:bCs/>
                <w:color w:val="000000" w:themeColor="text1"/>
                <w:kern w:val="11"/>
                <w:sz w:val="24"/>
                <w14:textFill>
                  <w14:solidFill>
                    <w14:schemeClr w14:val="tx1"/>
                  </w14:solidFill>
                </w14:textFill>
              </w:rPr>
              <w:t xml:space="preserve">于    年  月  日  </w:t>
            </w:r>
            <w:r>
              <w:rPr>
                <w:rFonts w:hint="eastAsia" w:ascii="黑体" w:hAnsi="黑体" w:eastAsia="黑体"/>
                <w:bCs/>
                <w:color w:val="000000" w:themeColor="text1"/>
                <w:kern w:val="11"/>
                <w:sz w:val="24"/>
                <w14:textFill>
                  <w14:solidFill>
                    <w14:schemeClr w14:val="tx1"/>
                  </w14:solidFill>
                </w14:textFill>
              </w:rPr>
              <w:t>时  分</w:t>
            </w:r>
            <w:r>
              <w:rPr>
                <w:rFonts w:ascii="黑体" w:hAnsi="黑体" w:eastAsia="黑体"/>
                <w:bCs/>
                <w:color w:val="000000" w:themeColor="text1"/>
                <w:kern w:val="11"/>
                <w:sz w:val="24"/>
                <w14:textFill>
                  <w14:solidFill>
                    <w14:schemeClr w14:val="tx1"/>
                  </w14:solidFill>
                </w14:textFill>
              </w:rPr>
              <w:t>之前不准启封（公章）</w:t>
            </w:r>
            <w:r>
              <w:rPr>
                <w:b/>
                <w:bCs/>
                <w:color w:val="000000" w:themeColor="text1"/>
                <w:kern w:val="11"/>
                <w:sz w:val="24"/>
                <w14:textFill>
                  <w14:solidFill>
                    <w14:schemeClr w14:val="tx1"/>
                  </w14:solidFill>
                </w14:textFill>
              </w:rPr>
              <w:t>----------------</w:t>
            </w:r>
          </w:p>
        </w:tc>
      </w:tr>
    </w:tbl>
    <w:p w14:paraId="05CB1973">
      <w:pPr>
        <w:ind w:firstLine="420"/>
        <w:rPr>
          <w:color w:val="000000" w:themeColor="text1"/>
          <w14:textFill>
            <w14:solidFill>
              <w14:schemeClr w14:val="tx1"/>
            </w14:solidFill>
          </w14:textFill>
        </w:rPr>
      </w:pPr>
    </w:p>
    <w:p w14:paraId="5B9BF185">
      <w:pPr>
        <w:pStyle w:val="2"/>
        <w:ind w:firstLine="560"/>
        <w:jc w:val="center"/>
        <w:rPr>
          <w:b/>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b/>
          <w:color w:val="000000" w:themeColor="text1"/>
          <w:sz w:val="44"/>
          <w:szCs w:val="44"/>
          <w14:textFill>
            <w14:solidFill>
              <w14:schemeClr w14:val="tx1"/>
            </w14:solidFill>
          </w14:textFill>
        </w:rPr>
        <w:t>响应确认信息表</w:t>
      </w:r>
    </w:p>
    <w:p w14:paraId="088D639F">
      <w:pPr>
        <w:widowControl/>
        <w:ind w:firstLine="560"/>
        <w:jc w:val="left"/>
        <w:rPr>
          <w:rFonts w:ascii="Arial" w:hAnsi="Arial" w:eastAsia="黑体"/>
          <w:bCs/>
          <w:color w:val="000000" w:themeColor="text1"/>
          <w:sz w:val="28"/>
          <w:szCs w:val="32"/>
          <w14:textFill>
            <w14:solidFill>
              <w14:schemeClr w14:val="tx1"/>
            </w14:solidFill>
          </w14:textFill>
        </w:rPr>
      </w:pPr>
    </w:p>
    <w:p w14:paraId="3333783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江苏省广电有线信息网络股份有限公司：</w:t>
      </w:r>
    </w:p>
    <w:p w14:paraId="5898C62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我单位申请参与贵单位项目。</w:t>
      </w:r>
    </w:p>
    <w:p w14:paraId="77F79C8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现委派我单位      (姓名)负责本项目报名和正式采购前的联系工作，详细信息如下（以下信息均为必填项）：</w:t>
      </w:r>
    </w:p>
    <w:p w14:paraId="713C4A91">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1.姓名：</w:t>
      </w:r>
    </w:p>
    <w:p w14:paraId="31059BFB">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2.身份证号：</w:t>
      </w:r>
    </w:p>
    <w:p w14:paraId="3F3DB70A">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3.职位：</w:t>
      </w:r>
    </w:p>
    <w:p w14:paraId="3DA3BFB8">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4.联系电话（手机）：</w:t>
      </w:r>
    </w:p>
    <w:p w14:paraId="4DFEBB74">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5.联系电子邮箱：</w:t>
      </w:r>
    </w:p>
    <w:p w14:paraId="406A212A">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6.微信号:</w:t>
      </w:r>
    </w:p>
    <w:p w14:paraId="428721CC">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7.响应文件递送方式：</w:t>
      </w:r>
    </w:p>
    <w:p w14:paraId="55286B45">
      <w:pPr>
        <w:spacing w:line="360" w:lineRule="auto"/>
        <w:ind w:firstLine="420"/>
        <w:rPr>
          <w:color w:val="000000" w:themeColor="text1"/>
          <w14:textFill>
            <w14:solidFill>
              <w14:schemeClr w14:val="tx1"/>
            </w14:solidFill>
          </w14:textFill>
        </w:rPr>
      </w:pPr>
    </w:p>
    <w:p w14:paraId="0AA81FF2">
      <w:pPr>
        <w:spacing w:line="360" w:lineRule="auto"/>
        <w:ind w:firstLine="420"/>
        <w:rPr>
          <w:color w:val="000000" w:themeColor="text1"/>
          <w14:textFill>
            <w14:solidFill>
              <w14:schemeClr w14:val="tx1"/>
            </w14:solidFill>
          </w14:textFill>
        </w:rPr>
      </w:pPr>
    </w:p>
    <w:p w14:paraId="6EDE2D46">
      <w:pPr>
        <w:spacing w:line="360" w:lineRule="auto"/>
        <w:ind w:firstLine="420"/>
        <w:rPr>
          <w:color w:val="000000" w:themeColor="text1"/>
          <w14:textFill>
            <w14:solidFill>
              <w14:schemeClr w14:val="tx1"/>
            </w14:solidFill>
          </w14:textFill>
        </w:rPr>
      </w:pPr>
    </w:p>
    <w:p w14:paraId="5C7BD6A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14:paraId="15E5D69A">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14:paraId="2D668BF1">
      <w:pPr>
        <w:pStyle w:val="26"/>
        <w:ind w:firstLine="200"/>
        <w:rPr>
          <w:color w:val="000000" w:themeColor="text1"/>
          <w14:textFill>
            <w14:solidFill>
              <w14:schemeClr w14:val="tx1"/>
            </w14:solidFill>
          </w14:textFill>
        </w:rPr>
      </w:pPr>
    </w:p>
    <w:p w14:paraId="521366A7">
      <w:pPr>
        <w:pStyle w:val="26"/>
        <w:ind w:firstLine="200"/>
        <w:rPr>
          <w:color w:val="000000" w:themeColor="text1"/>
          <w14:textFill>
            <w14:solidFill>
              <w14:schemeClr w14:val="tx1"/>
            </w14:solidFill>
          </w14:textFill>
        </w:rPr>
      </w:pPr>
    </w:p>
    <w:p w14:paraId="4D56072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宋体 + FPEF">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B156E">
    <w:pPr>
      <w:pStyle w:val="37"/>
      <w:jc w:val="center"/>
    </w:pPr>
    <w:r>
      <w:fldChar w:fldCharType="begin"/>
    </w:r>
    <w:r>
      <w:instrText xml:space="preserve">PAGE   \* MERGEFORMAT</w:instrText>
    </w:r>
    <w:r>
      <w:fldChar w:fldCharType="separate"/>
    </w:r>
    <w:r>
      <w:rPr>
        <w:lang w:val="zh-CN"/>
      </w:rPr>
      <w:t>2</w:t>
    </w:r>
    <w:r>
      <w:rPr>
        <w:lang w:val="zh-CN"/>
      </w:rPr>
      <w:fldChar w:fldCharType="end"/>
    </w:r>
  </w:p>
  <w:p w14:paraId="2E51ED36">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43AB">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97D5">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60D3B">
    <w:pPr>
      <w:pStyle w:val="37"/>
      <w:jc w:val="center"/>
    </w:pPr>
    <w:r>
      <w:fldChar w:fldCharType="begin"/>
    </w:r>
    <w:r>
      <w:rPr>
        <w:rStyle w:val="57"/>
      </w:rPr>
      <w:instrText xml:space="preserve"> PAGE </w:instrText>
    </w:r>
    <w:r>
      <w:fldChar w:fldCharType="separate"/>
    </w:r>
    <w:r>
      <w:rPr>
        <w:rStyle w:val="57"/>
      </w:rPr>
      <w:t>4</w:t>
    </w:r>
    <w:r>
      <w:fldChar w:fldCharType="end"/>
    </w:r>
  </w:p>
  <w:p w14:paraId="625651EB">
    <w:pPr>
      <w:pStyle w:val="3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A1003">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BA60">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2BAD4">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B9E7E">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F1E0"/>
    <w:multiLevelType w:val="singleLevel"/>
    <w:tmpl w:val="81EBF1E0"/>
    <w:lvl w:ilvl="0" w:tentative="0">
      <w:start w:val="1"/>
      <w:numFmt w:val="decimal"/>
      <w:suff w:val="space"/>
      <w:lvlText w:val="%1."/>
      <w:lvlJc w:val="left"/>
    </w:lvl>
  </w:abstractNum>
  <w:abstractNum w:abstractNumId="1">
    <w:nsid w:val="D5BB076C"/>
    <w:multiLevelType w:val="singleLevel"/>
    <w:tmpl w:val="D5BB076C"/>
    <w:lvl w:ilvl="0" w:tentative="0">
      <w:start w:val="2"/>
      <w:numFmt w:val="decimal"/>
      <w:suff w:val="nothing"/>
      <w:lvlText w:val="%1、"/>
      <w:lvlJc w:val="left"/>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8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9"/>
    <w:multiLevelType w:val="multilevel"/>
    <w:tmpl w:val="00000019"/>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2"/>
    <w:multiLevelType w:val="multilevel"/>
    <w:tmpl w:val="0000002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0">
    <w:nsid w:val="01323D43"/>
    <w:multiLevelType w:val="singleLevel"/>
    <w:tmpl w:val="01323D43"/>
    <w:lvl w:ilvl="0" w:tentative="0">
      <w:start w:val="1"/>
      <w:numFmt w:val="decimal"/>
      <w:suff w:val="space"/>
      <w:lvlText w:val="%1."/>
      <w:lvlJc w:val="left"/>
    </w:lvl>
  </w:abstractNum>
  <w:abstractNum w:abstractNumId="11">
    <w:nsid w:val="0440388E"/>
    <w:multiLevelType w:val="multilevel"/>
    <w:tmpl w:val="0440388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2EEF3A27"/>
    <w:multiLevelType w:val="multilevel"/>
    <w:tmpl w:val="2EEF3A2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3F316DE4"/>
    <w:multiLevelType w:val="multilevel"/>
    <w:tmpl w:val="3F316DE4"/>
    <w:lvl w:ilvl="0" w:tentative="0">
      <w:start w:val="1"/>
      <w:numFmt w:val="decimal"/>
      <w:pStyle w:val="11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6">
    <w:nsid w:val="4D9645EC"/>
    <w:multiLevelType w:val="multilevel"/>
    <w:tmpl w:val="4D9645EC"/>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7">
    <w:nsid w:val="4DD071F7"/>
    <w:multiLevelType w:val="multilevel"/>
    <w:tmpl w:val="4DD071F7"/>
    <w:lvl w:ilvl="0" w:tentative="0">
      <w:start w:val="1"/>
      <w:numFmt w:val="decimal"/>
      <w:suff w:val="space"/>
      <w:lvlText w:val="%1."/>
      <w:lvlJc w:val="left"/>
      <w:pPr>
        <w:ind w:left="420" w:hanging="420"/>
      </w:pPr>
      <w:rPr>
        <w:rFonts w:hint="eastAsia" w:ascii="黑体" w:hAnsi="黑体" w:eastAsia="黑体"/>
        <w:b w:val="0"/>
        <w:i w:val="0"/>
        <w:sz w:val="21"/>
      </w:rPr>
    </w:lvl>
    <w:lvl w:ilvl="1" w:tentative="0">
      <w:start w:val="1"/>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1276"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pStyle w:val="390"/>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8">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5"/>
  </w:num>
  <w:num w:numId="2">
    <w:abstractNumId w:val="9"/>
  </w:num>
  <w:num w:numId="3">
    <w:abstractNumId w:val="3"/>
  </w:num>
  <w:num w:numId="4">
    <w:abstractNumId w:val="17"/>
  </w:num>
  <w:num w:numId="5">
    <w:abstractNumId w:val="1"/>
  </w:num>
  <w:num w:numId="6">
    <w:abstractNumId w:val="2"/>
    <w:lvlOverride w:ilvl="1">
      <w:startOverride w:val="1"/>
    </w:lvlOverride>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4"/>
  </w:num>
  <w:num w:numId="12">
    <w:abstractNumId w:val="19"/>
  </w:num>
  <w:num w:numId="13">
    <w:abstractNumId w:val="4"/>
  </w:num>
  <w:num w:numId="14">
    <w:abstractNumId w:val="7"/>
  </w:num>
  <w:num w:numId="15">
    <w:abstractNumId w:val="0"/>
  </w:num>
  <w:num w:numId="16">
    <w:abstractNumId w:val="10"/>
  </w:num>
  <w:num w:numId="17">
    <w:abstractNumId w:val="11"/>
  </w:num>
  <w:num w:numId="18">
    <w:abstractNumId w:val="16"/>
  </w:num>
  <w:num w:numId="19">
    <w:abstractNumId w:val="12"/>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1YzlmZTVhNTU1YTIyNWNkOTM5OTVmY2YyZjE4NTUifQ=="/>
  </w:docVars>
  <w:rsids>
    <w:rsidRoot w:val="00C35117"/>
    <w:rsid w:val="0000525B"/>
    <w:rsid w:val="000059AF"/>
    <w:rsid w:val="0000663A"/>
    <w:rsid w:val="0000673F"/>
    <w:rsid w:val="00010853"/>
    <w:rsid w:val="00010FAE"/>
    <w:rsid w:val="000137EA"/>
    <w:rsid w:val="000173FE"/>
    <w:rsid w:val="0001764B"/>
    <w:rsid w:val="0004190C"/>
    <w:rsid w:val="00042CD9"/>
    <w:rsid w:val="0004330D"/>
    <w:rsid w:val="0005306B"/>
    <w:rsid w:val="000549E4"/>
    <w:rsid w:val="000554AA"/>
    <w:rsid w:val="00062DB0"/>
    <w:rsid w:val="000647AA"/>
    <w:rsid w:val="0006570E"/>
    <w:rsid w:val="00075020"/>
    <w:rsid w:val="000756D4"/>
    <w:rsid w:val="00075F43"/>
    <w:rsid w:val="00080C7D"/>
    <w:rsid w:val="00081746"/>
    <w:rsid w:val="00085CCF"/>
    <w:rsid w:val="00093D11"/>
    <w:rsid w:val="00094B57"/>
    <w:rsid w:val="000A0D77"/>
    <w:rsid w:val="000A2204"/>
    <w:rsid w:val="000B48AE"/>
    <w:rsid w:val="000B5E51"/>
    <w:rsid w:val="000C0246"/>
    <w:rsid w:val="000D2A5D"/>
    <w:rsid w:val="000D2F12"/>
    <w:rsid w:val="000D3976"/>
    <w:rsid w:val="000D45B8"/>
    <w:rsid w:val="000D48C6"/>
    <w:rsid w:val="000E2115"/>
    <w:rsid w:val="000E5547"/>
    <w:rsid w:val="000F1E15"/>
    <w:rsid w:val="000F2575"/>
    <w:rsid w:val="000F3B08"/>
    <w:rsid w:val="000F4968"/>
    <w:rsid w:val="000F5281"/>
    <w:rsid w:val="000F5ACF"/>
    <w:rsid w:val="000F620E"/>
    <w:rsid w:val="000F6A0C"/>
    <w:rsid w:val="00114BCF"/>
    <w:rsid w:val="0011567E"/>
    <w:rsid w:val="00120BCB"/>
    <w:rsid w:val="0012153B"/>
    <w:rsid w:val="001271E7"/>
    <w:rsid w:val="001357A3"/>
    <w:rsid w:val="00137E49"/>
    <w:rsid w:val="00142410"/>
    <w:rsid w:val="00143209"/>
    <w:rsid w:val="00154069"/>
    <w:rsid w:val="00155D2A"/>
    <w:rsid w:val="001626BD"/>
    <w:rsid w:val="001670B8"/>
    <w:rsid w:val="001676CD"/>
    <w:rsid w:val="00167BF4"/>
    <w:rsid w:val="001704F6"/>
    <w:rsid w:val="00176484"/>
    <w:rsid w:val="00185D43"/>
    <w:rsid w:val="00190D84"/>
    <w:rsid w:val="001A2A48"/>
    <w:rsid w:val="001A7C0D"/>
    <w:rsid w:val="001B1723"/>
    <w:rsid w:val="001B2181"/>
    <w:rsid w:val="001B25D2"/>
    <w:rsid w:val="001B4B7F"/>
    <w:rsid w:val="001B7F29"/>
    <w:rsid w:val="001C19DC"/>
    <w:rsid w:val="001C6755"/>
    <w:rsid w:val="001D09EA"/>
    <w:rsid w:val="001D4528"/>
    <w:rsid w:val="001E0AFB"/>
    <w:rsid w:val="001E3395"/>
    <w:rsid w:val="001E3CE4"/>
    <w:rsid w:val="001E6D1C"/>
    <w:rsid w:val="001F0C7D"/>
    <w:rsid w:val="001F352B"/>
    <w:rsid w:val="001F3FD1"/>
    <w:rsid w:val="00221A2E"/>
    <w:rsid w:val="002220E7"/>
    <w:rsid w:val="00223D3D"/>
    <w:rsid w:val="0022555F"/>
    <w:rsid w:val="00230414"/>
    <w:rsid w:val="0023342C"/>
    <w:rsid w:val="00241B01"/>
    <w:rsid w:val="00244AD8"/>
    <w:rsid w:val="00254722"/>
    <w:rsid w:val="002566F9"/>
    <w:rsid w:val="00257D27"/>
    <w:rsid w:val="00262D21"/>
    <w:rsid w:val="002661D4"/>
    <w:rsid w:val="00277533"/>
    <w:rsid w:val="002779D2"/>
    <w:rsid w:val="002807BF"/>
    <w:rsid w:val="00285C7D"/>
    <w:rsid w:val="0029050F"/>
    <w:rsid w:val="002A0F66"/>
    <w:rsid w:val="002A54AF"/>
    <w:rsid w:val="002A54D2"/>
    <w:rsid w:val="002B00EA"/>
    <w:rsid w:val="002B45F4"/>
    <w:rsid w:val="002C5D1F"/>
    <w:rsid w:val="002C61C6"/>
    <w:rsid w:val="002C6A3D"/>
    <w:rsid w:val="002C720F"/>
    <w:rsid w:val="002D2214"/>
    <w:rsid w:val="002D4EA2"/>
    <w:rsid w:val="002D781C"/>
    <w:rsid w:val="002E3B62"/>
    <w:rsid w:val="002E45BD"/>
    <w:rsid w:val="00307A72"/>
    <w:rsid w:val="00310ABC"/>
    <w:rsid w:val="00312282"/>
    <w:rsid w:val="0031241D"/>
    <w:rsid w:val="00313FFC"/>
    <w:rsid w:val="00323D76"/>
    <w:rsid w:val="00326CB1"/>
    <w:rsid w:val="00334051"/>
    <w:rsid w:val="0033651C"/>
    <w:rsid w:val="003433A7"/>
    <w:rsid w:val="0034681B"/>
    <w:rsid w:val="0035061E"/>
    <w:rsid w:val="003513FC"/>
    <w:rsid w:val="00355C98"/>
    <w:rsid w:val="003737CF"/>
    <w:rsid w:val="0038047E"/>
    <w:rsid w:val="00384E56"/>
    <w:rsid w:val="00386BFF"/>
    <w:rsid w:val="00390BB1"/>
    <w:rsid w:val="003944CC"/>
    <w:rsid w:val="003956AB"/>
    <w:rsid w:val="003961EA"/>
    <w:rsid w:val="003A3E09"/>
    <w:rsid w:val="003A4B7A"/>
    <w:rsid w:val="003A64D7"/>
    <w:rsid w:val="003A7214"/>
    <w:rsid w:val="003B1DE1"/>
    <w:rsid w:val="003B3FF6"/>
    <w:rsid w:val="003B5559"/>
    <w:rsid w:val="003C003A"/>
    <w:rsid w:val="003C3A54"/>
    <w:rsid w:val="003C7323"/>
    <w:rsid w:val="003D0B6E"/>
    <w:rsid w:val="003D1F79"/>
    <w:rsid w:val="003D77E0"/>
    <w:rsid w:val="003E0115"/>
    <w:rsid w:val="003E69BD"/>
    <w:rsid w:val="0040198B"/>
    <w:rsid w:val="004222CA"/>
    <w:rsid w:val="00424B8B"/>
    <w:rsid w:val="00431E76"/>
    <w:rsid w:val="00444E2A"/>
    <w:rsid w:val="004463BC"/>
    <w:rsid w:val="004475F7"/>
    <w:rsid w:val="00453C7D"/>
    <w:rsid w:val="00463BCF"/>
    <w:rsid w:val="004645A2"/>
    <w:rsid w:val="00467320"/>
    <w:rsid w:val="004708ED"/>
    <w:rsid w:val="004811F2"/>
    <w:rsid w:val="00490667"/>
    <w:rsid w:val="00491C85"/>
    <w:rsid w:val="00493667"/>
    <w:rsid w:val="004A05D0"/>
    <w:rsid w:val="004A1510"/>
    <w:rsid w:val="004A4204"/>
    <w:rsid w:val="004A47C0"/>
    <w:rsid w:val="004A51CD"/>
    <w:rsid w:val="004B26E3"/>
    <w:rsid w:val="004B370E"/>
    <w:rsid w:val="004B45E7"/>
    <w:rsid w:val="004B72D3"/>
    <w:rsid w:val="004C44D9"/>
    <w:rsid w:val="004C4CF2"/>
    <w:rsid w:val="004C6B4F"/>
    <w:rsid w:val="004D1D9A"/>
    <w:rsid w:val="004D5E83"/>
    <w:rsid w:val="004E14DF"/>
    <w:rsid w:val="004E786F"/>
    <w:rsid w:val="004F3907"/>
    <w:rsid w:val="004F6840"/>
    <w:rsid w:val="00507249"/>
    <w:rsid w:val="00507CBD"/>
    <w:rsid w:val="00510348"/>
    <w:rsid w:val="00512E5B"/>
    <w:rsid w:val="00521674"/>
    <w:rsid w:val="00522896"/>
    <w:rsid w:val="0052473F"/>
    <w:rsid w:val="00530EF2"/>
    <w:rsid w:val="005366DC"/>
    <w:rsid w:val="0054020C"/>
    <w:rsid w:val="0054455E"/>
    <w:rsid w:val="0054511C"/>
    <w:rsid w:val="00552E49"/>
    <w:rsid w:val="0055439D"/>
    <w:rsid w:val="005550E2"/>
    <w:rsid w:val="00556C40"/>
    <w:rsid w:val="0056540D"/>
    <w:rsid w:val="00567662"/>
    <w:rsid w:val="00571D90"/>
    <w:rsid w:val="0057218F"/>
    <w:rsid w:val="005725F0"/>
    <w:rsid w:val="005812B6"/>
    <w:rsid w:val="00582215"/>
    <w:rsid w:val="0058502F"/>
    <w:rsid w:val="005870A7"/>
    <w:rsid w:val="005A6900"/>
    <w:rsid w:val="005A6E18"/>
    <w:rsid w:val="005B6E20"/>
    <w:rsid w:val="005C158D"/>
    <w:rsid w:val="005C1E9D"/>
    <w:rsid w:val="005C4C1B"/>
    <w:rsid w:val="005C50E9"/>
    <w:rsid w:val="005C6360"/>
    <w:rsid w:val="005D2253"/>
    <w:rsid w:val="005D2D86"/>
    <w:rsid w:val="005D37A0"/>
    <w:rsid w:val="005E5026"/>
    <w:rsid w:val="005F1DAE"/>
    <w:rsid w:val="00601130"/>
    <w:rsid w:val="00606E0F"/>
    <w:rsid w:val="0061094D"/>
    <w:rsid w:val="00615E67"/>
    <w:rsid w:val="006161F8"/>
    <w:rsid w:val="0063531A"/>
    <w:rsid w:val="006425A8"/>
    <w:rsid w:val="00643F86"/>
    <w:rsid w:val="006523BB"/>
    <w:rsid w:val="00664B6D"/>
    <w:rsid w:val="00671037"/>
    <w:rsid w:val="006727BB"/>
    <w:rsid w:val="006819FB"/>
    <w:rsid w:val="00685AA1"/>
    <w:rsid w:val="0068747B"/>
    <w:rsid w:val="00694305"/>
    <w:rsid w:val="006A0951"/>
    <w:rsid w:val="006A4ADB"/>
    <w:rsid w:val="006A76F2"/>
    <w:rsid w:val="006C3F57"/>
    <w:rsid w:val="006C526F"/>
    <w:rsid w:val="006C679D"/>
    <w:rsid w:val="006D21A0"/>
    <w:rsid w:val="006D3A49"/>
    <w:rsid w:val="006D50B1"/>
    <w:rsid w:val="006D5B9E"/>
    <w:rsid w:val="006E382E"/>
    <w:rsid w:val="006E4A7F"/>
    <w:rsid w:val="006F23B7"/>
    <w:rsid w:val="006F4874"/>
    <w:rsid w:val="0070295F"/>
    <w:rsid w:val="00702C9C"/>
    <w:rsid w:val="007302A1"/>
    <w:rsid w:val="007306BD"/>
    <w:rsid w:val="0073224B"/>
    <w:rsid w:val="00734269"/>
    <w:rsid w:val="00753932"/>
    <w:rsid w:val="00761A31"/>
    <w:rsid w:val="007821F2"/>
    <w:rsid w:val="00784E42"/>
    <w:rsid w:val="00786005"/>
    <w:rsid w:val="00790A6B"/>
    <w:rsid w:val="00792731"/>
    <w:rsid w:val="00793BD0"/>
    <w:rsid w:val="00795CCC"/>
    <w:rsid w:val="0079737F"/>
    <w:rsid w:val="007A3893"/>
    <w:rsid w:val="007B3BDB"/>
    <w:rsid w:val="007B5A4B"/>
    <w:rsid w:val="007B65E9"/>
    <w:rsid w:val="007C0629"/>
    <w:rsid w:val="007C3ED2"/>
    <w:rsid w:val="007C7001"/>
    <w:rsid w:val="007D45AC"/>
    <w:rsid w:val="007D4E83"/>
    <w:rsid w:val="007D5DD3"/>
    <w:rsid w:val="007D61E8"/>
    <w:rsid w:val="007D79CD"/>
    <w:rsid w:val="007E37AF"/>
    <w:rsid w:val="007E4DB7"/>
    <w:rsid w:val="00800A74"/>
    <w:rsid w:val="00801601"/>
    <w:rsid w:val="008022EE"/>
    <w:rsid w:val="008023FA"/>
    <w:rsid w:val="00803FF4"/>
    <w:rsid w:val="0080471E"/>
    <w:rsid w:val="00805B3C"/>
    <w:rsid w:val="008277E2"/>
    <w:rsid w:val="00836ECD"/>
    <w:rsid w:val="00842978"/>
    <w:rsid w:val="00853D71"/>
    <w:rsid w:val="00856B0B"/>
    <w:rsid w:val="00862C75"/>
    <w:rsid w:val="008820DA"/>
    <w:rsid w:val="00882743"/>
    <w:rsid w:val="008843D2"/>
    <w:rsid w:val="008913AB"/>
    <w:rsid w:val="00896788"/>
    <w:rsid w:val="0089754D"/>
    <w:rsid w:val="008B2FA6"/>
    <w:rsid w:val="008C0CD3"/>
    <w:rsid w:val="008C1E1B"/>
    <w:rsid w:val="008D2988"/>
    <w:rsid w:val="008D5F7B"/>
    <w:rsid w:val="008D7540"/>
    <w:rsid w:val="008D7565"/>
    <w:rsid w:val="008E00FB"/>
    <w:rsid w:val="008E04F3"/>
    <w:rsid w:val="008E7CD2"/>
    <w:rsid w:val="008F3984"/>
    <w:rsid w:val="008F458A"/>
    <w:rsid w:val="008F4854"/>
    <w:rsid w:val="00901426"/>
    <w:rsid w:val="009017D7"/>
    <w:rsid w:val="00910083"/>
    <w:rsid w:val="00910D18"/>
    <w:rsid w:val="00911302"/>
    <w:rsid w:val="00911714"/>
    <w:rsid w:val="009126A2"/>
    <w:rsid w:val="00924A6E"/>
    <w:rsid w:val="00927016"/>
    <w:rsid w:val="00934F2A"/>
    <w:rsid w:val="0094499A"/>
    <w:rsid w:val="00945C63"/>
    <w:rsid w:val="00951FF6"/>
    <w:rsid w:val="0095298D"/>
    <w:rsid w:val="00954BFF"/>
    <w:rsid w:val="00957AD3"/>
    <w:rsid w:val="00960B99"/>
    <w:rsid w:val="009611BD"/>
    <w:rsid w:val="0096174F"/>
    <w:rsid w:val="009716F9"/>
    <w:rsid w:val="009730B5"/>
    <w:rsid w:val="00973EA7"/>
    <w:rsid w:val="00973FD7"/>
    <w:rsid w:val="00981E95"/>
    <w:rsid w:val="00995984"/>
    <w:rsid w:val="0099659F"/>
    <w:rsid w:val="009A33A0"/>
    <w:rsid w:val="009B5B7E"/>
    <w:rsid w:val="009B6367"/>
    <w:rsid w:val="009C0805"/>
    <w:rsid w:val="009C170F"/>
    <w:rsid w:val="009C3588"/>
    <w:rsid w:val="009C7053"/>
    <w:rsid w:val="009D54CC"/>
    <w:rsid w:val="009E4F11"/>
    <w:rsid w:val="009E578A"/>
    <w:rsid w:val="009E5E5D"/>
    <w:rsid w:val="009E72BA"/>
    <w:rsid w:val="009F070A"/>
    <w:rsid w:val="009F5EB1"/>
    <w:rsid w:val="009F6ACC"/>
    <w:rsid w:val="00A003D8"/>
    <w:rsid w:val="00A15CB9"/>
    <w:rsid w:val="00A1647B"/>
    <w:rsid w:val="00A1745B"/>
    <w:rsid w:val="00A21744"/>
    <w:rsid w:val="00A246A6"/>
    <w:rsid w:val="00A2690B"/>
    <w:rsid w:val="00A271F8"/>
    <w:rsid w:val="00A334ED"/>
    <w:rsid w:val="00A339CC"/>
    <w:rsid w:val="00A34BEC"/>
    <w:rsid w:val="00A36B1D"/>
    <w:rsid w:val="00A379B5"/>
    <w:rsid w:val="00A37EA3"/>
    <w:rsid w:val="00A43C36"/>
    <w:rsid w:val="00A463AF"/>
    <w:rsid w:val="00A51486"/>
    <w:rsid w:val="00A61AB3"/>
    <w:rsid w:val="00A64A1C"/>
    <w:rsid w:val="00A70BD9"/>
    <w:rsid w:val="00A7597C"/>
    <w:rsid w:val="00A86B98"/>
    <w:rsid w:val="00A92C95"/>
    <w:rsid w:val="00A95E47"/>
    <w:rsid w:val="00AA0842"/>
    <w:rsid w:val="00AB43F7"/>
    <w:rsid w:val="00AB756D"/>
    <w:rsid w:val="00AC332E"/>
    <w:rsid w:val="00AC5013"/>
    <w:rsid w:val="00AC72BF"/>
    <w:rsid w:val="00AD3B9F"/>
    <w:rsid w:val="00AE12DD"/>
    <w:rsid w:val="00AE6DF5"/>
    <w:rsid w:val="00AF0466"/>
    <w:rsid w:val="00AF688C"/>
    <w:rsid w:val="00B0188B"/>
    <w:rsid w:val="00B036FD"/>
    <w:rsid w:val="00B03704"/>
    <w:rsid w:val="00B14518"/>
    <w:rsid w:val="00B2621F"/>
    <w:rsid w:val="00B26CF2"/>
    <w:rsid w:val="00B27649"/>
    <w:rsid w:val="00B35D93"/>
    <w:rsid w:val="00B40A28"/>
    <w:rsid w:val="00B45326"/>
    <w:rsid w:val="00B52F6F"/>
    <w:rsid w:val="00B54E30"/>
    <w:rsid w:val="00B61CB8"/>
    <w:rsid w:val="00B707CE"/>
    <w:rsid w:val="00B712D0"/>
    <w:rsid w:val="00B72401"/>
    <w:rsid w:val="00B739A5"/>
    <w:rsid w:val="00B73FBD"/>
    <w:rsid w:val="00B8298E"/>
    <w:rsid w:val="00B86137"/>
    <w:rsid w:val="00BB372E"/>
    <w:rsid w:val="00BB3A34"/>
    <w:rsid w:val="00BB6CEB"/>
    <w:rsid w:val="00BC1809"/>
    <w:rsid w:val="00BC1E6C"/>
    <w:rsid w:val="00BC2978"/>
    <w:rsid w:val="00BC34FD"/>
    <w:rsid w:val="00BC780A"/>
    <w:rsid w:val="00BD7C1B"/>
    <w:rsid w:val="00BE5A11"/>
    <w:rsid w:val="00BF164E"/>
    <w:rsid w:val="00BF4351"/>
    <w:rsid w:val="00BF450E"/>
    <w:rsid w:val="00C04003"/>
    <w:rsid w:val="00C0660C"/>
    <w:rsid w:val="00C07A86"/>
    <w:rsid w:val="00C12F14"/>
    <w:rsid w:val="00C1666B"/>
    <w:rsid w:val="00C16A46"/>
    <w:rsid w:val="00C17096"/>
    <w:rsid w:val="00C20D57"/>
    <w:rsid w:val="00C24F5F"/>
    <w:rsid w:val="00C3334A"/>
    <w:rsid w:val="00C35117"/>
    <w:rsid w:val="00C35B85"/>
    <w:rsid w:val="00C37C84"/>
    <w:rsid w:val="00C4038F"/>
    <w:rsid w:val="00C40ABB"/>
    <w:rsid w:val="00C45548"/>
    <w:rsid w:val="00C53366"/>
    <w:rsid w:val="00C60080"/>
    <w:rsid w:val="00C71F09"/>
    <w:rsid w:val="00C742AC"/>
    <w:rsid w:val="00C771A6"/>
    <w:rsid w:val="00C77955"/>
    <w:rsid w:val="00C807AD"/>
    <w:rsid w:val="00C82E08"/>
    <w:rsid w:val="00C85B51"/>
    <w:rsid w:val="00C909A0"/>
    <w:rsid w:val="00C96ABF"/>
    <w:rsid w:val="00CA076F"/>
    <w:rsid w:val="00CA1464"/>
    <w:rsid w:val="00CA3099"/>
    <w:rsid w:val="00CB2B4C"/>
    <w:rsid w:val="00CB65DE"/>
    <w:rsid w:val="00CD2995"/>
    <w:rsid w:val="00CD43DB"/>
    <w:rsid w:val="00CE1BB3"/>
    <w:rsid w:val="00CE6546"/>
    <w:rsid w:val="00CE6D1D"/>
    <w:rsid w:val="00CF310D"/>
    <w:rsid w:val="00D023F4"/>
    <w:rsid w:val="00D03D18"/>
    <w:rsid w:val="00D06764"/>
    <w:rsid w:val="00D13FC0"/>
    <w:rsid w:val="00D15F28"/>
    <w:rsid w:val="00D15FE5"/>
    <w:rsid w:val="00D16E3E"/>
    <w:rsid w:val="00D17D09"/>
    <w:rsid w:val="00D17DB9"/>
    <w:rsid w:val="00D31C02"/>
    <w:rsid w:val="00D36A6B"/>
    <w:rsid w:val="00D37B5C"/>
    <w:rsid w:val="00D423B8"/>
    <w:rsid w:val="00D4559C"/>
    <w:rsid w:val="00D45C25"/>
    <w:rsid w:val="00D46D6A"/>
    <w:rsid w:val="00D51D08"/>
    <w:rsid w:val="00D5300D"/>
    <w:rsid w:val="00D55F64"/>
    <w:rsid w:val="00D7201D"/>
    <w:rsid w:val="00D76134"/>
    <w:rsid w:val="00D81C8C"/>
    <w:rsid w:val="00D86B1E"/>
    <w:rsid w:val="00D96A42"/>
    <w:rsid w:val="00D97173"/>
    <w:rsid w:val="00DA36FC"/>
    <w:rsid w:val="00DA46A8"/>
    <w:rsid w:val="00DA49F4"/>
    <w:rsid w:val="00DB4D29"/>
    <w:rsid w:val="00DC354E"/>
    <w:rsid w:val="00DC477C"/>
    <w:rsid w:val="00DD3EB4"/>
    <w:rsid w:val="00DD5BF1"/>
    <w:rsid w:val="00DE676A"/>
    <w:rsid w:val="00DF0ABA"/>
    <w:rsid w:val="00DF430E"/>
    <w:rsid w:val="00DF5548"/>
    <w:rsid w:val="00E010AA"/>
    <w:rsid w:val="00E01C5F"/>
    <w:rsid w:val="00E01F29"/>
    <w:rsid w:val="00E21C05"/>
    <w:rsid w:val="00E33599"/>
    <w:rsid w:val="00E33AFB"/>
    <w:rsid w:val="00E33E7C"/>
    <w:rsid w:val="00E40451"/>
    <w:rsid w:val="00E439C5"/>
    <w:rsid w:val="00E51CEF"/>
    <w:rsid w:val="00E53EC8"/>
    <w:rsid w:val="00E5581E"/>
    <w:rsid w:val="00E6633E"/>
    <w:rsid w:val="00E73D5A"/>
    <w:rsid w:val="00E77EAF"/>
    <w:rsid w:val="00E825E8"/>
    <w:rsid w:val="00E8290B"/>
    <w:rsid w:val="00E85B83"/>
    <w:rsid w:val="00E90ED2"/>
    <w:rsid w:val="00E94027"/>
    <w:rsid w:val="00EB10E2"/>
    <w:rsid w:val="00EC429E"/>
    <w:rsid w:val="00EC58CE"/>
    <w:rsid w:val="00ED2501"/>
    <w:rsid w:val="00EE3A87"/>
    <w:rsid w:val="00EE6177"/>
    <w:rsid w:val="00EF1137"/>
    <w:rsid w:val="00EF45D4"/>
    <w:rsid w:val="00F009C9"/>
    <w:rsid w:val="00F033A7"/>
    <w:rsid w:val="00F058F0"/>
    <w:rsid w:val="00F07A72"/>
    <w:rsid w:val="00F11CF2"/>
    <w:rsid w:val="00F139A7"/>
    <w:rsid w:val="00F1409A"/>
    <w:rsid w:val="00F21D57"/>
    <w:rsid w:val="00F2695D"/>
    <w:rsid w:val="00F30C5C"/>
    <w:rsid w:val="00F36C18"/>
    <w:rsid w:val="00F45BBE"/>
    <w:rsid w:val="00F60A58"/>
    <w:rsid w:val="00F6431E"/>
    <w:rsid w:val="00F67B3B"/>
    <w:rsid w:val="00F70738"/>
    <w:rsid w:val="00F71709"/>
    <w:rsid w:val="00F72090"/>
    <w:rsid w:val="00F73A0D"/>
    <w:rsid w:val="00F75865"/>
    <w:rsid w:val="00F76047"/>
    <w:rsid w:val="00F879E7"/>
    <w:rsid w:val="00F90467"/>
    <w:rsid w:val="00F93A71"/>
    <w:rsid w:val="00F94EC3"/>
    <w:rsid w:val="00F967BD"/>
    <w:rsid w:val="00F970E3"/>
    <w:rsid w:val="00FA0EBB"/>
    <w:rsid w:val="00FA2330"/>
    <w:rsid w:val="00FA39A3"/>
    <w:rsid w:val="00FB0CED"/>
    <w:rsid w:val="00FB27E7"/>
    <w:rsid w:val="00FB4551"/>
    <w:rsid w:val="00FB5178"/>
    <w:rsid w:val="00FB77D2"/>
    <w:rsid w:val="00FD182D"/>
    <w:rsid w:val="00FD3D67"/>
    <w:rsid w:val="00FD6D08"/>
    <w:rsid w:val="00FE610C"/>
    <w:rsid w:val="00FE64E6"/>
    <w:rsid w:val="00FF145F"/>
    <w:rsid w:val="00FF3ECA"/>
    <w:rsid w:val="00FF704B"/>
    <w:rsid w:val="00FF75D5"/>
    <w:rsid w:val="02386B05"/>
    <w:rsid w:val="027005B5"/>
    <w:rsid w:val="03F23337"/>
    <w:rsid w:val="05A54A82"/>
    <w:rsid w:val="05FD333E"/>
    <w:rsid w:val="062E084C"/>
    <w:rsid w:val="06785A98"/>
    <w:rsid w:val="06E45372"/>
    <w:rsid w:val="09E10F4D"/>
    <w:rsid w:val="0A8C26DA"/>
    <w:rsid w:val="0C52460F"/>
    <w:rsid w:val="0C9E0AC9"/>
    <w:rsid w:val="0CBF23F5"/>
    <w:rsid w:val="0D61202E"/>
    <w:rsid w:val="0D682B07"/>
    <w:rsid w:val="0ED87C76"/>
    <w:rsid w:val="127862DD"/>
    <w:rsid w:val="128E362E"/>
    <w:rsid w:val="12FE0489"/>
    <w:rsid w:val="1575123D"/>
    <w:rsid w:val="176035BC"/>
    <w:rsid w:val="18133B7E"/>
    <w:rsid w:val="1AE15926"/>
    <w:rsid w:val="1B762B2C"/>
    <w:rsid w:val="1C2557CE"/>
    <w:rsid w:val="1F602E7C"/>
    <w:rsid w:val="1FD17C79"/>
    <w:rsid w:val="206D3F96"/>
    <w:rsid w:val="207A092D"/>
    <w:rsid w:val="217B7E1D"/>
    <w:rsid w:val="23DF4495"/>
    <w:rsid w:val="25A920F9"/>
    <w:rsid w:val="27672245"/>
    <w:rsid w:val="2C495EB0"/>
    <w:rsid w:val="2E5C3250"/>
    <w:rsid w:val="2FD82D6F"/>
    <w:rsid w:val="30124C6C"/>
    <w:rsid w:val="30D17069"/>
    <w:rsid w:val="312100DD"/>
    <w:rsid w:val="314D6F8B"/>
    <w:rsid w:val="317D48CE"/>
    <w:rsid w:val="323A1884"/>
    <w:rsid w:val="32572B09"/>
    <w:rsid w:val="336612DC"/>
    <w:rsid w:val="362D7E7A"/>
    <w:rsid w:val="372111C5"/>
    <w:rsid w:val="37B71D80"/>
    <w:rsid w:val="384A639F"/>
    <w:rsid w:val="38567CB7"/>
    <w:rsid w:val="3AD70075"/>
    <w:rsid w:val="3C812A95"/>
    <w:rsid w:val="3F093F8C"/>
    <w:rsid w:val="3F400856"/>
    <w:rsid w:val="407C60B9"/>
    <w:rsid w:val="40E13EB9"/>
    <w:rsid w:val="4153125A"/>
    <w:rsid w:val="422D22D9"/>
    <w:rsid w:val="432D1637"/>
    <w:rsid w:val="434472E0"/>
    <w:rsid w:val="44615A3C"/>
    <w:rsid w:val="456E4DC1"/>
    <w:rsid w:val="482C0A84"/>
    <w:rsid w:val="492F278C"/>
    <w:rsid w:val="49417046"/>
    <w:rsid w:val="4A9517DF"/>
    <w:rsid w:val="4B42196B"/>
    <w:rsid w:val="4E081445"/>
    <w:rsid w:val="4E974C10"/>
    <w:rsid w:val="4E9F2EED"/>
    <w:rsid w:val="4EA9509B"/>
    <w:rsid w:val="50DB410A"/>
    <w:rsid w:val="53146370"/>
    <w:rsid w:val="5690477B"/>
    <w:rsid w:val="58314AF1"/>
    <w:rsid w:val="598E5B08"/>
    <w:rsid w:val="59BB7545"/>
    <w:rsid w:val="5C163158"/>
    <w:rsid w:val="5CC47F55"/>
    <w:rsid w:val="5D431D2B"/>
    <w:rsid w:val="5F7E5E94"/>
    <w:rsid w:val="5FBD53E9"/>
    <w:rsid w:val="604C5D33"/>
    <w:rsid w:val="60B42034"/>
    <w:rsid w:val="60E735A2"/>
    <w:rsid w:val="6170330B"/>
    <w:rsid w:val="624D4A02"/>
    <w:rsid w:val="65A03D06"/>
    <w:rsid w:val="67A564F8"/>
    <w:rsid w:val="68366B24"/>
    <w:rsid w:val="68F00F3B"/>
    <w:rsid w:val="6B3739CD"/>
    <w:rsid w:val="6BA9331E"/>
    <w:rsid w:val="6BDE4371"/>
    <w:rsid w:val="6DFC6B36"/>
    <w:rsid w:val="70494955"/>
    <w:rsid w:val="71175551"/>
    <w:rsid w:val="71477CCB"/>
    <w:rsid w:val="72F27B82"/>
    <w:rsid w:val="757403BB"/>
    <w:rsid w:val="79031102"/>
    <w:rsid w:val="7A946425"/>
    <w:rsid w:val="7CF10198"/>
    <w:rsid w:val="7D3D1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0"/>
    <w:pPr>
      <w:keepNext/>
      <w:keepLines/>
      <w:spacing w:before="340" w:after="330" w:line="578" w:lineRule="auto"/>
      <w:jc w:val="center"/>
      <w:outlineLvl w:val="0"/>
    </w:pPr>
    <w:rPr>
      <w:rFonts w:eastAsia="黑体"/>
      <w:bCs/>
      <w:kern w:val="44"/>
      <w:sz w:val="30"/>
      <w:szCs w:val="44"/>
    </w:rPr>
  </w:style>
  <w:style w:type="paragraph" w:styleId="4">
    <w:name w:val="heading 2"/>
    <w:basedOn w:val="1"/>
    <w:next w:val="1"/>
    <w:link w:val="65"/>
    <w:autoRedefine/>
    <w:qFormat/>
    <w:uiPriority w:val="99"/>
    <w:pPr>
      <w:keepNext/>
      <w:keepLines/>
      <w:snapToGrid w:val="0"/>
      <w:spacing w:beforeLines="100" w:afterLines="100" w:line="415" w:lineRule="auto"/>
      <w:ind w:right="210" w:rightChars="100"/>
      <w:outlineLvl w:val="1"/>
    </w:pPr>
    <w:rPr>
      <w:rFonts w:ascii="Arial" w:hAnsi="宋体" w:eastAsia="黑体"/>
      <w:bCs/>
      <w:color w:val="000000" w:themeColor="text1"/>
      <w:sz w:val="24"/>
      <w14:textFill>
        <w14:solidFill>
          <w14:schemeClr w14:val="tx1"/>
        </w14:solidFill>
      </w14:textFill>
    </w:rPr>
  </w:style>
  <w:style w:type="paragraph" w:styleId="5">
    <w:name w:val="heading 3"/>
    <w:basedOn w:val="1"/>
    <w:next w:val="1"/>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link w:val="67"/>
    <w:autoRedefine/>
    <w:qFormat/>
    <w:uiPriority w:val="0"/>
    <w:pPr>
      <w:keepNext/>
      <w:outlineLvl w:val="3"/>
    </w:pPr>
    <w:rPr>
      <w:sz w:val="28"/>
      <w:szCs w:val="20"/>
    </w:rPr>
  </w:style>
  <w:style w:type="paragraph" w:styleId="6">
    <w:name w:val="heading 5"/>
    <w:basedOn w:val="1"/>
    <w:next w:val="1"/>
    <w:link w:val="68"/>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9"/>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0"/>
    <w:autoRedefine/>
    <w:qFormat/>
    <w:uiPriority w:val="99"/>
    <w:pPr>
      <w:keepNext/>
      <w:keepLines/>
      <w:spacing w:before="240" w:after="64" w:line="320" w:lineRule="auto"/>
      <w:outlineLvl w:val="6"/>
    </w:pPr>
    <w:rPr>
      <w:b/>
      <w:bCs/>
      <w:sz w:val="24"/>
    </w:rPr>
  </w:style>
  <w:style w:type="paragraph" w:styleId="9">
    <w:name w:val="heading 8"/>
    <w:basedOn w:val="1"/>
    <w:next w:val="1"/>
    <w:link w:val="71"/>
    <w:autoRedefine/>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72"/>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99"/>
    <w:pPr>
      <w:ind w:left="2520" w:leftChars="1200"/>
    </w:pPr>
    <w:rPr>
      <w:rFonts w:ascii="Calibri" w:hAnsi="Calibri"/>
      <w:szCs w:val="22"/>
    </w:rPr>
  </w:style>
  <w:style w:type="paragraph" w:styleId="12">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3">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4">
    <w:name w:val="List Number"/>
    <w:basedOn w:val="1"/>
    <w:autoRedefine/>
    <w:qFormat/>
    <w:uiPriority w:val="99"/>
    <w:pPr>
      <w:tabs>
        <w:tab w:val="left" w:pos="360"/>
      </w:tabs>
      <w:ind w:left="360" w:hanging="200" w:hangingChars="200"/>
    </w:pPr>
  </w:style>
  <w:style w:type="paragraph" w:styleId="15">
    <w:name w:val="Normal Indent"/>
    <w:basedOn w:val="1"/>
    <w:link w:val="89"/>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73"/>
    <w:autoRedefine/>
    <w:semiHidden/>
    <w:qFormat/>
    <w:uiPriority w:val="99"/>
    <w:rPr>
      <w:rFonts w:ascii="宋体"/>
      <w:sz w:val="18"/>
      <w:szCs w:val="18"/>
    </w:rPr>
  </w:style>
  <w:style w:type="paragraph" w:styleId="18">
    <w:name w:val="annotation text"/>
    <w:basedOn w:val="1"/>
    <w:link w:val="74"/>
    <w:autoRedefine/>
    <w:qFormat/>
    <w:uiPriority w:val="99"/>
    <w:pPr>
      <w:jc w:val="left"/>
    </w:pPr>
    <w:rPr>
      <w:rFonts w:ascii="宋体" w:hAnsi="宋体"/>
      <w:kern w:val="0"/>
      <w:szCs w:val="20"/>
    </w:rPr>
  </w:style>
  <w:style w:type="paragraph" w:styleId="19">
    <w:name w:val="Body Text 3"/>
    <w:basedOn w:val="1"/>
    <w:link w:val="75"/>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6"/>
    <w:autoRedefine/>
    <w:qFormat/>
    <w:uiPriority w:val="99"/>
    <w:rPr>
      <w:sz w:val="28"/>
      <w:szCs w:val="20"/>
    </w:rPr>
  </w:style>
  <w:style w:type="paragraph" w:styleId="22">
    <w:name w:val="Body Text Indent"/>
    <w:basedOn w:val="1"/>
    <w:link w:val="77"/>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8"/>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next w:val="30"/>
    <w:link w:val="79"/>
    <w:autoRedefine/>
    <w:qFormat/>
    <w:uiPriority w:val="99"/>
    <w:rPr>
      <w:rFonts w:ascii="宋体" w:hAnsi="Courier New"/>
      <w:szCs w:val="20"/>
    </w:rPr>
  </w:style>
  <w:style w:type="paragraph" w:styleId="30">
    <w:name w:val="toc 4"/>
    <w:basedOn w:val="1"/>
    <w:next w:val="1"/>
    <w:autoRedefine/>
    <w:unhideWhenUsed/>
    <w:qFormat/>
    <w:uiPriority w:val="99"/>
    <w:pPr>
      <w:ind w:left="1260" w:leftChars="600"/>
    </w:pPr>
    <w:rPr>
      <w:rFonts w:ascii="Calibri" w:hAnsi="Calibri"/>
      <w:szCs w:val="22"/>
    </w:rPr>
  </w:style>
  <w:style w:type="paragraph" w:styleId="31">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2">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3">
    <w:name w:val="toc 8"/>
    <w:basedOn w:val="1"/>
    <w:next w:val="1"/>
    <w:autoRedefine/>
    <w:unhideWhenUsed/>
    <w:qFormat/>
    <w:uiPriority w:val="99"/>
    <w:pPr>
      <w:ind w:left="2940" w:leftChars="1400"/>
    </w:pPr>
    <w:rPr>
      <w:rFonts w:ascii="Calibri" w:hAnsi="Calibri"/>
      <w:szCs w:val="22"/>
    </w:rPr>
  </w:style>
  <w:style w:type="paragraph" w:styleId="34">
    <w:name w:val="Date"/>
    <w:basedOn w:val="1"/>
    <w:next w:val="1"/>
    <w:link w:val="80"/>
    <w:autoRedefine/>
    <w:qFormat/>
    <w:uiPriority w:val="99"/>
    <w:pPr>
      <w:ind w:left="100" w:leftChars="2500"/>
    </w:pPr>
    <w:rPr>
      <w:szCs w:val="20"/>
    </w:rPr>
  </w:style>
  <w:style w:type="paragraph" w:styleId="35">
    <w:name w:val="Body Text Indent 2"/>
    <w:basedOn w:val="1"/>
    <w:link w:val="81"/>
    <w:autoRedefine/>
    <w:qFormat/>
    <w:uiPriority w:val="99"/>
    <w:pPr>
      <w:spacing w:line="480" w:lineRule="auto"/>
      <w:ind w:firstLine="480" w:firstLineChars="200"/>
    </w:pPr>
    <w:rPr>
      <w:rFonts w:ascii="仿宋_GB2312" w:hAnsi="宋体" w:eastAsia="仿宋_GB2312"/>
      <w:sz w:val="24"/>
    </w:rPr>
  </w:style>
  <w:style w:type="paragraph" w:styleId="36">
    <w:name w:val="Balloon Text"/>
    <w:basedOn w:val="1"/>
    <w:link w:val="82"/>
    <w:autoRedefine/>
    <w:qFormat/>
    <w:uiPriority w:val="99"/>
    <w:rPr>
      <w:sz w:val="18"/>
      <w:szCs w:val="18"/>
    </w:rPr>
  </w:style>
  <w:style w:type="paragraph" w:styleId="37">
    <w:name w:val="footer"/>
    <w:basedOn w:val="1"/>
    <w:link w:val="63"/>
    <w:unhideWhenUsed/>
    <w:qFormat/>
    <w:uiPriority w:val="99"/>
    <w:pPr>
      <w:tabs>
        <w:tab w:val="center" w:pos="4153"/>
        <w:tab w:val="right" w:pos="8306"/>
      </w:tabs>
      <w:snapToGrid w:val="0"/>
      <w:jc w:val="left"/>
    </w:pPr>
    <w:rPr>
      <w:sz w:val="18"/>
      <w:szCs w:val="18"/>
    </w:rPr>
  </w:style>
  <w:style w:type="paragraph" w:styleId="38">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83"/>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link w:val="84"/>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85"/>
    <w:autoRedefine/>
    <w:qFormat/>
    <w:uiPriority w:val="0"/>
    <w:pPr>
      <w:spacing w:line="360" w:lineRule="auto"/>
      <w:ind w:firstLine="420" w:firstLineChars="200"/>
    </w:pPr>
    <w:rPr>
      <w:rFonts w:ascii="宋体" w:hAnsi="宋体"/>
    </w:rPr>
  </w:style>
  <w:style w:type="paragraph" w:styleId="49">
    <w:name w:val="Normal (Web)"/>
    <w:basedOn w:val="1"/>
    <w:autoRedefine/>
    <w:qFormat/>
    <w:uiPriority w:val="99"/>
    <w:rPr>
      <w:sz w:val="24"/>
    </w:rPr>
  </w:style>
  <w:style w:type="paragraph" w:styleId="50">
    <w:name w:val="Title"/>
    <w:basedOn w:val="1"/>
    <w:next w:val="1"/>
    <w:link w:val="86"/>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87"/>
    <w:autoRedefine/>
    <w:semiHidden/>
    <w:qFormat/>
    <w:uiPriority w:val="99"/>
    <w:rPr>
      <w:b/>
      <w:bCs/>
    </w:rPr>
  </w:style>
  <w:style w:type="paragraph" w:styleId="52">
    <w:name w:val="Body Text First Indent 2"/>
    <w:basedOn w:val="22"/>
    <w:link w:val="88"/>
    <w:autoRedefine/>
    <w:unhideWhenUsed/>
    <w:qFormat/>
    <w:uiPriority w:val="99"/>
    <w:pPr>
      <w:ind w:firstLine="420" w:firstLineChars="200"/>
    </w:pPr>
  </w:style>
  <w:style w:type="table" w:styleId="54">
    <w:name w:val="Table Grid"/>
    <w:basedOn w:val="53"/>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页眉 字符"/>
    <w:basedOn w:val="55"/>
    <w:link w:val="38"/>
    <w:qFormat/>
    <w:uiPriority w:val="99"/>
    <w:rPr>
      <w:sz w:val="18"/>
      <w:szCs w:val="18"/>
    </w:rPr>
  </w:style>
  <w:style w:type="character" w:customStyle="1" w:styleId="63">
    <w:name w:val="页脚 字符"/>
    <w:basedOn w:val="55"/>
    <w:link w:val="37"/>
    <w:qFormat/>
    <w:uiPriority w:val="99"/>
    <w:rPr>
      <w:sz w:val="18"/>
      <w:szCs w:val="18"/>
    </w:rPr>
  </w:style>
  <w:style w:type="character" w:customStyle="1" w:styleId="64">
    <w:name w:val="标题 1 字符"/>
    <w:basedOn w:val="55"/>
    <w:link w:val="3"/>
    <w:qFormat/>
    <w:uiPriority w:val="0"/>
    <w:rPr>
      <w:rFonts w:ascii="Times New Roman" w:hAnsi="Times New Roman" w:eastAsia="黑体" w:cs="Times New Roman"/>
      <w:bCs/>
      <w:kern w:val="44"/>
      <w:sz w:val="30"/>
      <w:szCs w:val="44"/>
    </w:rPr>
  </w:style>
  <w:style w:type="character" w:customStyle="1" w:styleId="65">
    <w:name w:val="标题 2 字符"/>
    <w:basedOn w:val="55"/>
    <w:link w:val="4"/>
    <w:qFormat/>
    <w:uiPriority w:val="99"/>
    <w:rPr>
      <w:rFonts w:ascii="Arial" w:hAnsi="宋体" w:eastAsia="黑体" w:cs="Times New Roman"/>
      <w:bCs/>
      <w:color w:val="000000" w:themeColor="text1"/>
      <w:sz w:val="24"/>
      <w:szCs w:val="24"/>
      <w14:textFill>
        <w14:solidFill>
          <w14:schemeClr w14:val="tx1"/>
        </w14:solidFill>
      </w14:textFill>
    </w:rPr>
  </w:style>
  <w:style w:type="character" w:customStyle="1" w:styleId="66">
    <w:name w:val="标题 3 字符"/>
    <w:basedOn w:val="55"/>
    <w:link w:val="5"/>
    <w:qFormat/>
    <w:uiPriority w:val="99"/>
    <w:rPr>
      <w:rFonts w:ascii="黑体" w:hAnsi="Times New Roman" w:eastAsia="黑体" w:cs="Times New Roman"/>
      <w:kern w:val="0"/>
      <w:sz w:val="28"/>
      <w:szCs w:val="20"/>
    </w:rPr>
  </w:style>
  <w:style w:type="character" w:customStyle="1" w:styleId="67">
    <w:name w:val="标题 4 字符"/>
    <w:basedOn w:val="55"/>
    <w:link w:val="2"/>
    <w:qFormat/>
    <w:uiPriority w:val="0"/>
    <w:rPr>
      <w:rFonts w:ascii="Times New Roman" w:hAnsi="Times New Roman" w:eastAsia="宋体" w:cs="Times New Roman"/>
      <w:sz w:val="28"/>
      <w:szCs w:val="20"/>
    </w:rPr>
  </w:style>
  <w:style w:type="character" w:customStyle="1" w:styleId="68">
    <w:name w:val="标题 5 字符"/>
    <w:basedOn w:val="55"/>
    <w:link w:val="6"/>
    <w:qFormat/>
    <w:uiPriority w:val="0"/>
    <w:rPr>
      <w:rFonts w:ascii="Times New Roman" w:hAnsi="Times New Roman" w:eastAsia="宋体" w:cs="Times New Roman"/>
      <w:b/>
      <w:bCs/>
      <w:sz w:val="28"/>
      <w:szCs w:val="28"/>
    </w:rPr>
  </w:style>
  <w:style w:type="character" w:customStyle="1" w:styleId="69">
    <w:name w:val="标题 6 字符"/>
    <w:basedOn w:val="55"/>
    <w:link w:val="7"/>
    <w:qFormat/>
    <w:uiPriority w:val="0"/>
    <w:rPr>
      <w:rFonts w:ascii="Arial" w:hAnsi="Arial" w:eastAsia="黑体" w:cs="Times New Roman"/>
      <w:b/>
      <w:bCs/>
      <w:sz w:val="24"/>
      <w:szCs w:val="24"/>
    </w:rPr>
  </w:style>
  <w:style w:type="character" w:customStyle="1" w:styleId="70">
    <w:name w:val="标题 7 字符"/>
    <w:basedOn w:val="55"/>
    <w:link w:val="8"/>
    <w:qFormat/>
    <w:uiPriority w:val="99"/>
    <w:rPr>
      <w:rFonts w:ascii="Times New Roman" w:hAnsi="Times New Roman" w:eastAsia="宋体" w:cs="Times New Roman"/>
      <w:b/>
      <w:bCs/>
      <w:sz w:val="24"/>
      <w:szCs w:val="24"/>
    </w:rPr>
  </w:style>
  <w:style w:type="character" w:customStyle="1" w:styleId="71">
    <w:name w:val="标题 8 字符"/>
    <w:basedOn w:val="55"/>
    <w:link w:val="9"/>
    <w:qFormat/>
    <w:uiPriority w:val="99"/>
    <w:rPr>
      <w:rFonts w:ascii="Arial" w:hAnsi="Arial" w:eastAsia="黑体" w:cs="Times New Roman"/>
      <w:sz w:val="24"/>
      <w:szCs w:val="24"/>
    </w:rPr>
  </w:style>
  <w:style w:type="character" w:customStyle="1" w:styleId="72">
    <w:name w:val="标题 9 字符"/>
    <w:basedOn w:val="55"/>
    <w:link w:val="10"/>
    <w:qFormat/>
    <w:uiPriority w:val="99"/>
    <w:rPr>
      <w:rFonts w:ascii="Arial" w:hAnsi="Arial" w:eastAsia="黑体" w:cs="Times New Roman"/>
      <w:szCs w:val="21"/>
    </w:rPr>
  </w:style>
  <w:style w:type="character" w:customStyle="1" w:styleId="73">
    <w:name w:val="文档结构图 字符"/>
    <w:basedOn w:val="55"/>
    <w:link w:val="17"/>
    <w:semiHidden/>
    <w:qFormat/>
    <w:uiPriority w:val="99"/>
    <w:rPr>
      <w:rFonts w:ascii="宋体" w:hAnsi="Times New Roman" w:eastAsia="宋体" w:cs="Times New Roman"/>
      <w:sz w:val="18"/>
      <w:szCs w:val="18"/>
    </w:rPr>
  </w:style>
  <w:style w:type="character" w:customStyle="1" w:styleId="74">
    <w:name w:val="批注文字 字符"/>
    <w:basedOn w:val="55"/>
    <w:link w:val="18"/>
    <w:qFormat/>
    <w:uiPriority w:val="99"/>
    <w:rPr>
      <w:rFonts w:ascii="宋体" w:hAnsi="宋体" w:eastAsia="宋体" w:cs="Times New Roman"/>
      <w:sz w:val="21"/>
    </w:rPr>
  </w:style>
  <w:style w:type="character" w:customStyle="1" w:styleId="75">
    <w:name w:val="正文文本 3 字符"/>
    <w:basedOn w:val="55"/>
    <w:link w:val="19"/>
    <w:qFormat/>
    <w:uiPriority w:val="99"/>
    <w:rPr>
      <w:rFonts w:ascii="Times New Roman" w:hAnsi="Times New Roman" w:eastAsia="宋体" w:cs="Times New Roman"/>
      <w:sz w:val="16"/>
      <w:szCs w:val="16"/>
    </w:rPr>
  </w:style>
  <w:style w:type="character" w:customStyle="1" w:styleId="76">
    <w:name w:val="正文文本 字符"/>
    <w:basedOn w:val="55"/>
    <w:link w:val="21"/>
    <w:qFormat/>
    <w:uiPriority w:val="0"/>
    <w:rPr>
      <w:rFonts w:ascii="Times New Roman" w:hAnsi="Times New Roman" w:eastAsia="宋体" w:cs="Times New Roman"/>
      <w:sz w:val="28"/>
      <w:szCs w:val="20"/>
    </w:rPr>
  </w:style>
  <w:style w:type="character" w:customStyle="1" w:styleId="77">
    <w:name w:val="正文文本缩进 字符"/>
    <w:basedOn w:val="55"/>
    <w:link w:val="22"/>
    <w:qFormat/>
    <w:uiPriority w:val="99"/>
    <w:rPr>
      <w:rFonts w:ascii="楷体_GB2312" w:hAnsi="Times New Roman" w:eastAsia="楷体_GB2312" w:cs="Times New Roman"/>
      <w:kern w:val="0"/>
      <w:sz w:val="28"/>
      <w:szCs w:val="20"/>
    </w:rPr>
  </w:style>
  <w:style w:type="character" w:customStyle="1" w:styleId="78">
    <w:name w:val="正文文本首行缩进 字符"/>
    <w:basedOn w:val="76"/>
    <w:link w:val="26"/>
    <w:qFormat/>
    <w:uiPriority w:val="99"/>
    <w:rPr>
      <w:rFonts w:ascii="Times New Roman" w:hAnsi="Times New Roman" w:eastAsia="宋体" w:cs="Times New Roman"/>
      <w:kern w:val="0"/>
      <w:sz w:val="20"/>
      <w:szCs w:val="20"/>
    </w:rPr>
  </w:style>
  <w:style w:type="character" w:customStyle="1" w:styleId="79">
    <w:name w:val="纯文本 字符"/>
    <w:basedOn w:val="55"/>
    <w:link w:val="29"/>
    <w:qFormat/>
    <w:uiPriority w:val="0"/>
    <w:rPr>
      <w:rFonts w:ascii="宋体" w:hAnsi="Courier New" w:eastAsia="宋体" w:cs="Times New Roman"/>
      <w:szCs w:val="20"/>
    </w:rPr>
  </w:style>
  <w:style w:type="character" w:customStyle="1" w:styleId="80">
    <w:name w:val="日期 字符"/>
    <w:basedOn w:val="55"/>
    <w:link w:val="34"/>
    <w:qFormat/>
    <w:uiPriority w:val="99"/>
    <w:rPr>
      <w:rFonts w:ascii="Times New Roman" w:hAnsi="Times New Roman" w:eastAsia="宋体" w:cs="Times New Roman"/>
      <w:szCs w:val="20"/>
    </w:rPr>
  </w:style>
  <w:style w:type="character" w:customStyle="1" w:styleId="81">
    <w:name w:val="正文文本缩进 2 字符"/>
    <w:basedOn w:val="55"/>
    <w:link w:val="35"/>
    <w:qFormat/>
    <w:uiPriority w:val="99"/>
    <w:rPr>
      <w:rFonts w:ascii="仿宋_GB2312" w:hAnsi="宋体" w:eastAsia="仿宋_GB2312" w:cs="Times New Roman"/>
      <w:sz w:val="24"/>
      <w:szCs w:val="24"/>
    </w:rPr>
  </w:style>
  <w:style w:type="character" w:customStyle="1" w:styleId="82">
    <w:name w:val="批注框文本 字符"/>
    <w:basedOn w:val="55"/>
    <w:link w:val="36"/>
    <w:qFormat/>
    <w:uiPriority w:val="99"/>
    <w:rPr>
      <w:rFonts w:ascii="Times New Roman" w:hAnsi="Times New Roman" w:eastAsia="宋体" w:cs="Times New Roman"/>
      <w:sz w:val="18"/>
      <w:szCs w:val="18"/>
    </w:rPr>
  </w:style>
  <w:style w:type="character" w:customStyle="1" w:styleId="83">
    <w:name w:val="副标题 字符"/>
    <w:basedOn w:val="55"/>
    <w:link w:val="42"/>
    <w:qFormat/>
    <w:uiPriority w:val="0"/>
    <w:rPr>
      <w:rFonts w:ascii="Cambria" w:hAnsi="Cambria" w:eastAsia="宋体" w:cs="黑体"/>
      <w:b/>
      <w:bCs/>
      <w:kern w:val="28"/>
      <w:sz w:val="32"/>
      <w:szCs w:val="32"/>
    </w:rPr>
  </w:style>
  <w:style w:type="character" w:customStyle="1" w:styleId="84">
    <w:name w:val="正文文本缩进 3 字符"/>
    <w:basedOn w:val="55"/>
    <w:link w:val="45"/>
    <w:qFormat/>
    <w:uiPriority w:val="99"/>
    <w:rPr>
      <w:rFonts w:ascii="Times New Roman" w:hAnsi="Times New Roman" w:eastAsia="宋体" w:cs="Times New Roman"/>
      <w:sz w:val="24"/>
      <w:szCs w:val="20"/>
    </w:rPr>
  </w:style>
  <w:style w:type="character" w:customStyle="1" w:styleId="85">
    <w:name w:val="正文文本 2 字符"/>
    <w:basedOn w:val="55"/>
    <w:link w:val="48"/>
    <w:qFormat/>
    <w:uiPriority w:val="0"/>
    <w:rPr>
      <w:rFonts w:ascii="宋体" w:hAnsi="宋体" w:eastAsia="宋体" w:cs="Times New Roman"/>
      <w:kern w:val="2"/>
      <w:sz w:val="21"/>
      <w:szCs w:val="24"/>
    </w:rPr>
  </w:style>
  <w:style w:type="character" w:customStyle="1" w:styleId="86">
    <w:name w:val="标题 字符"/>
    <w:basedOn w:val="55"/>
    <w:link w:val="50"/>
    <w:qFormat/>
    <w:uiPriority w:val="0"/>
    <w:rPr>
      <w:rFonts w:ascii="Cambria" w:hAnsi="Cambria" w:eastAsia="宋体" w:cs="Times New Roman"/>
      <w:b/>
      <w:bCs/>
      <w:sz w:val="32"/>
      <w:szCs w:val="32"/>
    </w:rPr>
  </w:style>
  <w:style w:type="character" w:customStyle="1" w:styleId="87">
    <w:name w:val="批注主题 字符"/>
    <w:basedOn w:val="74"/>
    <w:link w:val="51"/>
    <w:semiHidden/>
    <w:qFormat/>
    <w:uiPriority w:val="99"/>
    <w:rPr>
      <w:rFonts w:ascii="Times New Roman" w:hAnsi="Times New Roman" w:eastAsia="宋体" w:cs="Times New Roman"/>
      <w:b/>
      <w:bCs/>
      <w:sz w:val="21"/>
      <w:szCs w:val="20"/>
    </w:rPr>
  </w:style>
  <w:style w:type="character" w:customStyle="1" w:styleId="88">
    <w:name w:val="正文文本首行缩进 2 字符"/>
    <w:basedOn w:val="77"/>
    <w:link w:val="52"/>
    <w:qFormat/>
    <w:uiPriority w:val="99"/>
    <w:rPr>
      <w:rFonts w:ascii="楷体_GB2312" w:hAnsi="Times New Roman" w:eastAsia="楷体_GB2312" w:cs="Times New Roman"/>
      <w:kern w:val="0"/>
      <w:sz w:val="28"/>
      <w:szCs w:val="20"/>
    </w:rPr>
  </w:style>
  <w:style w:type="character" w:customStyle="1" w:styleId="89">
    <w:name w:val="正文缩进 字符"/>
    <w:link w:val="15"/>
    <w:autoRedefine/>
    <w:qFormat/>
    <w:uiPriority w:val="0"/>
    <w:rPr>
      <w:rFonts w:ascii="楷体_GB2312" w:hAnsi="Times New Roman" w:eastAsia="楷体_GB2312" w:cs="Times New Roman"/>
      <w:kern w:val="0"/>
      <w:sz w:val="28"/>
      <w:szCs w:val="20"/>
    </w:rPr>
  </w:style>
  <w:style w:type="character" w:customStyle="1" w:styleId="90">
    <w:name w:val="标题 1 Char"/>
    <w:autoRedefine/>
    <w:qFormat/>
    <w:uiPriority w:val="0"/>
    <w:rPr>
      <w:rFonts w:ascii="黑体"/>
      <w:b/>
      <w:kern w:val="44"/>
      <w:sz w:val="32"/>
    </w:rPr>
  </w:style>
  <w:style w:type="character" w:customStyle="1" w:styleId="91">
    <w:name w:val="纯文本 Char"/>
    <w:autoRedefine/>
    <w:qFormat/>
    <w:uiPriority w:val="99"/>
    <w:rPr>
      <w:rFonts w:ascii="宋体" w:hAnsi="Courier New" w:eastAsia="宋体" w:cs="Times New Roman"/>
      <w:szCs w:val="20"/>
    </w:rPr>
  </w:style>
  <w:style w:type="character" w:customStyle="1" w:styleId="92">
    <w:name w:val="正文文本 Char"/>
    <w:autoRedefine/>
    <w:qFormat/>
    <w:uiPriority w:val="99"/>
    <w:rPr>
      <w:rFonts w:ascii="Times New Roman" w:hAnsi="Times New Roman" w:eastAsia="宋体" w:cs="Times New Roman"/>
      <w:sz w:val="28"/>
      <w:szCs w:val="20"/>
    </w:rPr>
  </w:style>
  <w:style w:type="character" w:customStyle="1" w:styleId="93">
    <w:name w:val="访问过的超链接1"/>
    <w:autoRedefine/>
    <w:qFormat/>
    <w:uiPriority w:val="0"/>
    <w:rPr>
      <w:color w:val="800080"/>
      <w:u w:val="single"/>
    </w:rPr>
  </w:style>
  <w:style w:type="character" w:customStyle="1" w:styleId="94">
    <w:name w:val="href"/>
    <w:autoRedefine/>
    <w:qFormat/>
    <w:uiPriority w:val="0"/>
    <w:rPr>
      <w:color w:val="0000FF"/>
      <w:u w:val="single"/>
    </w:rPr>
  </w:style>
  <w:style w:type="character" w:customStyle="1" w:styleId="95">
    <w:name w:val="first-child"/>
    <w:autoRedefine/>
    <w:qFormat/>
    <w:uiPriority w:val="0"/>
    <w:rPr>
      <w:vanish/>
    </w:rPr>
  </w:style>
  <w:style w:type="character" w:customStyle="1" w:styleId="96">
    <w:name w:val="标题 9 Char"/>
    <w:autoRedefine/>
    <w:qFormat/>
    <w:uiPriority w:val="99"/>
    <w:rPr>
      <w:rFonts w:ascii="Arial" w:hAnsi="Arial" w:eastAsia="黑体" w:cs="Times New Roman"/>
      <w:szCs w:val="21"/>
    </w:rPr>
  </w:style>
  <w:style w:type="character" w:customStyle="1" w:styleId="97">
    <w:name w:val="正文文本缩进 2 Char"/>
    <w:autoRedefine/>
    <w:qFormat/>
    <w:uiPriority w:val="99"/>
    <w:rPr>
      <w:rFonts w:ascii="仿宋_GB2312" w:hAnsi="宋体" w:eastAsia="仿宋_GB2312" w:cs="Times New Roman"/>
      <w:sz w:val="24"/>
      <w:szCs w:val="24"/>
    </w:rPr>
  </w:style>
  <w:style w:type="character" w:customStyle="1" w:styleId="98">
    <w:name w:val="列表段落 字符"/>
    <w:link w:val="99"/>
    <w:autoRedefine/>
    <w:qFormat/>
    <w:uiPriority w:val="0"/>
  </w:style>
  <w:style w:type="paragraph" w:styleId="99">
    <w:name w:val="List Paragraph"/>
    <w:basedOn w:val="1"/>
    <w:link w:val="98"/>
    <w:autoRedefine/>
    <w:qFormat/>
    <w:uiPriority w:val="0"/>
    <w:pPr>
      <w:ind w:firstLine="420" w:firstLineChars="200"/>
    </w:pPr>
    <w:rPr>
      <w:rFonts w:asciiTheme="minorHAnsi" w:hAnsiTheme="minorHAnsi" w:eastAsiaTheme="minorEastAsia" w:cstheme="minorBidi"/>
      <w:szCs w:val="22"/>
    </w:rPr>
  </w:style>
  <w:style w:type="paragraph" w:customStyle="1" w:styleId="10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101">
    <w:name w:val="批注文字 Char1"/>
    <w:autoRedefine/>
    <w:qFormat/>
    <w:uiPriority w:val="99"/>
    <w:rPr>
      <w:kern w:val="2"/>
      <w:sz w:val="21"/>
    </w:rPr>
  </w:style>
  <w:style w:type="character" w:customStyle="1" w:styleId="102">
    <w:name w:val="标题 8 Char"/>
    <w:autoRedefine/>
    <w:qFormat/>
    <w:uiPriority w:val="99"/>
    <w:rPr>
      <w:rFonts w:ascii="Arial" w:hAnsi="Arial" w:eastAsia="黑体" w:cs="Times New Roman"/>
      <w:sz w:val="24"/>
      <w:szCs w:val="24"/>
    </w:rPr>
  </w:style>
  <w:style w:type="character" w:customStyle="1" w:styleId="103">
    <w:name w:val="列出段落 Char1"/>
    <w:autoRedefine/>
    <w:qFormat/>
    <w:uiPriority w:val="99"/>
    <w:rPr>
      <w:kern w:val="2"/>
      <w:sz w:val="21"/>
      <w:szCs w:val="24"/>
    </w:rPr>
  </w:style>
  <w:style w:type="character" w:customStyle="1" w:styleId="104">
    <w:name w:val="正文文本缩进 3 Char"/>
    <w:autoRedefine/>
    <w:qFormat/>
    <w:uiPriority w:val="99"/>
    <w:rPr>
      <w:rFonts w:ascii="Times New Roman" w:hAnsi="Times New Roman" w:eastAsia="宋体" w:cs="Times New Roman"/>
      <w:sz w:val="24"/>
      <w:szCs w:val="20"/>
    </w:rPr>
  </w:style>
  <w:style w:type="character" w:customStyle="1" w:styleId="105">
    <w:name w:val="标题 6 Char"/>
    <w:autoRedefine/>
    <w:qFormat/>
    <w:uiPriority w:val="99"/>
    <w:rPr>
      <w:rFonts w:ascii="Arial" w:hAnsi="Arial" w:eastAsia="黑体" w:cs="Times New Roman"/>
      <w:b/>
      <w:bCs/>
      <w:sz w:val="24"/>
      <w:szCs w:val="24"/>
    </w:rPr>
  </w:style>
  <w:style w:type="character" w:customStyle="1" w:styleId="106">
    <w:name w:val="正文文本缩进 Char"/>
    <w:autoRedefine/>
    <w:qFormat/>
    <w:uiPriority w:val="99"/>
    <w:rPr>
      <w:rFonts w:ascii="楷体_GB2312" w:eastAsia="楷体_GB2312"/>
      <w:sz w:val="28"/>
    </w:rPr>
  </w:style>
  <w:style w:type="character" w:customStyle="1" w:styleId="107">
    <w:name w:val="标题 Char"/>
    <w:autoRedefine/>
    <w:qFormat/>
    <w:uiPriority w:val="0"/>
    <w:rPr>
      <w:rFonts w:ascii="Cambria" w:hAnsi="Cambria" w:cs="Times New Roman"/>
      <w:b/>
      <w:bCs/>
      <w:kern w:val="2"/>
      <w:sz w:val="32"/>
      <w:szCs w:val="32"/>
    </w:rPr>
  </w:style>
  <w:style w:type="character" w:customStyle="1" w:styleId="108">
    <w:name w:val="标题 4 Char"/>
    <w:autoRedefine/>
    <w:qFormat/>
    <w:uiPriority w:val="99"/>
    <w:rPr>
      <w:rFonts w:ascii="Times New Roman" w:hAnsi="Times New Roman" w:eastAsia="宋体" w:cs="Times New Roman"/>
      <w:sz w:val="28"/>
      <w:szCs w:val="20"/>
    </w:rPr>
  </w:style>
  <w:style w:type="character" w:customStyle="1" w:styleId="109">
    <w:name w:val="蓝色显示 Char"/>
    <w:link w:val="110"/>
    <w:autoRedefine/>
    <w:qFormat/>
    <w:uiPriority w:val="0"/>
    <w:rPr>
      <w:b/>
      <w:color w:val="0070C0"/>
      <w:szCs w:val="24"/>
    </w:rPr>
  </w:style>
  <w:style w:type="paragraph" w:customStyle="1" w:styleId="110">
    <w:name w:val="蓝色显示"/>
    <w:basedOn w:val="1"/>
    <w:link w:val="109"/>
    <w:autoRedefine/>
    <w:qFormat/>
    <w:uiPriority w:val="0"/>
    <w:pPr>
      <w:spacing w:before="340" w:after="330" w:line="400" w:lineRule="exact"/>
    </w:pPr>
    <w:rPr>
      <w:rFonts w:asciiTheme="minorHAnsi" w:hAnsiTheme="minorHAnsi" w:eastAsiaTheme="minorEastAsia" w:cstheme="minorBidi"/>
      <w:b/>
      <w:color w:val="0070C0"/>
    </w:rPr>
  </w:style>
  <w:style w:type="character" w:customStyle="1" w:styleId="111">
    <w:name w:val="标题 5 Char"/>
    <w:autoRedefine/>
    <w:qFormat/>
    <w:uiPriority w:val="99"/>
    <w:rPr>
      <w:rFonts w:ascii="Times New Roman" w:hAnsi="Times New Roman" w:eastAsia="宋体" w:cs="Times New Roman"/>
      <w:b/>
      <w:bCs/>
      <w:sz w:val="28"/>
      <w:szCs w:val="28"/>
    </w:rPr>
  </w:style>
  <w:style w:type="character" w:customStyle="1" w:styleId="112">
    <w:name w:val="Char Char1"/>
    <w:autoRedefine/>
    <w:qFormat/>
    <w:uiPriority w:val="0"/>
    <w:rPr>
      <w:rFonts w:ascii="楷体_GB2312" w:eastAsia="楷体_GB2312"/>
      <w:sz w:val="28"/>
    </w:rPr>
  </w:style>
  <w:style w:type="character" w:customStyle="1" w:styleId="113">
    <w:name w:val="标题3 Char"/>
    <w:link w:val="114"/>
    <w:autoRedefine/>
    <w:qFormat/>
    <w:uiPriority w:val="0"/>
    <w:rPr>
      <w:rFonts w:ascii="宋体" w:hAnsi="宋体"/>
      <w:color w:val="000000"/>
      <w:szCs w:val="21"/>
    </w:rPr>
  </w:style>
  <w:style w:type="paragraph" w:customStyle="1" w:styleId="114">
    <w:name w:val="标题3"/>
    <w:basedOn w:val="15"/>
    <w:link w:val="113"/>
    <w:autoRedefine/>
    <w:qFormat/>
    <w:uiPriority w:val="0"/>
    <w:pPr>
      <w:numPr>
        <w:ilvl w:val="0"/>
        <w:numId w:val="1"/>
      </w:numPr>
      <w:spacing w:line="240" w:lineRule="auto"/>
    </w:pPr>
    <w:rPr>
      <w:rFonts w:ascii="宋体" w:hAnsi="宋体" w:eastAsiaTheme="minorEastAsia" w:cstheme="minorBidi"/>
      <w:color w:val="000000"/>
      <w:kern w:val="2"/>
      <w:sz w:val="21"/>
      <w:szCs w:val="21"/>
    </w:rPr>
  </w:style>
  <w:style w:type="character" w:customStyle="1" w:styleId="115">
    <w:name w:val="Char Char"/>
    <w:autoRedefine/>
    <w:qFormat/>
    <w:uiPriority w:val="0"/>
    <w:rPr>
      <w:rFonts w:ascii="宋体"/>
      <w:kern w:val="2"/>
      <w:sz w:val="18"/>
      <w:szCs w:val="18"/>
    </w:rPr>
  </w:style>
  <w:style w:type="character" w:customStyle="1" w:styleId="11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17">
    <w:name w:val="标题 7 Char"/>
    <w:autoRedefine/>
    <w:qFormat/>
    <w:uiPriority w:val="99"/>
    <w:rPr>
      <w:rFonts w:ascii="Times New Roman" w:hAnsi="Times New Roman" w:eastAsia="宋体" w:cs="Times New Roman"/>
      <w:b/>
      <w:bCs/>
      <w:sz w:val="24"/>
      <w:szCs w:val="24"/>
    </w:rPr>
  </w:style>
  <w:style w:type="paragraph" w:customStyle="1" w:styleId="11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19">
    <w:name w:val="Normal_0"/>
    <w:autoRedefine/>
    <w:qFormat/>
    <w:uiPriority w:val="0"/>
    <w:pPr>
      <w:widowControl w:val="0"/>
      <w:jc w:val="both"/>
    </w:pPr>
    <w:rPr>
      <w:rFonts w:ascii="Calibri" w:hAnsi="Calibri" w:eastAsia="宋体" w:cs="Times New Roman"/>
      <w:lang w:val="en-US" w:eastAsia="zh-CN" w:bidi="ar-SA"/>
    </w:rPr>
  </w:style>
  <w:style w:type="paragraph" w:customStyle="1" w:styleId="12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21">
    <w:name w:val="样式 标题 2 + Times New Roman 四号 非加粗 段前: 5 磅 段后: 0 磅 行距: 固定值 20..._0"/>
    <w:basedOn w:val="12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22">
    <w:name w:val="标题 2_0"/>
    <w:basedOn w:val="123"/>
    <w:next w:val="12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2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5">
    <w:name w:val="Blockquote_0_0"/>
    <w:basedOn w:val="12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Comment Text"/>
    <w:basedOn w:val="119"/>
    <w:autoRedefine/>
    <w:unhideWhenUsed/>
    <w:qFormat/>
    <w:uiPriority w:val="0"/>
    <w:pPr>
      <w:jc w:val="left"/>
    </w:pPr>
    <w:rPr>
      <w:rFonts w:eastAsia="Times New Roman"/>
    </w:rPr>
  </w:style>
  <w:style w:type="paragraph" w:customStyle="1" w:styleId="12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9">
    <w:name w:val="标题 55"/>
    <w:basedOn w:val="6"/>
    <w:autoRedefine/>
    <w:qFormat/>
    <w:uiPriority w:val="0"/>
    <w:rPr>
      <w:rFonts w:ascii="方正黑体简体" w:eastAsia="方正黑体简体"/>
      <w:b w:val="0"/>
      <w:bCs w:val="0"/>
    </w:rPr>
  </w:style>
  <w:style w:type="paragraph" w:customStyle="1" w:styleId="130">
    <w:name w:val="ml2"/>
    <w:basedOn w:val="39"/>
    <w:autoRedefine/>
    <w:qFormat/>
    <w:uiPriority w:val="0"/>
    <w:pPr>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31">
    <w:name w:val="样式 标题 3 + (中文) 黑体 小四 非加粗 段前: 7.8 磅 段后: 0 磅 行距: 固定值 20 磅"/>
    <w:basedOn w:val="5"/>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3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3">
    <w:name w:val="Blockquote_0"/>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37">
    <w:name w:val="列出段落2"/>
    <w:basedOn w:val="1"/>
    <w:autoRedefine/>
    <w:qFormat/>
    <w:uiPriority w:val="34"/>
    <w:pPr>
      <w:ind w:firstLine="420" w:firstLineChars="200"/>
    </w:pPr>
    <w:rPr>
      <w:szCs w:val="20"/>
    </w:rPr>
  </w:style>
  <w:style w:type="paragraph" w:customStyle="1" w:styleId="138">
    <w:name w:val="Blockquote_1"/>
    <w:basedOn w:val="13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9">
    <w:name w:val="bt1bt1"/>
    <w:basedOn w:val="3"/>
    <w:autoRedefine/>
    <w:qFormat/>
    <w:uiPriority w:val="0"/>
    <w:pPr>
      <w:spacing w:line="240" w:lineRule="auto"/>
    </w:pPr>
    <w:rPr>
      <w:rFonts w:ascii="黑体"/>
      <w:sz w:val="36"/>
      <w:szCs w:val="36"/>
    </w:rPr>
  </w:style>
  <w:style w:type="paragraph" w:customStyle="1" w:styleId="140">
    <w:name w:val="TOC 标题111"/>
    <w:basedOn w:val="3"/>
    <w:next w:val="1"/>
    <w:autoRedefine/>
    <w:qFormat/>
    <w:uiPriority w:val="0"/>
    <w:pPr>
      <w:widowControl/>
      <w:spacing w:before="480" w:after="0" w:line="276" w:lineRule="auto"/>
      <w:jc w:val="left"/>
      <w:outlineLvl w:val="9"/>
    </w:pPr>
    <w:rPr>
      <w:rFonts w:ascii="Cambria" w:hAnsi="Cambria" w:eastAsia="宋体"/>
      <w:b/>
      <w:bCs w:val="0"/>
      <w:color w:val="365F91"/>
      <w:kern w:val="0"/>
      <w:sz w:val="28"/>
      <w:szCs w:val="28"/>
    </w:rPr>
  </w:style>
  <w:style w:type="paragraph" w:customStyle="1" w:styleId="14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42">
    <w:name w:val="标题 60"/>
    <w:basedOn w:val="7"/>
    <w:autoRedefine/>
    <w:qFormat/>
    <w:uiPriority w:val="0"/>
    <w:pPr>
      <w:spacing w:line="319" w:lineRule="auto"/>
      <w:ind w:firstLine="200" w:firstLineChars="200"/>
    </w:pPr>
    <w:rPr>
      <w:b w:val="0"/>
      <w:bCs w:val="0"/>
    </w:rPr>
  </w:style>
  <w:style w:type="paragraph" w:customStyle="1" w:styleId="143">
    <w:name w:val="列出段落11"/>
    <w:basedOn w:val="1"/>
    <w:autoRedefine/>
    <w:qFormat/>
    <w:uiPriority w:val="99"/>
    <w:pPr>
      <w:ind w:firstLine="420" w:firstLineChars="200"/>
    </w:pPr>
    <w:rPr>
      <w:szCs w:val="20"/>
    </w:rPr>
  </w:style>
  <w:style w:type="paragraph" w:customStyle="1" w:styleId="144">
    <w:name w:val="TOC 标题2"/>
    <w:basedOn w:val="3"/>
    <w:next w:val="1"/>
    <w:autoRedefine/>
    <w:unhideWhenUsed/>
    <w:qFormat/>
    <w:uiPriority w:val="0"/>
    <w:pPr>
      <w:widowControl/>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5">
    <w:name w:val="ml"/>
    <w:basedOn w:val="39"/>
    <w:autoRedefine/>
    <w:qFormat/>
    <w:uiPriority w:val="0"/>
    <w:pPr>
      <w:autoSpaceDE/>
      <w:autoSpaceDN/>
      <w:adjustRightInd/>
      <w:spacing w:line="240" w:lineRule="auto"/>
      <w:ind w:right="0"/>
      <w:jc w:val="left"/>
    </w:pPr>
    <w:rPr>
      <w:rFonts w:ascii="Calibri" w:hAnsi="Calibri" w:eastAsia="宋体" w:cs="Calibri"/>
      <w:b/>
      <w:sz w:val="24"/>
      <w:szCs w:val="20"/>
    </w:rPr>
  </w:style>
  <w:style w:type="paragraph" w:customStyle="1" w:styleId="146">
    <w:name w:val="_Style 36"/>
    <w:basedOn w:val="1"/>
    <w:autoRedefine/>
    <w:qFormat/>
    <w:uiPriority w:val="0"/>
    <w:pPr>
      <w:ind w:firstLine="420" w:firstLineChars="200"/>
    </w:pPr>
    <w:rPr>
      <w:szCs w:val="20"/>
    </w:rPr>
  </w:style>
  <w:style w:type="paragraph" w:customStyle="1" w:styleId="147">
    <w:name w:val="正文00"/>
    <w:basedOn w:val="1"/>
    <w:autoRedefine/>
    <w:qFormat/>
    <w:uiPriority w:val="0"/>
    <w:pPr>
      <w:topLinePunct/>
      <w:spacing w:line="360" w:lineRule="auto"/>
      <w:ind w:firstLine="200" w:firstLineChars="200"/>
    </w:pPr>
    <w:rPr>
      <w:sz w:val="24"/>
      <w:szCs w:val="21"/>
    </w:rPr>
  </w:style>
  <w:style w:type="paragraph" w:customStyle="1" w:styleId="148">
    <w:name w:val="TOC 标题11"/>
    <w:basedOn w:val="3"/>
    <w:next w:val="1"/>
    <w:autoRedefine/>
    <w:qFormat/>
    <w:uiPriority w:val="0"/>
    <w:pPr>
      <w:widowControl/>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9">
    <w:name w:val="列出段落1"/>
    <w:basedOn w:val="1"/>
    <w:autoRedefine/>
    <w:qFormat/>
    <w:uiPriority w:val="0"/>
    <w:pPr>
      <w:jc w:val="left"/>
    </w:pPr>
  </w:style>
  <w:style w:type="paragraph" w:customStyle="1" w:styleId="150">
    <w:name w:val="ml3"/>
    <w:basedOn w:val="39"/>
    <w:autoRedefine/>
    <w:qFormat/>
    <w:uiPriority w:val="0"/>
    <w:pPr>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51">
    <w:name w:val="正文_0_1"/>
    <w:autoRedefine/>
    <w:qFormat/>
    <w:uiPriority w:val="0"/>
    <w:pPr>
      <w:widowControl w:val="0"/>
      <w:jc w:val="both"/>
    </w:pPr>
    <w:rPr>
      <w:rFonts w:ascii="Calibri" w:hAnsi="Calibri" w:eastAsia="宋体" w:cs="Times New Roman"/>
      <w:lang w:val="en-US" w:eastAsia="zh-CN" w:bidi="ar-SA"/>
    </w:rPr>
  </w:style>
  <w:style w:type="paragraph" w:customStyle="1" w:styleId="152">
    <w:name w:val="节"/>
    <w:basedOn w:val="4"/>
    <w:autoRedefine/>
    <w:qFormat/>
    <w:uiPriority w:val="0"/>
    <w:pPr>
      <w:spacing w:line="240" w:lineRule="auto"/>
    </w:pPr>
    <w:rPr>
      <w:rFonts w:ascii="黑体"/>
      <w:szCs w:val="28"/>
    </w:rPr>
  </w:style>
  <w:style w:type="paragraph" w:customStyle="1" w:styleId="153">
    <w:name w:val="新定义正文"/>
    <w:basedOn w:val="1"/>
    <w:autoRedefine/>
    <w:qFormat/>
    <w:uiPriority w:val="0"/>
    <w:pPr>
      <w:widowControl/>
    </w:pPr>
    <w:rPr>
      <w:color w:val="000000"/>
      <w:szCs w:val="21"/>
    </w:rPr>
  </w:style>
  <w:style w:type="paragraph" w:customStyle="1" w:styleId="154">
    <w:name w:val="纯文本1"/>
    <w:basedOn w:val="1"/>
    <w:autoRedefine/>
    <w:qFormat/>
    <w:uiPriority w:val="0"/>
    <w:rPr>
      <w:rFonts w:ascii="宋体" w:hAnsi="Courier New"/>
      <w:szCs w:val="20"/>
    </w:rPr>
  </w:style>
  <w:style w:type="paragraph" w:customStyle="1" w:styleId="15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56">
    <w:name w:val="标题 10"/>
    <w:basedOn w:val="4"/>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57">
    <w:name w:val="Heading 9 Char"/>
    <w:autoRedefine/>
    <w:semiHidden/>
    <w:qFormat/>
    <w:locked/>
    <w:uiPriority w:val="99"/>
    <w:rPr>
      <w:rFonts w:ascii="Cambria" w:hAnsi="Cambria" w:eastAsia="宋体" w:cs="Times New Roman"/>
      <w:kern w:val="2"/>
    </w:rPr>
  </w:style>
  <w:style w:type="character" w:customStyle="1" w:styleId="15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5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60">
    <w:name w:val="p131"/>
    <w:autoRedefine/>
    <w:qFormat/>
    <w:uiPriority w:val="99"/>
    <w:rPr>
      <w:rFonts w:cs="Times New Roman"/>
      <w:sz w:val="22"/>
      <w:szCs w:val="22"/>
      <w:u w:val="none"/>
    </w:rPr>
  </w:style>
  <w:style w:type="character" w:customStyle="1" w:styleId="161">
    <w:name w:val="样式 标题 3h3H3l3CTheading 3Level 3 Headlevel_3PIM 3sect1.2... Char"/>
    <w:link w:val="162"/>
    <w:autoRedefine/>
    <w:qFormat/>
    <w:uiPriority w:val="0"/>
    <w:rPr>
      <w:rFonts w:ascii="Arial" w:hAnsi="Arial" w:eastAsia="黑体"/>
      <w:bCs/>
      <w:sz w:val="24"/>
      <w:szCs w:val="32"/>
    </w:rPr>
  </w:style>
  <w:style w:type="paragraph" w:customStyle="1" w:styleId="162">
    <w:name w:val="样式 标题 3h3H3l3CTheading 3Level 3 Headlevel_3PIM 3sect1.2..."/>
    <w:basedOn w:val="5"/>
    <w:link w:val="161"/>
    <w:autoRedefine/>
    <w:qFormat/>
    <w:uiPriority w:val="0"/>
    <w:pPr>
      <w:autoSpaceDE/>
      <w:autoSpaceDN/>
      <w:adjustRightInd/>
      <w:spacing w:beforeLines="50" w:afterLines="50" w:line="360" w:lineRule="auto"/>
    </w:pPr>
    <w:rPr>
      <w:rFonts w:ascii="Arial" w:hAnsi="Arial" w:cstheme="minorBidi"/>
      <w:bCs/>
      <w:kern w:val="2"/>
      <w:sz w:val="24"/>
      <w:szCs w:val="32"/>
    </w:rPr>
  </w:style>
  <w:style w:type="character" w:customStyle="1" w:styleId="163">
    <w:name w:val="Heading 3 Char"/>
    <w:autoRedefine/>
    <w:semiHidden/>
    <w:qFormat/>
    <w:uiPriority w:val="9"/>
    <w:rPr>
      <w:rFonts w:ascii="Cambria" w:hAnsi="Cambria" w:eastAsia="宋体" w:cs="Times New Roman"/>
      <w:b/>
      <w:bCs/>
      <w:kern w:val="2"/>
      <w:sz w:val="26"/>
      <w:szCs w:val="26"/>
    </w:rPr>
  </w:style>
  <w:style w:type="character" w:customStyle="1" w:styleId="164">
    <w:name w:val="无间距字符"/>
    <w:link w:val="165"/>
    <w:autoRedefine/>
    <w:qFormat/>
    <w:uiPriority w:val="1"/>
    <w:rPr>
      <w:sz w:val="22"/>
    </w:rPr>
  </w:style>
  <w:style w:type="paragraph" w:customStyle="1" w:styleId="165">
    <w:name w:val="无间距"/>
    <w:link w:val="164"/>
    <w:autoRedefine/>
    <w:qFormat/>
    <w:uiPriority w:val="1"/>
    <w:rPr>
      <w:rFonts w:asciiTheme="minorHAnsi" w:hAnsiTheme="minorHAnsi" w:eastAsiaTheme="minorEastAsia" w:cstheme="minorBidi"/>
      <w:kern w:val="2"/>
      <w:sz w:val="22"/>
      <w:szCs w:val="22"/>
      <w:lang w:val="en-US" w:eastAsia="zh-CN" w:bidi="ar-SA"/>
    </w:rPr>
  </w:style>
  <w:style w:type="character" w:customStyle="1" w:styleId="166">
    <w:name w:val="5级标题nbm Char"/>
    <w:link w:val="167"/>
    <w:autoRedefine/>
    <w:qFormat/>
    <w:uiPriority w:val="0"/>
    <w:rPr>
      <w:rFonts w:ascii="宋体" w:hAnsi="宋体"/>
      <w:szCs w:val="21"/>
    </w:rPr>
  </w:style>
  <w:style w:type="paragraph" w:customStyle="1" w:styleId="167">
    <w:name w:val="5级标题nbm"/>
    <w:basedOn w:val="4"/>
    <w:link w:val="166"/>
    <w:autoRedefine/>
    <w:qFormat/>
    <w:uiPriority w:val="0"/>
    <w:pPr>
      <w:tabs>
        <w:tab w:val="left" w:pos="1008"/>
      </w:tabs>
      <w:spacing w:line="360" w:lineRule="auto"/>
      <w:ind w:left="1008" w:hanging="1008"/>
      <w:outlineLvl w:val="4"/>
    </w:pPr>
    <w:rPr>
      <w:rFonts w:ascii="宋体" w:eastAsiaTheme="minorEastAsia" w:cstheme="minorBidi"/>
      <w:bCs w:val="0"/>
      <w:sz w:val="21"/>
      <w:szCs w:val="21"/>
    </w:rPr>
  </w:style>
  <w:style w:type="character" w:customStyle="1" w:styleId="168">
    <w:name w:val="Heading 6 Char"/>
    <w:autoRedefine/>
    <w:semiHidden/>
    <w:qFormat/>
    <w:locked/>
    <w:uiPriority w:val="99"/>
    <w:rPr>
      <w:rFonts w:ascii="Calibri" w:hAnsi="Calibri" w:eastAsia="宋体" w:cs="Times New Roman"/>
      <w:b/>
      <w:bCs/>
      <w:kern w:val="2"/>
    </w:rPr>
  </w:style>
  <w:style w:type="character" w:customStyle="1" w:styleId="169">
    <w:name w:val="Heading 3 Char2"/>
    <w:autoRedefine/>
    <w:qFormat/>
    <w:locked/>
    <w:uiPriority w:val="99"/>
    <w:rPr>
      <w:rFonts w:eastAsia="宋体" w:cs="Times New Roman"/>
      <w:b/>
      <w:bCs/>
      <w:kern w:val="2"/>
      <w:sz w:val="32"/>
      <w:szCs w:val="32"/>
      <w:lang w:val="en-US" w:eastAsia="zh-CN" w:bidi="ar-SA"/>
    </w:rPr>
  </w:style>
  <w:style w:type="character" w:customStyle="1" w:styleId="170">
    <w:name w:val="2级标题nbm Char"/>
    <w:link w:val="171"/>
    <w:autoRedefine/>
    <w:qFormat/>
    <w:uiPriority w:val="0"/>
    <w:rPr>
      <w:rFonts w:ascii="宋体" w:hAnsi="宋体"/>
      <w:bCs/>
      <w:szCs w:val="21"/>
    </w:rPr>
  </w:style>
  <w:style w:type="paragraph" w:customStyle="1" w:styleId="171">
    <w:name w:val="2级标题nbm"/>
    <w:basedOn w:val="4"/>
    <w:link w:val="170"/>
    <w:autoRedefine/>
    <w:qFormat/>
    <w:uiPriority w:val="0"/>
    <w:pPr>
      <w:tabs>
        <w:tab w:val="left" w:pos="756"/>
      </w:tabs>
      <w:spacing w:line="360" w:lineRule="auto"/>
      <w:ind w:left="756" w:hanging="576"/>
    </w:pPr>
    <w:rPr>
      <w:rFonts w:ascii="宋体" w:eastAsiaTheme="minorEastAsia" w:cstheme="minorBidi"/>
      <w:sz w:val="21"/>
      <w:szCs w:val="21"/>
    </w:rPr>
  </w:style>
  <w:style w:type="character" w:customStyle="1" w:styleId="172">
    <w:name w:val="3级标题nbm Char"/>
    <w:link w:val="173"/>
    <w:autoRedefine/>
    <w:qFormat/>
    <w:uiPriority w:val="0"/>
    <w:rPr>
      <w:rFonts w:ascii="宋体" w:hAnsi="宋体"/>
      <w:bCs/>
      <w:szCs w:val="21"/>
    </w:rPr>
  </w:style>
  <w:style w:type="paragraph" w:customStyle="1" w:styleId="173">
    <w:name w:val="3级标题nbm"/>
    <w:basedOn w:val="171"/>
    <w:link w:val="172"/>
    <w:autoRedefine/>
    <w:qFormat/>
    <w:uiPriority w:val="0"/>
    <w:pPr>
      <w:tabs>
        <w:tab w:val="left" w:pos="720"/>
        <w:tab w:val="clear" w:pos="756"/>
      </w:tabs>
      <w:ind w:left="720" w:hanging="720"/>
      <w:outlineLvl w:val="2"/>
    </w:pPr>
  </w:style>
  <w:style w:type="character" w:customStyle="1" w:styleId="174">
    <w:name w:val="font1"/>
    <w:autoRedefine/>
    <w:qFormat/>
    <w:uiPriority w:val="99"/>
    <w:rPr>
      <w:rFonts w:cs="Times New Roman"/>
      <w:color w:val="000000"/>
      <w:sz w:val="18"/>
      <w:szCs w:val="18"/>
    </w:rPr>
  </w:style>
  <w:style w:type="character" w:customStyle="1" w:styleId="175">
    <w:name w:val="t181"/>
    <w:autoRedefine/>
    <w:qFormat/>
    <w:uiPriority w:val="99"/>
    <w:rPr>
      <w:rFonts w:cs="Times New Roman"/>
      <w:color w:val="000000"/>
      <w:sz w:val="21"/>
      <w:szCs w:val="21"/>
    </w:rPr>
  </w:style>
  <w:style w:type="character" w:customStyle="1" w:styleId="176">
    <w:name w:val="标题 4 Char1"/>
    <w:autoRedefine/>
    <w:qFormat/>
    <w:uiPriority w:val="99"/>
    <w:rPr>
      <w:rFonts w:eastAsia="宋体" w:cs="Times New Roman"/>
      <w:b/>
      <w:bCs/>
      <w:kern w:val="2"/>
      <w:sz w:val="28"/>
      <w:szCs w:val="28"/>
      <w:lang w:val="en-US" w:eastAsia="zh-CN" w:bidi="ar-SA"/>
    </w:rPr>
  </w:style>
  <w:style w:type="character" w:customStyle="1" w:styleId="17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78">
    <w:name w:val="Heading 2 Char"/>
    <w:autoRedefine/>
    <w:semiHidden/>
    <w:qFormat/>
    <w:locked/>
    <w:uiPriority w:val="99"/>
    <w:rPr>
      <w:rFonts w:ascii="Cambria" w:hAnsi="Cambria" w:eastAsia="宋体" w:cs="Times New Roman"/>
      <w:b/>
      <w:bCs/>
      <w:i/>
      <w:iCs/>
      <w:kern w:val="2"/>
      <w:sz w:val="28"/>
      <w:szCs w:val="28"/>
    </w:rPr>
  </w:style>
  <w:style w:type="character" w:customStyle="1" w:styleId="179">
    <w:name w:val="4级标题nbm Char"/>
    <w:link w:val="180"/>
    <w:autoRedefine/>
    <w:qFormat/>
    <w:uiPriority w:val="0"/>
    <w:rPr>
      <w:rFonts w:ascii="宋体" w:hAnsi="宋体"/>
      <w:szCs w:val="21"/>
    </w:rPr>
  </w:style>
  <w:style w:type="paragraph" w:customStyle="1" w:styleId="180">
    <w:name w:val="4级标题nbm"/>
    <w:basedOn w:val="4"/>
    <w:link w:val="179"/>
    <w:autoRedefine/>
    <w:qFormat/>
    <w:uiPriority w:val="0"/>
    <w:pPr>
      <w:tabs>
        <w:tab w:val="left" w:pos="864"/>
      </w:tabs>
      <w:spacing w:line="360" w:lineRule="auto"/>
      <w:ind w:left="864" w:hanging="864"/>
      <w:outlineLvl w:val="3"/>
    </w:pPr>
    <w:rPr>
      <w:rFonts w:ascii="宋体" w:eastAsiaTheme="minorEastAsia" w:cstheme="minorBidi"/>
      <w:bCs w:val="0"/>
      <w:sz w:val="21"/>
      <w:szCs w:val="21"/>
    </w:rPr>
  </w:style>
  <w:style w:type="character" w:customStyle="1" w:styleId="181">
    <w:name w:val="Heading 8 Char"/>
    <w:autoRedefine/>
    <w:semiHidden/>
    <w:qFormat/>
    <w:locked/>
    <w:uiPriority w:val="99"/>
    <w:rPr>
      <w:rFonts w:ascii="Calibri" w:hAnsi="Calibri" w:eastAsia="宋体" w:cs="Times New Roman"/>
      <w:i/>
      <w:iCs/>
      <w:kern w:val="2"/>
      <w:sz w:val="24"/>
      <w:szCs w:val="24"/>
    </w:rPr>
  </w:style>
  <w:style w:type="character" w:customStyle="1" w:styleId="182">
    <w:name w:val="表正文 Char1"/>
    <w:autoRedefine/>
    <w:qFormat/>
    <w:uiPriority w:val="99"/>
    <w:rPr>
      <w:rFonts w:eastAsia="宋体" w:cs="Times New Roman"/>
      <w:kern w:val="2"/>
      <w:sz w:val="24"/>
      <w:szCs w:val="24"/>
      <w:lang w:val="en-US" w:eastAsia="zh-CN" w:bidi="ar-SA"/>
    </w:rPr>
  </w:style>
  <w:style w:type="character" w:customStyle="1" w:styleId="183">
    <w:name w:val="样式3 Char"/>
    <w:autoRedefine/>
    <w:qFormat/>
    <w:uiPriority w:val="99"/>
    <w:rPr>
      <w:rFonts w:eastAsia="宋体" w:cs="Times New Roman"/>
      <w:kern w:val="2"/>
      <w:sz w:val="24"/>
      <w:szCs w:val="24"/>
      <w:lang w:val="en-US" w:eastAsia="zh-CN" w:bidi="ar-SA"/>
    </w:rPr>
  </w:style>
  <w:style w:type="character" w:customStyle="1" w:styleId="184">
    <w:name w:val="Heading 3 Char3"/>
    <w:autoRedefine/>
    <w:semiHidden/>
    <w:qFormat/>
    <w:locked/>
    <w:uiPriority w:val="99"/>
    <w:rPr>
      <w:rFonts w:ascii="Cambria" w:hAnsi="Cambria" w:eastAsia="宋体" w:cs="Times New Roman"/>
      <w:b/>
      <w:bCs/>
      <w:kern w:val="2"/>
      <w:sz w:val="26"/>
      <w:szCs w:val="26"/>
    </w:rPr>
  </w:style>
  <w:style w:type="character" w:customStyle="1" w:styleId="18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8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87">
    <w:name w:val="二级条标题 Char"/>
    <w:link w:val="188"/>
    <w:autoRedefine/>
    <w:qFormat/>
    <w:locked/>
    <w:uiPriority w:val="99"/>
    <w:rPr>
      <w:rFonts w:ascii="宋体"/>
    </w:rPr>
  </w:style>
  <w:style w:type="paragraph" w:customStyle="1" w:styleId="188">
    <w:name w:val="二级条标题"/>
    <w:basedOn w:val="1"/>
    <w:next w:val="1"/>
    <w:link w:val="187"/>
    <w:autoRedefine/>
    <w:qFormat/>
    <w:uiPriority w:val="99"/>
    <w:pPr>
      <w:widowControl/>
      <w:spacing w:beforeLines="50" w:afterLines="50"/>
      <w:outlineLvl w:val="3"/>
    </w:pPr>
    <w:rPr>
      <w:rFonts w:ascii="宋体" w:hAnsiTheme="minorHAnsi" w:eastAsiaTheme="minorEastAsia" w:cstheme="minorBidi"/>
      <w:szCs w:val="22"/>
    </w:rPr>
  </w:style>
  <w:style w:type="character" w:customStyle="1" w:styleId="189">
    <w:name w:val="Heading 4 Char"/>
    <w:autoRedefine/>
    <w:semiHidden/>
    <w:qFormat/>
    <w:locked/>
    <w:uiPriority w:val="99"/>
    <w:rPr>
      <w:rFonts w:ascii="Calibri" w:hAnsi="Calibri" w:eastAsia="宋体" w:cs="Times New Roman"/>
      <w:b/>
      <w:bCs/>
      <w:kern w:val="2"/>
      <w:sz w:val="28"/>
      <w:szCs w:val="28"/>
    </w:rPr>
  </w:style>
  <w:style w:type="character" w:customStyle="1" w:styleId="190">
    <w:name w:val="Heading 5 Char"/>
    <w:autoRedefine/>
    <w:semiHidden/>
    <w:qFormat/>
    <w:locked/>
    <w:uiPriority w:val="99"/>
    <w:rPr>
      <w:rFonts w:ascii="Calibri" w:hAnsi="Calibri" w:eastAsia="宋体" w:cs="Times New Roman"/>
      <w:b/>
      <w:bCs/>
      <w:i/>
      <w:iCs/>
      <w:kern w:val="2"/>
      <w:sz w:val="26"/>
      <w:szCs w:val="26"/>
    </w:rPr>
  </w:style>
  <w:style w:type="character" w:customStyle="1" w:styleId="191">
    <w:name w:val="title_emph1"/>
    <w:autoRedefine/>
    <w:qFormat/>
    <w:uiPriority w:val="99"/>
    <w:rPr>
      <w:rFonts w:ascii="Arial" w:hAnsi="Arial" w:cs="Arial"/>
      <w:b/>
      <w:bCs/>
      <w:sz w:val="20"/>
      <w:szCs w:val="20"/>
    </w:rPr>
  </w:style>
  <w:style w:type="paragraph" w:customStyle="1" w:styleId="192">
    <w:name w:val="样式 正文缩进正文（首行缩进两字）表正文正文非缩进特点标题4段1 + 首行缩进:  2 字符"/>
    <w:basedOn w:val="1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9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94">
    <w:name w:val="正文首行缩进 Char1"/>
    <w:autoRedefine/>
    <w:qFormat/>
    <w:uiPriority w:val="0"/>
    <w:rPr>
      <w:kern w:val="2"/>
      <w:sz w:val="21"/>
      <w:szCs w:val="24"/>
    </w:rPr>
  </w:style>
  <w:style w:type="paragraph" w:customStyle="1" w:styleId="195">
    <w:name w:val="2"/>
    <w:basedOn w:val="1"/>
    <w:next w:val="22"/>
    <w:autoRedefine/>
    <w:qFormat/>
    <w:uiPriority w:val="99"/>
    <w:pPr>
      <w:spacing w:line="440" w:lineRule="exact"/>
      <w:ind w:firstLine="420"/>
    </w:pPr>
    <w:rPr>
      <w:sz w:val="28"/>
      <w:szCs w:val="20"/>
    </w:rPr>
  </w:style>
  <w:style w:type="paragraph" w:customStyle="1" w:styleId="196">
    <w:name w:val="Char1 Char Char Char"/>
    <w:basedOn w:val="1"/>
    <w:autoRedefine/>
    <w:qFormat/>
    <w:uiPriority w:val="0"/>
    <w:pPr>
      <w:tabs>
        <w:tab w:val="left" w:pos="420"/>
      </w:tabs>
      <w:ind w:left="420" w:hanging="420"/>
    </w:pPr>
    <w:rPr>
      <w:rFonts w:ascii="Tahoma" w:hAnsi="Tahoma"/>
      <w:sz w:val="24"/>
      <w:szCs w:val="20"/>
    </w:rPr>
  </w:style>
  <w:style w:type="paragraph" w:customStyle="1" w:styleId="19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9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200">
    <w:name w:val="正文文字（缩进2字）"/>
    <w:basedOn w:val="21"/>
    <w:autoRedefine/>
    <w:qFormat/>
    <w:uiPriority w:val="99"/>
    <w:pPr>
      <w:spacing w:beforeLines="50" w:afterLines="50"/>
      <w:ind w:firstLine="200" w:firstLineChars="200"/>
    </w:pPr>
    <w:rPr>
      <w:kern w:val="0"/>
      <w:sz w:val="20"/>
    </w:rPr>
  </w:style>
  <w:style w:type="paragraph" w:customStyle="1" w:styleId="201">
    <w:name w:val="Char Char2"/>
    <w:basedOn w:val="1"/>
    <w:autoRedefine/>
    <w:qFormat/>
    <w:uiPriority w:val="99"/>
    <w:rPr>
      <w:rFonts w:ascii="Tahoma" w:hAnsi="Tahoma"/>
      <w:sz w:val="24"/>
      <w:szCs w:val="20"/>
    </w:rPr>
  </w:style>
  <w:style w:type="paragraph" w:customStyle="1" w:styleId="20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203">
    <w:name w:val="Char Char Char"/>
    <w:basedOn w:val="17"/>
    <w:autoRedefine/>
    <w:qFormat/>
    <w:uiPriority w:val="0"/>
    <w:pPr>
      <w:shd w:val="clear" w:color="auto" w:fill="000080"/>
    </w:pPr>
    <w:rPr>
      <w:rFonts w:ascii="Tahoma" w:hAnsi="Tahoma"/>
      <w:kern w:val="0"/>
      <w:sz w:val="24"/>
      <w:szCs w:val="24"/>
    </w:rPr>
  </w:style>
  <w:style w:type="paragraph" w:customStyle="1" w:styleId="204">
    <w:name w:val="默认段落字体 Para Char Char Char Char Char Char Char"/>
    <w:basedOn w:val="1"/>
    <w:autoRedefine/>
    <w:qFormat/>
    <w:uiPriority w:val="99"/>
    <w:rPr>
      <w:rFonts w:ascii="Tahoma" w:hAnsi="Tahoma"/>
      <w:sz w:val="24"/>
      <w:szCs w:val="20"/>
    </w:rPr>
  </w:style>
  <w:style w:type="paragraph" w:customStyle="1" w:styleId="205">
    <w:name w:val="文章标题"/>
    <w:basedOn w:val="1"/>
    <w:autoRedefine/>
    <w:qFormat/>
    <w:uiPriority w:val="99"/>
    <w:pPr>
      <w:spacing w:beforeLines="200" w:afterLines="200"/>
      <w:jc w:val="center"/>
    </w:pPr>
    <w:rPr>
      <w:b/>
      <w:sz w:val="44"/>
    </w:rPr>
  </w:style>
  <w:style w:type="paragraph" w:customStyle="1" w:styleId="20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10">
    <w:name w:val="Centered"/>
    <w:basedOn w:val="1"/>
    <w:next w:val="21"/>
    <w:autoRedefine/>
    <w:qFormat/>
    <w:uiPriority w:val="99"/>
    <w:pPr>
      <w:widowControl/>
      <w:spacing w:after="240" w:line="240" w:lineRule="exact"/>
      <w:jc w:val="center"/>
    </w:pPr>
    <w:rPr>
      <w:kern w:val="0"/>
      <w:sz w:val="24"/>
      <w:lang w:val="en-GB"/>
    </w:rPr>
  </w:style>
  <w:style w:type="paragraph" w:customStyle="1" w:styleId="211">
    <w:name w:val="样式3"/>
    <w:basedOn w:val="4"/>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1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3">
    <w:name w:val="样式4"/>
    <w:autoRedefine/>
    <w:qFormat/>
    <w:uiPriority w:val="99"/>
    <w:rPr>
      <w:rFonts w:ascii="宋体" w:hAnsi="宋体" w:eastAsia="宋体" w:cs="Times New Roman"/>
      <w:b/>
      <w:bCs/>
      <w:kern w:val="2"/>
      <w:sz w:val="28"/>
      <w:szCs w:val="28"/>
      <w:lang w:val="en-US" w:eastAsia="zh-CN" w:bidi="ar-SA"/>
    </w:rPr>
  </w:style>
  <w:style w:type="paragraph" w:customStyle="1" w:styleId="21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1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6">
    <w:name w:val="Char Char21"/>
    <w:basedOn w:val="1"/>
    <w:autoRedefine/>
    <w:qFormat/>
    <w:uiPriority w:val="99"/>
    <w:rPr>
      <w:rFonts w:ascii="Tahoma" w:hAnsi="Tahoma"/>
      <w:sz w:val="24"/>
      <w:szCs w:val="20"/>
    </w:rPr>
  </w:style>
  <w:style w:type="paragraph" w:customStyle="1" w:styleId="217">
    <w:name w:val="样式 普通(网站) + 仿宋_GB2312 段前: 自动 段后: 自动 行距: 1.5 倍行距1"/>
    <w:basedOn w:val="1"/>
    <w:autoRedefine/>
    <w:qFormat/>
    <w:uiPriority w:val="0"/>
    <w:pPr>
      <w:widowControl/>
      <w:tabs>
        <w:tab w:val="left" w:pos="1134"/>
      </w:tabs>
      <w:spacing w:after="120"/>
      <w:ind w:left="1134" w:hanging="294"/>
      <w:jc w:val="left"/>
    </w:pPr>
    <w:rPr>
      <w:rFonts w:ascii="Arial" w:hAnsi="Arial"/>
      <w:kern w:val="0"/>
      <w:sz w:val="20"/>
      <w:szCs w:val="20"/>
      <w:lang w:val="en-GB"/>
    </w:rPr>
  </w:style>
  <w:style w:type="paragraph" w:customStyle="1" w:styleId="218">
    <w:name w:val="附件小标题"/>
    <w:basedOn w:val="2"/>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9">
    <w:name w:val="P8"/>
    <w:basedOn w:val="208"/>
    <w:autoRedefine/>
    <w:qFormat/>
    <w:uiPriority w:val="99"/>
    <w:pPr>
      <w:ind w:left="4032"/>
    </w:pPr>
  </w:style>
  <w:style w:type="paragraph" w:customStyle="1" w:styleId="220">
    <w:name w:val="xl23"/>
    <w:basedOn w:val="1"/>
    <w:autoRedefine/>
    <w:qFormat/>
    <w:uiPriority w:val="99"/>
    <w:pPr>
      <w:widowControl/>
      <w:spacing w:beforeAutospacing="1" w:afterAutospacing="1"/>
    </w:pPr>
    <w:rPr>
      <w:rFonts w:eastAsia="Arial Unicode MS"/>
      <w:kern w:val="0"/>
      <w:szCs w:val="20"/>
    </w:rPr>
  </w:style>
  <w:style w:type="paragraph" w:customStyle="1" w:styleId="22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22">
    <w:name w:val="6"/>
    <w:basedOn w:val="1"/>
    <w:next w:val="49"/>
    <w:autoRedefine/>
    <w:qFormat/>
    <w:uiPriority w:val="99"/>
    <w:pPr>
      <w:adjustRightInd w:val="0"/>
      <w:snapToGrid w:val="0"/>
    </w:pPr>
    <w:rPr>
      <w:sz w:val="24"/>
    </w:rPr>
  </w:style>
  <w:style w:type="paragraph" w:customStyle="1" w:styleId="223">
    <w:name w:val="正文表格"/>
    <w:basedOn w:val="1"/>
    <w:autoRedefine/>
    <w:qFormat/>
    <w:uiPriority w:val="99"/>
    <w:pPr>
      <w:ind w:left="10" w:leftChars="10" w:right="10" w:rightChars="10"/>
    </w:pPr>
    <w:rPr>
      <w:bCs/>
    </w:rPr>
  </w:style>
  <w:style w:type="paragraph" w:customStyle="1" w:styleId="224">
    <w:name w:val="图中文字"/>
    <w:basedOn w:val="1"/>
    <w:autoRedefine/>
    <w:qFormat/>
    <w:uiPriority w:val="99"/>
    <w:pPr>
      <w:adjustRightInd w:val="0"/>
      <w:snapToGrid w:val="0"/>
      <w:spacing w:line="240" w:lineRule="atLeast"/>
      <w:jc w:val="center"/>
    </w:pPr>
    <w:rPr>
      <w:szCs w:val="20"/>
    </w:rPr>
  </w:style>
  <w:style w:type="paragraph" w:customStyle="1" w:styleId="225">
    <w:name w:val="正文（首行缩进）"/>
    <w:basedOn w:val="1"/>
    <w:autoRedefine/>
    <w:qFormat/>
    <w:uiPriority w:val="99"/>
    <w:pPr>
      <w:spacing w:line="360" w:lineRule="auto"/>
      <w:ind w:firstLine="420"/>
    </w:pPr>
    <w:rPr>
      <w:sz w:val="24"/>
      <w:szCs w:val="20"/>
    </w:rPr>
  </w:style>
  <w:style w:type="paragraph" w:customStyle="1" w:styleId="22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27">
    <w:name w:val="样式 Tahoma 行距: 单倍行距"/>
    <w:basedOn w:val="1"/>
    <w:autoRedefine/>
    <w:qFormat/>
    <w:uiPriority w:val="0"/>
    <w:pPr>
      <w:ind w:firstLine="420" w:firstLineChars="200"/>
    </w:pPr>
    <w:rPr>
      <w:rFonts w:ascii="Tahoma" w:hAnsi="Tahoma" w:cs="宋体"/>
      <w:szCs w:val="21"/>
    </w:rPr>
  </w:style>
  <w:style w:type="paragraph" w:customStyle="1" w:styleId="22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30">
    <w:name w:val="彩色列表 - 强调文字颜色 11"/>
    <w:basedOn w:val="1"/>
    <w:autoRedefine/>
    <w:qFormat/>
    <w:uiPriority w:val="99"/>
    <w:pPr>
      <w:ind w:firstLine="420" w:firstLineChars="200"/>
    </w:pPr>
  </w:style>
  <w:style w:type="paragraph" w:customStyle="1" w:styleId="23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3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3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3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5">
    <w:name w:val="Table Text"/>
    <w:basedOn w:val="1"/>
    <w:autoRedefine/>
    <w:qFormat/>
    <w:uiPriority w:val="99"/>
    <w:pPr>
      <w:widowControl/>
      <w:autoSpaceDE w:val="0"/>
      <w:autoSpaceDN w:val="0"/>
      <w:spacing w:before="60" w:after="60"/>
      <w:jc w:val="left"/>
    </w:pPr>
    <w:rPr>
      <w:kern w:val="0"/>
      <w:szCs w:val="20"/>
    </w:rPr>
  </w:style>
  <w:style w:type="paragraph" w:customStyle="1" w:styleId="23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37">
    <w:name w:val="强调列表"/>
    <w:basedOn w:val="1"/>
    <w:autoRedefine/>
    <w:qFormat/>
    <w:uiPriority w:val="99"/>
    <w:pPr>
      <w:tabs>
        <w:tab w:val="left" w:pos="1742"/>
      </w:tabs>
      <w:ind w:left="1742" w:hanging="420"/>
    </w:pPr>
    <w:rPr>
      <w:sz w:val="24"/>
      <w:szCs w:val="20"/>
    </w:rPr>
  </w:style>
  <w:style w:type="paragraph" w:customStyle="1" w:styleId="238">
    <w:name w:val="Char"/>
    <w:basedOn w:val="1"/>
    <w:autoRedefine/>
    <w:qFormat/>
    <w:uiPriority w:val="99"/>
    <w:pPr>
      <w:tabs>
        <w:tab w:val="left" w:pos="360"/>
      </w:tabs>
      <w:ind w:left="360" w:hanging="360" w:hangingChars="200"/>
    </w:pPr>
    <w:rPr>
      <w:sz w:val="24"/>
    </w:rPr>
  </w:style>
  <w:style w:type="character" w:customStyle="1" w:styleId="239">
    <w:name w:val="正文文本 2 Char1"/>
    <w:autoRedefine/>
    <w:semiHidden/>
    <w:qFormat/>
    <w:uiPriority w:val="0"/>
    <w:rPr>
      <w:kern w:val="2"/>
      <w:sz w:val="21"/>
      <w:szCs w:val="24"/>
    </w:rPr>
  </w:style>
  <w:style w:type="paragraph" w:customStyle="1" w:styleId="24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4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4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4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4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6">
    <w:name w:val="Heading B"/>
    <w:basedOn w:val="4"/>
    <w:next w:val="21"/>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47">
    <w:name w:val="Table Heading"/>
    <w:basedOn w:val="235"/>
    <w:autoRedefine/>
    <w:qFormat/>
    <w:uiPriority w:val="0"/>
    <w:pPr>
      <w:autoSpaceDE/>
      <w:autoSpaceDN/>
      <w:spacing w:line="288" w:lineRule="auto"/>
      <w:jc w:val="center"/>
    </w:pPr>
    <w:rPr>
      <w:rFonts w:ascii="宋体" w:hAnsi="宋体"/>
      <w:b/>
    </w:rPr>
  </w:style>
  <w:style w:type="paragraph" w:customStyle="1" w:styleId="248">
    <w:name w:val="Heading A"/>
    <w:basedOn w:val="3"/>
    <w:next w:val="21"/>
    <w:autoRedefine/>
    <w:qFormat/>
    <w:uiPriority w:val="99"/>
    <w:pPr>
      <w:widowControl/>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5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5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2">
    <w:name w:val="prop1"/>
    <w:basedOn w:val="2"/>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53">
    <w:name w:val="Char1 Char Char Char Char Char Char"/>
    <w:basedOn w:val="1"/>
    <w:autoRedefine/>
    <w:qFormat/>
    <w:uiPriority w:val="99"/>
    <w:rPr>
      <w:rFonts w:ascii="Tahoma" w:hAnsi="Tahoma"/>
      <w:sz w:val="24"/>
      <w:szCs w:val="20"/>
    </w:rPr>
  </w:style>
  <w:style w:type="paragraph" w:customStyle="1" w:styleId="25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5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5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6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61">
    <w:name w:val="空项目内容"/>
    <w:basedOn w:val="1"/>
    <w:autoRedefine/>
    <w:qFormat/>
    <w:uiPriority w:val="99"/>
    <w:pPr>
      <w:tabs>
        <w:tab w:val="left" w:pos="720"/>
      </w:tabs>
      <w:spacing w:line="360" w:lineRule="auto"/>
      <w:ind w:left="720" w:hanging="720"/>
    </w:pPr>
    <w:rPr>
      <w:sz w:val="24"/>
    </w:rPr>
  </w:style>
  <w:style w:type="paragraph" w:customStyle="1" w:styleId="26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6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64">
    <w:name w:val="Char2"/>
    <w:basedOn w:val="1"/>
    <w:autoRedefine/>
    <w:qFormat/>
    <w:uiPriority w:val="99"/>
    <w:pPr>
      <w:spacing w:line="360" w:lineRule="auto"/>
      <w:ind w:firstLine="200" w:firstLineChars="200"/>
    </w:pPr>
    <w:rPr>
      <w:rFonts w:ascii="Tahoma" w:hAnsi="Tahoma"/>
      <w:sz w:val="24"/>
      <w:szCs w:val="20"/>
    </w:rPr>
  </w:style>
  <w:style w:type="paragraph" w:customStyle="1" w:styleId="265">
    <w:name w:val="标题下列示"/>
    <w:basedOn w:val="266"/>
    <w:next w:val="267"/>
    <w:autoRedefine/>
    <w:qFormat/>
    <w:uiPriority w:val="99"/>
    <w:pPr>
      <w:tabs>
        <w:tab w:val="left" w:pos="420"/>
        <w:tab w:val="left" w:pos="1680"/>
      </w:tabs>
      <w:ind w:left="1680"/>
    </w:pPr>
  </w:style>
  <w:style w:type="paragraph" w:customStyle="1" w:styleId="26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6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68">
    <w:name w:val="图片"/>
    <w:basedOn w:val="1"/>
    <w:next w:val="269"/>
    <w:autoRedefine/>
    <w:qFormat/>
    <w:uiPriority w:val="99"/>
    <w:pPr>
      <w:spacing w:beforeLines="50" w:afterLines="50"/>
      <w:jc w:val="center"/>
    </w:pPr>
  </w:style>
  <w:style w:type="paragraph" w:customStyle="1" w:styleId="269">
    <w:name w:val="图名"/>
    <w:basedOn w:val="1"/>
    <w:next w:val="15"/>
    <w:autoRedefine/>
    <w:qFormat/>
    <w:uiPriority w:val="99"/>
    <w:pPr>
      <w:spacing w:line="360" w:lineRule="auto"/>
      <w:jc w:val="center"/>
    </w:pPr>
    <w:rPr>
      <w:rFonts w:ascii="Arial" w:hAnsi="Arial" w:eastAsia="黑体"/>
      <w:b/>
    </w:rPr>
  </w:style>
  <w:style w:type="paragraph" w:customStyle="1" w:styleId="27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7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7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7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7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6">
    <w:name w:val="正文文字(ALT+W)"/>
    <w:basedOn w:val="1"/>
    <w:next w:val="15"/>
    <w:autoRedefine/>
    <w:qFormat/>
    <w:uiPriority w:val="99"/>
    <w:pPr>
      <w:adjustRightInd w:val="0"/>
      <w:snapToGrid w:val="0"/>
      <w:spacing w:line="360" w:lineRule="auto"/>
      <w:ind w:firstLine="420"/>
    </w:pPr>
    <w:rPr>
      <w:sz w:val="24"/>
      <w:szCs w:val="20"/>
    </w:rPr>
  </w:style>
  <w:style w:type="paragraph" w:customStyle="1" w:styleId="27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8">
    <w:name w:val="项目"/>
    <w:basedOn w:val="22"/>
    <w:autoRedefine/>
    <w:qFormat/>
    <w:uiPriority w:val="99"/>
    <w:pPr>
      <w:autoSpaceDE/>
      <w:autoSpaceDN/>
      <w:adjustRightInd/>
      <w:spacing w:line="240" w:lineRule="auto"/>
      <w:ind w:left="0"/>
      <w:jc w:val="center"/>
    </w:pPr>
    <w:rPr>
      <w:b/>
      <w:sz w:val="24"/>
    </w:rPr>
  </w:style>
  <w:style w:type="paragraph" w:customStyle="1" w:styleId="27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8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8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82">
    <w:name w:val="Char Char Char Char Char Char1 Char Char Char Char Char Char"/>
    <w:basedOn w:val="1"/>
    <w:autoRedefine/>
    <w:qFormat/>
    <w:uiPriority w:val="99"/>
    <w:rPr>
      <w:rFonts w:ascii="Tahoma" w:hAnsi="Tahoma"/>
      <w:sz w:val="24"/>
      <w:szCs w:val="20"/>
    </w:rPr>
  </w:style>
  <w:style w:type="paragraph" w:customStyle="1" w:styleId="28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8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5">
    <w:name w:val="MM Topic 3"/>
    <w:basedOn w:val="2"/>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8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8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89">
    <w:name w:val="文本框样式1"/>
    <w:basedOn w:val="1"/>
    <w:autoRedefine/>
    <w:qFormat/>
    <w:uiPriority w:val="99"/>
    <w:pPr>
      <w:adjustRightInd w:val="0"/>
      <w:snapToGrid w:val="0"/>
      <w:spacing w:before="60" w:line="180" w:lineRule="exact"/>
      <w:jc w:val="center"/>
    </w:pPr>
    <w:rPr>
      <w:szCs w:val="21"/>
    </w:rPr>
  </w:style>
  <w:style w:type="paragraph" w:customStyle="1" w:styleId="290">
    <w:name w:val="aria"/>
    <w:basedOn w:val="1"/>
    <w:autoRedefine/>
    <w:qFormat/>
    <w:uiPriority w:val="99"/>
    <w:pPr>
      <w:spacing w:line="360" w:lineRule="auto"/>
    </w:pPr>
    <w:rPr>
      <w:b/>
      <w:sz w:val="24"/>
    </w:rPr>
  </w:style>
  <w:style w:type="paragraph" w:customStyle="1" w:styleId="291">
    <w:name w:val="首行缩进 1"/>
    <w:basedOn w:val="1"/>
    <w:autoRedefine/>
    <w:qFormat/>
    <w:uiPriority w:val="99"/>
    <w:pPr>
      <w:spacing w:after="120" w:line="360" w:lineRule="auto"/>
      <w:ind w:firstLine="200" w:firstLineChars="200"/>
    </w:pPr>
    <w:rPr>
      <w:sz w:val="24"/>
    </w:rPr>
  </w:style>
  <w:style w:type="paragraph" w:customStyle="1" w:styleId="29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93">
    <w:name w:val="表格"/>
    <w:basedOn w:val="1"/>
    <w:autoRedefine/>
    <w:qFormat/>
    <w:uiPriority w:val="99"/>
    <w:pPr>
      <w:jc w:val="left"/>
    </w:pPr>
    <w:rPr>
      <w:bCs/>
      <w:color w:val="000000"/>
      <w:szCs w:val="21"/>
    </w:rPr>
  </w:style>
  <w:style w:type="paragraph" w:customStyle="1" w:styleId="29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9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96">
    <w:name w:val="缺省文本"/>
    <w:basedOn w:val="1"/>
    <w:autoRedefine/>
    <w:qFormat/>
    <w:uiPriority w:val="99"/>
    <w:pPr>
      <w:autoSpaceDE w:val="0"/>
      <w:autoSpaceDN w:val="0"/>
      <w:adjustRightInd w:val="0"/>
      <w:jc w:val="left"/>
    </w:pPr>
    <w:rPr>
      <w:kern w:val="0"/>
      <w:sz w:val="24"/>
      <w:szCs w:val="20"/>
    </w:rPr>
  </w:style>
  <w:style w:type="paragraph" w:customStyle="1" w:styleId="29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98">
    <w:name w:val="我的正文下级"/>
    <w:basedOn w:val="1"/>
    <w:autoRedefine/>
    <w:qFormat/>
    <w:uiPriority w:val="99"/>
    <w:rPr>
      <w:rFonts w:ascii="仿宋_GB2312" w:hAnsi="宋体" w:eastAsia="仿宋_GB2312"/>
      <w:kern w:val="0"/>
      <w:sz w:val="28"/>
    </w:rPr>
  </w:style>
  <w:style w:type="paragraph" w:customStyle="1" w:styleId="29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300">
    <w:name w:val="序3"/>
    <w:basedOn w:val="1"/>
    <w:autoRedefine/>
    <w:qFormat/>
    <w:uiPriority w:val="99"/>
    <w:pPr>
      <w:tabs>
        <w:tab w:val="left" w:pos="0"/>
        <w:tab w:val="left" w:pos="643"/>
      </w:tabs>
      <w:ind w:left="643" w:hanging="360"/>
    </w:pPr>
    <w:rPr>
      <w:rFonts w:eastAsia="楷体_GB2312"/>
      <w:b/>
      <w:bCs/>
      <w:sz w:val="32"/>
    </w:rPr>
  </w:style>
  <w:style w:type="paragraph" w:customStyle="1" w:styleId="30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30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30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30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7">
    <w:name w:val="*8. General Text"/>
    <w:basedOn w:val="124"/>
    <w:next w:val="124"/>
    <w:autoRedefine/>
    <w:qFormat/>
    <w:uiPriority w:val="99"/>
    <w:pPr>
      <w:spacing w:after="120"/>
    </w:pPr>
    <w:rPr>
      <w:color w:val="auto"/>
    </w:rPr>
  </w:style>
  <w:style w:type="paragraph" w:customStyle="1" w:styleId="30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9">
    <w:name w:val="样式2"/>
    <w:basedOn w:val="3"/>
    <w:autoRedefine/>
    <w:qFormat/>
    <w:uiPriority w:val="99"/>
    <w:pPr>
      <w:tabs>
        <w:tab w:val="left" w:pos="840"/>
      </w:tabs>
      <w:adjustRightInd w:val="0"/>
      <w:snapToGrid w:val="0"/>
      <w:spacing w:before="240" w:after="240" w:line="360" w:lineRule="auto"/>
      <w:ind w:left="840" w:hanging="420"/>
      <w:jc w:val="both"/>
    </w:pPr>
    <w:rPr>
      <w:sz w:val="24"/>
      <w:szCs w:val="28"/>
    </w:rPr>
  </w:style>
  <w:style w:type="paragraph" w:customStyle="1" w:styleId="31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1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1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1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14">
    <w:name w:val="表格文字（大）"/>
    <w:basedOn w:val="1"/>
    <w:autoRedefine/>
    <w:qFormat/>
    <w:uiPriority w:val="99"/>
    <w:pPr>
      <w:spacing w:before="20" w:after="20"/>
    </w:pPr>
    <w:rPr>
      <w:rFonts w:ascii="Century Gothic" w:hAnsi="Century Gothic"/>
      <w:sz w:val="24"/>
      <w:szCs w:val="20"/>
    </w:rPr>
  </w:style>
  <w:style w:type="paragraph" w:customStyle="1" w:styleId="31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1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7">
    <w:name w:val="标题四"/>
    <w:basedOn w:val="5"/>
    <w:autoRedefine/>
    <w:qFormat/>
    <w:uiPriority w:val="99"/>
    <w:pPr>
      <w:autoSpaceDE/>
      <w:autoSpaceDN/>
      <w:adjustRightInd/>
      <w:spacing w:before="260" w:after="260" w:line="416" w:lineRule="auto"/>
    </w:pPr>
    <w:rPr>
      <w:rFonts w:ascii="Times New Roman" w:eastAsia="宋体"/>
      <w:b/>
      <w:bCs/>
      <w:szCs w:val="32"/>
    </w:rPr>
  </w:style>
  <w:style w:type="paragraph" w:customStyle="1" w:styleId="31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2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21">
    <w:name w:val="规范正文"/>
    <w:basedOn w:val="1"/>
    <w:autoRedefine/>
    <w:qFormat/>
    <w:uiPriority w:val="0"/>
    <w:pPr>
      <w:tabs>
        <w:tab w:val="left" w:pos="900"/>
      </w:tabs>
      <w:adjustRightInd w:val="0"/>
      <w:spacing w:beforeLines="50" w:line="360" w:lineRule="auto"/>
      <w:ind w:left="900" w:hanging="420"/>
      <w:textAlignment w:val="baseline"/>
    </w:pPr>
    <w:rPr>
      <w:szCs w:val="20"/>
    </w:rPr>
  </w:style>
  <w:style w:type="paragraph" w:customStyle="1" w:styleId="32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3">
    <w:name w:val="gczx正文"/>
    <w:basedOn w:val="1"/>
    <w:autoRedefine/>
    <w:qFormat/>
    <w:uiPriority w:val="99"/>
    <w:pPr>
      <w:spacing w:beforeLines="25" w:afterLines="25" w:line="440" w:lineRule="exact"/>
      <w:ind w:firstLine="200" w:firstLineChars="200"/>
    </w:pPr>
    <w:rPr>
      <w:sz w:val="24"/>
      <w:szCs w:val="20"/>
    </w:rPr>
  </w:style>
  <w:style w:type="paragraph" w:customStyle="1" w:styleId="324">
    <w:name w:val="Char1 Char Char Char Char Char"/>
    <w:basedOn w:val="1"/>
    <w:autoRedefine/>
    <w:qFormat/>
    <w:uiPriority w:val="99"/>
    <w:pPr>
      <w:adjustRightInd w:val="0"/>
    </w:pPr>
    <w:rPr>
      <w:rFonts w:ascii="Tahoma" w:hAnsi="Tahoma"/>
      <w:sz w:val="24"/>
      <w:szCs w:val="20"/>
    </w:rPr>
  </w:style>
  <w:style w:type="paragraph" w:customStyle="1" w:styleId="325">
    <w:name w:val="序2"/>
    <w:basedOn w:val="1"/>
    <w:autoRedefine/>
    <w:qFormat/>
    <w:uiPriority w:val="99"/>
    <w:pPr>
      <w:tabs>
        <w:tab w:val="left" w:pos="360"/>
        <w:tab w:val="left" w:pos="840"/>
      </w:tabs>
      <w:ind w:left="360" w:hanging="360"/>
    </w:pPr>
    <w:rPr>
      <w:rFonts w:eastAsia="黑体"/>
      <w:b/>
      <w:bCs/>
      <w:sz w:val="44"/>
    </w:rPr>
  </w:style>
  <w:style w:type="paragraph" w:customStyle="1" w:styleId="32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9">
    <w:name w:val="附录 Heading 2"/>
    <w:basedOn w:val="4"/>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30">
    <w:name w:val="编号正文"/>
    <w:basedOn w:val="21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31">
    <w:name w:val="楷体粗正文文字"/>
    <w:basedOn w:val="1"/>
    <w:next w:val="45"/>
    <w:autoRedefine/>
    <w:qFormat/>
    <w:uiPriority w:val="99"/>
    <w:pPr>
      <w:snapToGrid w:val="0"/>
      <w:spacing w:line="480" w:lineRule="exact"/>
      <w:ind w:firstLine="560"/>
    </w:pPr>
    <w:rPr>
      <w:sz w:val="28"/>
      <w:szCs w:val="20"/>
    </w:rPr>
  </w:style>
  <w:style w:type="paragraph" w:customStyle="1" w:styleId="332">
    <w:name w:val="标题下列示顺序"/>
    <w:basedOn w:val="267"/>
    <w:autoRedefine/>
    <w:qFormat/>
    <w:uiPriority w:val="99"/>
    <w:pPr>
      <w:tabs>
        <w:tab w:val="left" w:pos="1680"/>
      </w:tabs>
      <w:ind w:left="1680" w:leftChars="0" w:hanging="420"/>
    </w:pPr>
  </w:style>
  <w:style w:type="paragraph" w:customStyle="1" w:styleId="33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3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5">
    <w:name w:val="招标文件》"/>
    <w:basedOn w:val="240"/>
    <w:autoRedefine/>
    <w:qFormat/>
    <w:uiPriority w:val="99"/>
    <w:pPr>
      <w:tabs>
        <w:tab w:val="left" w:pos="560"/>
      </w:tabs>
      <w:ind w:left="200" w:firstLine="0" w:firstLineChars="0"/>
    </w:pPr>
  </w:style>
  <w:style w:type="paragraph" w:customStyle="1" w:styleId="336">
    <w:name w:val="样式 样式 列项· + 段后: 0.5 行 + 段前: 0.5 行"/>
    <w:basedOn w:val="1"/>
    <w:autoRedefine/>
    <w:qFormat/>
    <w:uiPriority w:val="0"/>
    <w:pPr>
      <w:widowControl/>
      <w:tabs>
        <w:tab w:val="left" w:pos="814"/>
      </w:tabs>
      <w:spacing w:beforeLines="50"/>
      <w:ind w:firstLine="454"/>
      <w:jc w:val="left"/>
    </w:pPr>
    <w:rPr>
      <w:rFonts w:ascii="宋体" w:cs="宋体"/>
      <w:kern w:val="0"/>
      <w:sz w:val="24"/>
      <w:szCs w:val="20"/>
    </w:rPr>
  </w:style>
  <w:style w:type="paragraph" w:customStyle="1" w:styleId="33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8">
    <w:name w:val="1 Char"/>
    <w:basedOn w:val="1"/>
    <w:autoRedefine/>
    <w:qFormat/>
    <w:uiPriority w:val="99"/>
    <w:rPr>
      <w:rFonts w:ascii="Tahoma" w:hAnsi="Tahoma"/>
      <w:sz w:val="24"/>
      <w:szCs w:val="20"/>
    </w:rPr>
  </w:style>
  <w:style w:type="paragraph" w:customStyle="1" w:styleId="339">
    <w:name w:val="*4. Head 1"/>
    <w:basedOn w:val="124"/>
    <w:next w:val="124"/>
    <w:autoRedefine/>
    <w:qFormat/>
    <w:uiPriority w:val="99"/>
    <w:pPr>
      <w:spacing w:before="180" w:after="60"/>
    </w:pPr>
    <w:rPr>
      <w:rFonts w:ascii="Arial" w:hAnsi="Arial"/>
      <w:color w:val="auto"/>
    </w:rPr>
  </w:style>
  <w:style w:type="paragraph" w:customStyle="1" w:styleId="34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4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4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4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4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4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4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50">
    <w:name w:val="默认段落字体 Para Char"/>
    <w:basedOn w:val="1"/>
    <w:autoRedefine/>
    <w:qFormat/>
    <w:uiPriority w:val="99"/>
    <w:rPr>
      <w:rFonts w:ascii="Tahoma" w:hAnsi="Tahoma"/>
      <w:sz w:val="24"/>
      <w:szCs w:val="20"/>
    </w:rPr>
  </w:style>
  <w:style w:type="paragraph" w:customStyle="1" w:styleId="35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52">
    <w:name w:val="MM Topic 2"/>
    <w:basedOn w:val="4"/>
    <w:autoRedefine/>
    <w:qFormat/>
    <w:uiPriority w:val="0"/>
    <w:pPr>
      <w:keepLines w:val="0"/>
      <w:widowControl/>
      <w:tabs>
        <w:tab w:val="left" w:pos="992"/>
        <w:tab w:val="left" w:pos="1440"/>
      </w:tabs>
      <w:spacing w:line="240" w:lineRule="auto"/>
      <w:ind w:hanging="1440"/>
    </w:pPr>
    <w:rPr>
      <w:bCs w:val="0"/>
      <w:kern w:val="0"/>
      <w:szCs w:val="20"/>
    </w:rPr>
  </w:style>
  <w:style w:type="paragraph" w:customStyle="1" w:styleId="353">
    <w:name w:val="表格首行"/>
    <w:basedOn w:val="1"/>
    <w:autoRedefine/>
    <w:qFormat/>
    <w:uiPriority w:val="99"/>
    <w:pPr>
      <w:jc w:val="center"/>
    </w:pPr>
    <w:rPr>
      <w:rFonts w:ascii="宋体" w:hAnsi="宋体"/>
    </w:rPr>
  </w:style>
  <w:style w:type="paragraph" w:customStyle="1" w:styleId="35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5">
    <w:name w:val="黑正体次次级"/>
    <w:basedOn w:val="306"/>
    <w:autoRedefine/>
    <w:qFormat/>
    <w:uiPriority w:val="99"/>
    <w:pPr>
      <w:tabs>
        <w:tab w:val="left" w:pos="425"/>
      </w:tabs>
      <w:ind w:left="1417" w:hanging="425"/>
    </w:pPr>
    <w:rPr>
      <w:i/>
      <w:sz w:val="20"/>
    </w:rPr>
  </w:style>
  <w:style w:type="paragraph" w:customStyle="1" w:styleId="356">
    <w:name w:val="Char11"/>
    <w:basedOn w:val="1"/>
    <w:autoRedefine/>
    <w:qFormat/>
    <w:uiPriority w:val="0"/>
    <w:rPr>
      <w:rFonts w:ascii="宋体" w:hAnsi="宋体"/>
      <w:sz w:val="24"/>
      <w:szCs w:val="20"/>
    </w:rPr>
  </w:style>
  <w:style w:type="paragraph" w:customStyle="1" w:styleId="35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8">
    <w:name w:val="注释"/>
    <w:basedOn w:val="1"/>
    <w:autoRedefine/>
    <w:qFormat/>
    <w:uiPriority w:val="99"/>
    <w:pPr>
      <w:shd w:val="clear" w:color="auto" w:fill="E0E0E0"/>
      <w:spacing w:beforeLines="50" w:afterLines="50"/>
    </w:pPr>
    <w:rPr>
      <w:rFonts w:ascii="Arial" w:hAnsi="Arial" w:eastAsia="仿宋_GB2312"/>
    </w:rPr>
  </w:style>
  <w:style w:type="paragraph" w:customStyle="1" w:styleId="359">
    <w:name w:val="MM Topic 1"/>
    <w:basedOn w:val="3"/>
    <w:autoRedefine/>
    <w:qFormat/>
    <w:uiPriority w:val="0"/>
    <w:pPr>
      <w:keepLines w:val="0"/>
      <w:widowControl/>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60">
    <w:name w:val="apple-converted-space"/>
    <w:autoRedefine/>
    <w:qFormat/>
    <w:uiPriority w:val="0"/>
  </w:style>
  <w:style w:type="paragraph" w:customStyle="1" w:styleId="361">
    <w:name w:val="Normal Paragraph"/>
    <w:basedOn w:val="1"/>
    <w:link w:val="373"/>
    <w:autoRedefine/>
    <w:qFormat/>
    <w:uiPriority w:val="0"/>
    <w:pPr>
      <w:widowControl/>
      <w:spacing w:before="120" w:line="360" w:lineRule="auto"/>
      <w:ind w:firstLine="425"/>
    </w:pPr>
    <w:rPr>
      <w:kern w:val="0"/>
      <w:sz w:val="24"/>
    </w:rPr>
  </w:style>
  <w:style w:type="paragraph" w:customStyle="1" w:styleId="36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63">
    <w:name w:val="NeusoftPMS正文"/>
    <w:basedOn w:val="1"/>
    <w:link w:val="364"/>
    <w:autoRedefine/>
    <w:qFormat/>
    <w:uiPriority w:val="0"/>
    <w:pPr>
      <w:widowControl/>
      <w:ind w:firstLine="200" w:firstLineChars="200"/>
      <w:jc w:val="left"/>
    </w:pPr>
    <w:rPr>
      <w:szCs w:val="20"/>
    </w:rPr>
  </w:style>
  <w:style w:type="character" w:customStyle="1" w:styleId="364">
    <w:name w:val="NeusoftPMS正文 Char"/>
    <w:link w:val="363"/>
    <w:autoRedefine/>
    <w:qFormat/>
    <w:uiPriority w:val="0"/>
    <w:rPr>
      <w:rFonts w:ascii="Times New Roman" w:hAnsi="Times New Roman" w:eastAsia="宋体" w:cs="Times New Roman"/>
      <w:szCs w:val="20"/>
    </w:rPr>
  </w:style>
  <w:style w:type="character" w:customStyle="1" w:styleId="365">
    <w:name w:val="明显参考1"/>
    <w:autoRedefine/>
    <w:qFormat/>
    <w:uiPriority w:val="32"/>
    <w:rPr>
      <w:b/>
      <w:bCs/>
      <w:smallCaps/>
      <w:color w:val="4F81BD"/>
      <w:spacing w:val="5"/>
    </w:rPr>
  </w:style>
  <w:style w:type="paragraph" w:customStyle="1" w:styleId="366">
    <w:name w:val="QB正文"/>
    <w:basedOn w:val="328"/>
    <w:autoRedefine/>
    <w:qFormat/>
    <w:uiPriority w:val="0"/>
    <w:pPr>
      <w:widowControl/>
      <w:ind w:firstLine="200" w:firstLineChars="200"/>
    </w:pPr>
  </w:style>
  <w:style w:type="paragraph" w:customStyle="1" w:styleId="367">
    <w:name w:val="TOC 标题3"/>
    <w:basedOn w:val="3"/>
    <w:next w:val="1"/>
    <w:autoRedefine/>
    <w:qFormat/>
    <w:uiPriority w:val="39"/>
    <w:pPr>
      <w:widowControl/>
      <w:spacing w:before="240" w:after="0" w:line="259" w:lineRule="auto"/>
      <w:jc w:val="left"/>
      <w:outlineLvl w:val="9"/>
    </w:pPr>
    <w:rPr>
      <w:rFonts w:ascii="Cambria" w:hAnsi="Cambria" w:eastAsia="宋体"/>
      <w:bCs w:val="0"/>
      <w:color w:val="365F91"/>
      <w:kern w:val="0"/>
      <w:sz w:val="32"/>
      <w:szCs w:val="32"/>
    </w:rPr>
  </w:style>
  <w:style w:type="paragraph" w:customStyle="1" w:styleId="36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70">
    <w:name w:val="样式 仿宋_GB2312 小四"/>
    <w:autoRedefine/>
    <w:qFormat/>
    <w:uiPriority w:val="0"/>
    <w:rPr>
      <w:rFonts w:ascii="仿宋_GB2312" w:hAnsi="仿宋_GB2312" w:eastAsia="仿宋_GB2312"/>
      <w:sz w:val="24"/>
    </w:rPr>
  </w:style>
  <w:style w:type="paragraph" w:customStyle="1" w:styleId="371">
    <w:name w:val="kevin标题1"/>
    <w:basedOn w:val="1"/>
    <w:autoRedefine/>
    <w:qFormat/>
    <w:uiPriority w:val="0"/>
    <w:pPr>
      <w:spacing w:afterLines="50"/>
      <w:ind w:left="1" w:firstLine="538" w:firstLineChars="192"/>
    </w:pPr>
    <w:rPr>
      <w:rFonts w:eastAsia="黑体"/>
      <w:sz w:val="24"/>
      <w:szCs w:val="20"/>
    </w:rPr>
  </w:style>
  <w:style w:type="character" w:customStyle="1" w:styleId="372">
    <w:name w:val="msonormal1"/>
    <w:autoRedefine/>
    <w:qFormat/>
    <w:uiPriority w:val="0"/>
  </w:style>
  <w:style w:type="character" w:customStyle="1" w:styleId="373">
    <w:name w:val="Normal Paragraph Char1"/>
    <w:link w:val="361"/>
    <w:autoRedefine/>
    <w:qFormat/>
    <w:locked/>
    <w:uiPriority w:val="0"/>
    <w:rPr>
      <w:rFonts w:ascii="Times New Roman" w:hAnsi="Times New Roman" w:eastAsia="宋体" w:cs="Times New Roman"/>
      <w:kern w:val="0"/>
      <w:sz w:val="24"/>
      <w:szCs w:val="24"/>
    </w:rPr>
  </w:style>
  <w:style w:type="character" w:customStyle="1" w:styleId="374">
    <w:name w:val="未处理的提及1"/>
    <w:basedOn w:val="55"/>
    <w:autoRedefine/>
    <w:semiHidden/>
    <w:unhideWhenUsed/>
    <w:qFormat/>
    <w:uiPriority w:val="99"/>
    <w:rPr>
      <w:color w:val="605E5C"/>
      <w:shd w:val="clear" w:color="auto" w:fill="E1DFDD"/>
    </w:rPr>
  </w:style>
  <w:style w:type="character" w:customStyle="1" w:styleId="375">
    <w:name w:val="3级标题 Char"/>
    <w:link w:val="376"/>
    <w:autoRedefine/>
    <w:qFormat/>
    <w:uiPriority w:val="0"/>
    <w:rPr>
      <w:b/>
    </w:rPr>
  </w:style>
  <w:style w:type="paragraph" w:customStyle="1" w:styleId="376">
    <w:name w:val="3级标题"/>
    <w:basedOn w:val="1"/>
    <w:link w:val="375"/>
    <w:autoRedefine/>
    <w:qFormat/>
    <w:uiPriority w:val="0"/>
    <w:pPr>
      <w:spacing w:line="360" w:lineRule="auto"/>
      <w:outlineLvl w:val="1"/>
    </w:pPr>
    <w:rPr>
      <w:rFonts w:asciiTheme="minorHAnsi" w:hAnsiTheme="minorHAnsi" w:eastAsiaTheme="minorEastAsia" w:cstheme="minorBidi"/>
      <w:b/>
      <w:szCs w:val="22"/>
    </w:rPr>
  </w:style>
  <w:style w:type="paragraph" w:customStyle="1" w:styleId="377">
    <w:name w:val="4级标题"/>
    <w:basedOn w:val="1"/>
    <w:autoRedefine/>
    <w:qFormat/>
    <w:uiPriority w:val="0"/>
    <w:pPr>
      <w:numPr>
        <w:ilvl w:val="1"/>
        <w:numId w:val="2"/>
      </w:numPr>
      <w:spacing w:line="360" w:lineRule="auto"/>
      <w:outlineLvl w:val="2"/>
    </w:pPr>
  </w:style>
  <w:style w:type="paragraph" w:customStyle="1" w:styleId="37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7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80">
    <w:name w:val="项"/>
    <w:basedOn w:val="1"/>
    <w:autoRedefine/>
    <w:qFormat/>
    <w:uiPriority w:val="0"/>
    <w:pPr>
      <w:numPr>
        <w:ilvl w:val="0"/>
        <w:numId w:val="3"/>
      </w:numPr>
      <w:spacing w:line="360" w:lineRule="auto"/>
    </w:pPr>
    <w:rPr>
      <w:sz w:val="24"/>
    </w:rPr>
  </w:style>
  <w:style w:type="paragraph" w:customStyle="1" w:styleId="381">
    <w:name w:val="修订5"/>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82">
    <w:name w:val="批注文字 字符1"/>
    <w:autoRedefine/>
    <w:qFormat/>
    <w:uiPriority w:val="0"/>
    <w:rPr>
      <w:rFonts w:eastAsia="宋体"/>
      <w:kern w:val="2"/>
      <w:sz w:val="21"/>
      <w:lang w:val="en-US" w:eastAsia="zh-CN" w:bidi="ar-SA"/>
    </w:rPr>
  </w:style>
  <w:style w:type="paragraph" w:customStyle="1" w:styleId="383">
    <w:name w:val="无格式正文"/>
    <w:basedOn w:val="1"/>
    <w:autoRedefine/>
    <w:qFormat/>
    <w:uiPriority w:val="0"/>
    <w:rPr>
      <w:szCs w:val="20"/>
    </w:rPr>
  </w:style>
  <w:style w:type="character" w:customStyle="1" w:styleId="384">
    <w:name w:val="fontstyle01"/>
    <w:autoRedefine/>
    <w:qFormat/>
    <w:uiPriority w:val="0"/>
    <w:rPr>
      <w:rFonts w:ascii="宋体 + FPEF" w:hAnsi="宋体 + FPEF" w:eastAsia="宋体 + FPEF" w:cs="宋体 + FPEF"/>
      <w:color w:val="000000"/>
      <w:sz w:val="22"/>
      <w:szCs w:val="22"/>
    </w:rPr>
  </w:style>
  <w:style w:type="paragraph" w:customStyle="1" w:styleId="385">
    <w:name w:val="QB标题3"/>
    <w:basedOn w:val="386"/>
    <w:autoRedefine/>
    <w:qFormat/>
    <w:uiPriority w:val="0"/>
    <w:pPr>
      <w:tabs>
        <w:tab w:val="left" w:pos="567"/>
        <w:tab w:val="left" w:pos="709"/>
      </w:tabs>
      <w:ind w:left="709" w:hanging="709"/>
      <w:outlineLvl w:val="2"/>
    </w:pPr>
  </w:style>
  <w:style w:type="paragraph" w:customStyle="1" w:styleId="386">
    <w:name w:val="QB标题2"/>
    <w:basedOn w:val="4"/>
    <w:autoRedefine/>
    <w:qFormat/>
    <w:uiPriority w:val="0"/>
    <w:pPr>
      <w:tabs>
        <w:tab w:val="left" w:pos="567"/>
      </w:tabs>
      <w:ind w:left="567" w:hanging="567"/>
    </w:pPr>
    <w:rPr>
      <w:rFonts w:ascii="黑体" w:hAnsi="黑体"/>
      <w:sz w:val="21"/>
      <w:szCs w:val="21"/>
    </w:rPr>
  </w:style>
  <w:style w:type="paragraph" w:customStyle="1" w:styleId="387">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8">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9">
    <w:name w:val="修订8"/>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90">
    <w:name w:val="QB图标题"/>
    <w:basedOn w:val="1"/>
    <w:autoRedefine/>
    <w:qFormat/>
    <w:uiPriority w:val="0"/>
    <w:pPr>
      <w:numPr>
        <w:ilvl w:val="6"/>
        <w:numId w:val="4"/>
      </w:numPr>
      <w:spacing w:after="120"/>
      <w:ind w:firstLine="0"/>
      <w:jc w:val="center"/>
    </w:pPr>
    <w:rPr>
      <w:rFonts w:hAnsi="宋体"/>
      <w:bCs/>
    </w:rPr>
  </w:style>
  <w:style w:type="paragraph" w:customStyle="1" w:styleId="391">
    <w:name w:val="p0"/>
    <w:basedOn w:val="1"/>
    <w:autoRedefine/>
    <w:qFormat/>
    <w:uiPriority w:val="0"/>
    <w:pPr>
      <w:widowControl/>
      <w:adjustRightInd w:val="0"/>
      <w:spacing w:line="360" w:lineRule="atLeast"/>
      <w:textAlignment w:val="baseline"/>
    </w:pPr>
    <w:rPr>
      <w:rFonts w:eastAsia="Times New Roman"/>
      <w:kern w:val="0"/>
      <w:szCs w:val="20"/>
    </w:rPr>
  </w:style>
  <w:style w:type="paragraph" w:customStyle="1" w:styleId="392">
    <w:name w:val="列表段落1"/>
    <w:basedOn w:val="1"/>
    <w:qFormat/>
    <w:uiPriority w:val="0"/>
    <w:pPr>
      <w:widowControl/>
      <w:spacing w:before="240" w:after="100" w:afterAutospacing="1" w:line="240" w:lineRule="atLeast"/>
      <w:ind w:firstLine="420" w:firstLineChars="200"/>
      <w:jc w:val="left"/>
    </w:pPr>
    <w:rPr>
      <w:rFonts w:ascii="Wingdings" w:hAnsi="Wingdings" w:cs="宋体"/>
      <w:kern w:val="0"/>
      <w:szCs w:val="21"/>
    </w:rPr>
  </w:style>
  <w:style w:type="paragraph" w:customStyle="1" w:styleId="393">
    <w:name w:val="Body Text First Indent1"/>
    <w:basedOn w:val="21"/>
    <w:qFormat/>
    <w:uiPriority w:val="0"/>
    <w:pPr>
      <w:ind w:firstLine="420"/>
    </w:pPr>
  </w:style>
  <w:style w:type="character" w:customStyle="1" w:styleId="394">
    <w:name w:val="font31"/>
    <w:qFormat/>
    <w:uiPriority w:val="0"/>
    <w:rPr>
      <w:rFonts w:hint="eastAsia" w:ascii="宋体" w:hAnsi="宋体" w:eastAsia="宋体" w:cs="宋体"/>
      <w:color w:val="FF0000"/>
      <w:kern w:val="2"/>
      <w:sz w:val="22"/>
      <w:szCs w:val="22"/>
      <w:lang w:val="en-US" w:eastAsia="zh-CN" w:bidi="ar-SA"/>
    </w:rPr>
  </w:style>
  <w:style w:type="paragraph" w:customStyle="1" w:styleId="39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9D2E6-DA47-4258-9796-B4E197D6739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1710</Words>
  <Characters>1992</Characters>
  <Lines>221</Lines>
  <Paragraphs>62</Paragraphs>
  <TotalTime>0</TotalTime>
  <ScaleCrop>false</ScaleCrop>
  <LinksUpToDate>false</LinksUpToDate>
  <CharactersWithSpaces>2019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2025-02-26T08:13:00Z</dcterms:created>
  <dc:creator>张婷</dc:creator>
  <cp:lastModifiedBy>氨基酸</cp:lastModifiedBy>
  <dcterms:modified xsi:type="dcterms:W3CDTF">2025-02-28T07:44:22Z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B42742C895164C5A88D06B3B97FFB8D1_13</vt:lpwstr>
  </property>
  <property fmtid="{D5CDD505-2E9C-101B-9397-08002B2CF9AE}" pid="4" name="KSOTemplateDocerSaveRecord">
    <vt:lpwstr>eyJoZGlkIjoiNDZhOGFjZmY4ZmRkMTM2MWFiOGQ0NDM5NzgwMjc3M2UiLCJ1c2VySWQiOiI0NTA3NjkxOTYifQ==</vt:lpwstr>
  </property>
</Properties>
</file>