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0697D">
      <w:pPr>
        <w:spacing w:before="380" w:after="380" w:line="360" w:lineRule="auto"/>
        <w:ind w:firstLine="880"/>
        <w:jc w:val="center"/>
        <w:rPr>
          <w:rFonts w:hint="eastAsia" w:ascii="黑体" w:hAnsi="宋体" w:eastAsia="黑体"/>
          <w:color w:val="000000" w:themeColor="text1"/>
          <w:sz w:val="44"/>
          <w:szCs w:val="44"/>
          <w14:textFill>
            <w14:solidFill>
              <w14:schemeClr w14:val="tx1"/>
            </w14:solidFill>
          </w14:textFill>
        </w:rPr>
      </w:pPr>
      <w:bookmarkStart w:id="84" w:name="_GoBack"/>
      <w:bookmarkEnd w:id="84"/>
    </w:p>
    <w:p w14:paraId="1D9BA353">
      <w:pPr>
        <w:spacing w:before="380" w:after="380" w:line="360" w:lineRule="auto"/>
        <w:ind w:firstLine="880"/>
        <w:jc w:val="center"/>
        <w:rPr>
          <w:rFonts w:hint="eastAsia" w:ascii="黑体" w:hAnsi="宋体" w:eastAsia="黑体"/>
          <w:color w:val="000000" w:themeColor="text1"/>
          <w:sz w:val="44"/>
          <w:szCs w:val="44"/>
          <w14:textFill>
            <w14:solidFill>
              <w14:schemeClr w14:val="tx1"/>
            </w14:solidFill>
          </w14:textFill>
        </w:rPr>
      </w:pPr>
    </w:p>
    <w:p w14:paraId="76D5627E">
      <w:pPr>
        <w:spacing w:after="120" w:line="360" w:lineRule="auto"/>
        <w:jc w:val="center"/>
        <w:rPr>
          <w:rFonts w:hint="eastAsia" w:ascii="黑体" w:hAnsi="宋体" w:eastAsia="黑体"/>
          <w:color w:val="000000" w:themeColor="text1"/>
          <w:sz w:val="44"/>
          <w:szCs w:val="44"/>
          <w14:textFill>
            <w14:solidFill>
              <w14:schemeClr w14:val="tx1"/>
            </w14:solidFill>
          </w14:textFill>
        </w:rPr>
      </w:pPr>
      <w:r>
        <w:rPr>
          <w:rFonts w:hint="eastAsia" w:ascii="黑体" w:hAnsi="宋体" w:eastAsia="黑体"/>
          <w:color w:val="000000" w:themeColor="text1"/>
          <w:sz w:val="44"/>
          <w:szCs w:val="44"/>
          <w14:textFill>
            <w14:solidFill>
              <w14:schemeClr w14:val="tx1"/>
            </w14:solidFill>
          </w14:textFill>
        </w:rPr>
        <w:t>江苏省广电有线信息网络股份有限公司</w:t>
      </w:r>
    </w:p>
    <w:p w14:paraId="73307694">
      <w:pPr>
        <w:spacing w:after="120" w:line="360" w:lineRule="auto"/>
        <w:jc w:val="center"/>
        <w:rPr>
          <w:rFonts w:eastAsia="黑体"/>
          <w:b/>
          <w:sz w:val="48"/>
          <w:szCs w:val="48"/>
        </w:rPr>
      </w:pPr>
      <w:bookmarkStart w:id="0" w:name="_Hlk103000311"/>
      <w:bookmarkStart w:id="1" w:name="_Toc227057880"/>
      <w:r>
        <w:rPr>
          <w:rFonts w:hint="eastAsia" w:ascii="黑体" w:hAnsi="宋体" w:eastAsia="黑体"/>
          <w:color w:val="000000" w:themeColor="text1"/>
          <w:sz w:val="44"/>
          <w:szCs w:val="44"/>
          <w14:textFill>
            <w14:solidFill>
              <w14:schemeClr w14:val="tx1"/>
            </w14:solidFill>
          </w14:textFill>
        </w:rPr>
        <w:t>防火墙采购项目</w:t>
      </w:r>
    </w:p>
    <w:p w14:paraId="254200E1">
      <w:pPr>
        <w:spacing w:after="120" w:line="360" w:lineRule="auto"/>
        <w:jc w:val="center"/>
        <w:rPr>
          <w:rFonts w:hint="eastAsia" w:ascii="黑体" w:hAnsi="宋体" w:eastAsia="黑体"/>
          <w:color w:val="000000" w:themeColor="text1"/>
          <w:sz w:val="44"/>
          <w:szCs w:val="44"/>
          <w14:textFill>
            <w14:solidFill>
              <w14:schemeClr w14:val="tx1"/>
            </w14:solidFill>
          </w14:textFill>
        </w:rPr>
      </w:pPr>
      <w:r>
        <w:rPr>
          <w:rFonts w:hint="eastAsia" w:ascii="黑体" w:hAnsi="宋体" w:eastAsia="黑体"/>
          <w:color w:val="000000" w:themeColor="text1"/>
          <w:sz w:val="44"/>
          <w:szCs w:val="44"/>
          <w14:textFill>
            <w14:solidFill>
              <w14:schemeClr w14:val="tx1"/>
            </w14:solidFill>
          </w14:textFill>
        </w:rPr>
        <w:t>竞争性</w:t>
      </w:r>
      <w:bookmarkEnd w:id="0"/>
      <w:r>
        <w:rPr>
          <w:rFonts w:hint="eastAsia" w:ascii="黑体" w:hAnsi="宋体" w:eastAsia="黑体"/>
          <w:color w:val="000000" w:themeColor="text1"/>
          <w:sz w:val="44"/>
          <w:szCs w:val="44"/>
          <w14:textFill>
            <w14:solidFill>
              <w14:schemeClr w14:val="tx1"/>
            </w14:solidFill>
          </w14:textFill>
        </w:rPr>
        <w:t>谈判文件</w:t>
      </w:r>
    </w:p>
    <w:p w14:paraId="70288DFA">
      <w:pPr>
        <w:spacing w:line="360" w:lineRule="auto"/>
        <w:ind w:firstLine="643"/>
        <w:jc w:val="center"/>
        <w:rPr>
          <w:b/>
          <w:bCs/>
          <w:color w:val="000000" w:themeColor="text1"/>
          <w:sz w:val="32"/>
          <w:szCs w:val="32"/>
          <w14:textFill>
            <w14:solidFill>
              <w14:schemeClr w14:val="tx1"/>
            </w14:solidFill>
          </w14:textFill>
        </w:rPr>
      </w:pPr>
    </w:p>
    <w:p w14:paraId="5EDBB2A5">
      <w:pPr>
        <w:spacing w:line="36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编号：</w:t>
      </w:r>
      <w:r>
        <w:rPr>
          <w:rFonts w:hint="eastAsia"/>
          <w:b/>
          <w:bCs/>
          <w:color w:val="FF0000"/>
          <w:sz w:val="32"/>
          <w:szCs w:val="32"/>
        </w:rPr>
        <w:t>JSCN2025[021]</w:t>
      </w:r>
    </w:p>
    <w:p w14:paraId="2D61437A">
      <w:pPr>
        <w:spacing w:line="360" w:lineRule="auto"/>
        <w:ind w:firstLine="643"/>
        <w:jc w:val="center"/>
        <w:rPr>
          <w:b/>
          <w:bCs/>
          <w:color w:val="000000" w:themeColor="text1"/>
          <w:sz w:val="32"/>
          <w:szCs w:val="32"/>
          <w14:textFill>
            <w14:solidFill>
              <w14:schemeClr w14:val="tx1"/>
            </w14:solidFill>
          </w14:textFill>
        </w:rPr>
      </w:pPr>
    </w:p>
    <w:p w14:paraId="07666981">
      <w:pPr>
        <w:spacing w:line="360" w:lineRule="auto"/>
        <w:ind w:firstLine="643"/>
        <w:jc w:val="center"/>
        <w:rPr>
          <w:b/>
          <w:bCs/>
          <w:color w:val="000000" w:themeColor="text1"/>
          <w:sz w:val="32"/>
          <w:szCs w:val="32"/>
          <w14:textFill>
            <w14:solidFill>
              <w14:schemeClr w14:val="tx1"/>
            </w14:solidFill>
          </w14:textFill>
        </w:rPr>
      </w:pPr>
    </w:p>
    <w:p w14:paraId="7EEA2698">
      <w:pPr>
        <w:spacing w:line="360" w:lineRule="auto"/>
        <w:ind w:firstLine="643"/>
        <w:jc w:val="center"/>
        <w:rPr>
          <w:b/>
          <w:bCs/>
          <w:color w:val="000000" w:themeColor="text1"/>
          <w:sz w:val="32"/>
          <w:szCs w:val="32"/>
          <w14:textFill>
            <w14:solidFill>
              <w14:schemeClr w14:val="tx1"/>
            </w14:solidFill>
          </w14:textFill>
        </w:rPr>
      </w:pPr>
    </w:p>
    <w:p w14:paraId="77D77FEA">
      <w:pPr>
        <w:spacing w:line="360" w:lineRule="auto"/>
        <w:ind w:firstLine="643"/>
        <w:jc w:val="center"/>
        <w:rPr>
          <w:b/>
          <w:bCs/>
          <w:color w:val="000000" w:themeColor="text1"/>
          <w:sz w:val="32"/>
          <w:szCs w:val="32"/>
          <w14:textFill>
            <w14:solidFill>
              <w14:schemeClr w14:val="tx1"/>
            </w14:solidFill>
          </w14:textFill>
        </w:rPr>
      </w:pPr>
    </w:p>
    <w:p w14:paraId="21532706">
      <w:pPr>
        <w:spacing w:line="360" w:lineRule="auto"/>
        <w:ind w:firstLine="643"/>
        <w:jc w:val="center"/>
        <w:rPr>
          <w:b/>
          <w:bCs/>
          <w:color w:val="000000" w:themeColor="text1"/>
          <w:sz w:val="32"/>
          <w:szCs w:val="32"/>
          <w14:textFill>
            <w14:solidFill>
              <w14:schemeClr w14:val="tx1"/>
            </w14:solidFill>
          </w14:textFill>
        </w:rPr>
      </w:pPr>
    </w:p>
    <w:p w14:paraId="0E0CE421">
      <w:pPr>
        <w:spacing w:line="360" w:lineRule="auto"/>
        <w:ind w:firstLine="643"/>
        <w:jc w:val="center"/>
        <w:rPr>
          <w:b/>
          <w:bCs/>
          <w:color w:val="000000" w:themeColor="text1"/>
          <w:sz w:val="32"/>
          <w:szCs w:val="32"/>
          <w14:textFill>
            <w14:solidFill>
              <w14:schemeClr w14:val="tx1"/>
            </w14:solidFill>
          </w14:textFill>
        </w:rPr>
      </w:pPr>
    </w:p>
    <w:p w14:paraId="1F987C63">
      <w:pPr>
        <w:spacing w:line="360" w:lineRule="auto"/>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b/>
          <w:color w:val="000000" w:themeColor="text1"/>
          <w:sz w:val="28"/>
          <w:szCs w:val="28"/>
          <w14:textFill>
            <w14:solidFill>
              <w14:schemeClr w14:val="tx1"/>
            </w14:solidFill>
          </w14:textFill>
        </w:rPr>
        <w:t>江苏省广电有线信息网络股份有限公司</w:t>
      </w:r>
    </w:p>
    <w:p w14:paraId="37E8B6DC">
      <w:pPr>
        <w:spacing w:line="360" w:lineRule="auto"/>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二〇二五年二月</w:t>
      </w:r>
    </w:p>
    <w:p w14:paraId="75BBE80A">
      <w:pPr>
        <w:spacing w:before="380" w:after="380" w:line="360" w:lineRule="auto"/>
        <w:ind w:firstLine="1405" w:firstLineChars="500"/>
        <w:rPr>
          <w:b/>
          <w:color w:val="000000" w:themeColor="text1"/>
          <w:sz w:val="28"/>
          <w:szCs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44C1CAD5">
      <w:pPr>
        <w:pStyle w:val="25"/>
        <w:ind w:left="289"/>
        <w:jc w:val="center"/>
        <w:rPr>
          <w:rFonts w:hint="eastAsia" w:ascii="宋体" w:hAnsi="宋体" w:eastAsia="宋体"/>
          <w:color w:val="000000" w:themeColor="text1"/>
          <w:sz w:val="30"/>
          <w:szCs w:val="30"/>
          <w:lang w:val="zh-CN"/>
          <w14:textFill>
            <w14:solidFill>
              <w14:schemeClr w14:val="tx1"/>
            </w14:solidFill>
          </w14:textFill>
        </w:rPr>
      </w:pPr>
      <w:r>
        <w:rPr>
          <w:rFonts w:ascii="宋体" w:hAnsi="宋体" w:eastAsia="宋体"/>
          <w:color w:val="000000" w:themeColor="text1"/>
          <w:sz w:val="30"/>
          <w:szCs w:val="30"/>
          <w:lang w:val="zh-CN"/>
          <w14:textFill>
            <w14:solidFill>
              <w14:schemeClr w14:val="tx1"/>
            </w14:solidFill>
          </w14:textFill>
        </w:rPr>
        <w:t>目录</w:t>
      </w:r>
    </w:p>
    <w:p w14:paraId="598F2951">
      <w:pPr>
        <w:pStyle w:val="16"/>
      </w:pPr>
      <w:r>
        <w:fldChar w:fldCharType="begin"/>
      </w:r>
      <w:r>
        <w:instrText xml:space="preserve"> TOC \o "1-3" \h \z \u </w:instrText>
      </w:r>
      <w:r>
        <w:fldChar w:fldCharType="separate"/>
      </w:r>
      <w:r>
        <w:fldChar w:fldCharType="begin"/>
      </w:r>
      <w:r>
        <w:instrText xml:space="preserve"> HYPERLINK \l "_Toc16046" </w:instrText>
      </w:r>
      <w:r>
        <w:fldChar w:fldCharType="separate"/>
      </w:r>
      <w:r>
        <w:rPr>
          <w:rFonts w:hint="eastAsia"/>
        </w:rPr>
        <w:t>第一章竞争性谈判公告</w:t>
      </w:r>
      <w:r>
        <w:tab/>
      </w:r>
      <w:r>
        <w:fldChar w:fldCharType="begin"/>
      </w:r>
      <w:r>
        <w:instrText xml:space="preserve"> PAGEREF _Toc16046 \h </w:instrText>
      </w:r>
      <w:r>
        <w:fldChar w:fldCharType="separate"/>
      </w:r>
      <w:r>
        <w:t>3</w:t>
      </w:r>
      <w:r>
        <w:fldChar w:fldCharType="end"/>
      </w:r>
      <w:r>
        <w:fldChar w:fldCharType="end"/>
      </w:r>
    </w:p>
    <w:p w14:paraId="6430DD65">
      <w:pPr>
        <w:pStyle w:val="16"/>
      </w:pPr>
      <w:r>
        <w:fldChar w:fldCharType="begin"/>
      </w:r>
      <w:r>
        <w:instrText xml:space="preserve"> HYPERLINK \l "_Toc16807" </w:instrText>
      </w:r>
      <w:r>
        <w:fldChar w:fldCharType="separate"/>
      </w:r>
      <w:r>
        <w:rPr>
          <w:rFonts w:hint="eastAsia"/>
        </w:rPr>
        <w:t>第二章竞争性谈判</w:t>
      </w:r>
      <w:r>
        <w:t>须知</w:t>
      </w:r>
      <w:r>
        <w:tab/>
      </w:r>
      <w:r>
        <w:fldChar w:fldCharType="begin"/>
      </w:r>
      <w:r>
        <w:instrText xml:space="preserve"> PAGEREF _Toc16807 \h </w:instrText>
      </w:r>
      <w:r>
        <w:fldChar w:fldCharType="separate"/>
      </w:r>
      <w:r>
        <w:t>5</w:t>
      </w:r>
      <w:r>
        <w:fldChar w:fldCharType="end"/>
      </w:r>
      <w:r>
        <w:fldChar w:fldCharType="end"/>
      </w:r>
    </w:p>
    <w:p w14:paraId="41AA44C8">
      <w:pPr>
        <w:pStyle w:val="16"/>
      </w:pPr>
      <w:r>
        <w:fldChar w:fldCharType="begin"/>
      </w:r>
      <w:r>
        <w:instrText xml:space="preserve"> HYPERLINK \l "_Toc21730" </w:instrText>
      </w:r>
      <w:r>
        <w:fldChar w:fldCharType="separate"/>
      </w:r>
      <w:r>
        <w:rPr>
          <w:rFonts w:hint="eastAsia"/>
        </w:rPr>
        <w:t>第三章评审办法</w:t>
      </w:r>
      <w:r>
        <w:tab/>
      </w:r>
      <w:r>
        <w:fldChar w:fldCharType="begin"/>
      </w:r>
      <w:r>
        <w:instrText xml:space="preserve"> PAGEREF _Toc21730 \h </w:instrText>
      </w:r>
      <w:r>
        <w:fldChar w:fldCharType="separate"/>
      </w:r>
      <w:r>
        <w:t>17</w:t>
      </w:r>
      <w:r>
        <w:fldChar w:fldCharType="end"/>
      </w:r>
      <w:r>
        <w:fldChar w:fldCharType="end"/>
      </w:r>
    </w:p>
    <w:p w14:paraId="3C1D855F">
      <w:pPr>
        <w:pStyle w:val="16"/>
      </w:pPr>
      <w:r>
        <w:fldChar w:fldCharType="begin"/>
      </w:r>
      <w:r>
        <w:instrText xml:space="preserve"> HYPERLINK \l "_Toc22799" </w:instrText>
      </w:r>
      <w:r>
        <w:fldChar w:fldCharType="separate"/>
      </w:r>
      <w:r>
        <w:rPr>
          <w:rFonts w:hint="eastAsia"/>
        </w:rPr>
        <w:t>第四章</w:t>
      </w:r>
      <w:r>
        <w:t>合同格式</w:t>
      </w:r>
      <w:r>
        <w:tab/>
      </w:r>
      <w:r>
        <w:fldChar w:fldCharType="begin"/>
      </w:r>
      <w:r>
        <w:instrText xml:space="preserve"> PAGEREF _Toc22799 \h </w:instrText>
      </w:r>
      <w:r>
        <w:fldChar w:fldCharType="separate"/>
      </w:r>
      <w:r>
        <w:t>20</w:t>
      </w:r>
      <w:r>
        <w:fldChar w:fldCharType="end"/>
      </w:r>
      <w:r>
        <w:fldChar w:fldCharType="end"/>
      </w:r>
    </w:p>
    <w:p w14:paraId="539269BF">
      <w:pPr>
        <w:pStyle w:val="16"/>
      </w:pPr>
      <w:r>
        <w:fldChar w:fldCharType="begin"/>
      </w:r>
      <w:r>
        <w:instrText xml:space="preserve"> HYPERLINK \l "_Toc18088" </w:instrText>
      </w:r>
      <w:r>
        <w:fldChar w:fldCharType="separate"/>
      </w:r>
      <w:r>
        <w:rPr>
          <w:rFonts w:hint="eastAsia"/>
        </w:rPr>
        <w:t>第五章技术需求书</w:t>
      </w:r>
      <w:r>
        <w:tab/>
      </w:r>
      <w:r>
        <w:fldChar w:fldCharType="begin"/>
      </w:r>
      <w:r>
        <w:instrText xml:space="preserve"> PAGEREF _Toc18088 \h </w:instrText>
      </w:r>
      <w:r>
        <w:fldChar w:fldCharType="separate"/>
      </w:r>
      <w:r>
        <w:t>33</w:t>
      </w:r>
      <w:r>
        <w:fldChar w:fldCharType="end"/>
      </w:r>
      <w:r>
        <w:fldChar w:fldCharType="end"/>
      </w:r>
    </w:p>
    <w:p w14:paraId="32EFB53B">
      <w:pPr>
        <w:pStyle w:val="16"/>
      </w:pPr>
      <w:r>
        <w:fldChar w:fldCharType="begin"/>
      </w:r>
      <w:r>
        <w:instrText xml:space="preserve"> HYPERLINK \l "_Toc10238" </w:instrText>
      </w:r>
      <w:r>
        <w:fldChar w:fldCharType="separate"/>
      </w:r>
      <w:r>
        <w:rPr>
          <w:rFonts w:hint="eastAsia"/>
        </w:rPr>
        <w:t>第六章竞争性谈判响应文件格式</w:t>
      </w:r>
      <w:r>
        <w:tab/>
      </w:r>
      <w:r>
        <w:fldChar w:fldCharType="begin"/>
      </w:r>
      <w:r>
        <w:instrText xml:space="preserve"> PAGEREF _Toc10238 \h </w:instrText>
      </w:r>
      <w:r>
        <w:fldChar w:fldCharType="separate"/>
      </w:r>
      <w:r>
        <w:t>40</w:t>
      </w:r>
      <w:r>
        <w:fldChar w:fldCharType="end"/>
      </w:r>
      <w:r>
        <w:fldChar w:fldCharType="end"/>
      </w:r>
    </w:p>
    <w:p w14:paraId="3108610A">
      <w:pPr>
        <w:pStyle w:val="16"/>
      </w:pPr>
      <w:r>
        <w:fldChar w:fldCharType="begin"/>
      </w:r>
      <w:r>
        <w:instrText xml:space="preserve"> HYPERLINK \l "_Toc24121" </w:instrText>
      </w:r>
      <w:r>
        <w:fldChar w:fldCharType="separate"/>
      </w:r>
      <w:r>
        <w:rPr>
          <w:rFonts w:hint="eastAsia"/>
        </w:rPr>
        <w:t>第七章其他</w:t>
      </w:r>
      <w:r>
        <w:tab/>
      </w:r>
      <w:r>
        <w:fldChar w:fldCharType="begin"/>
      </w:r>
      <w:r>
        <w:instrText xml:space="preserve"> PAGEREF _Toc24121 \h </w:instrText>
      </w:r>
      <w:r>
        <w:fldChar w:fldCharType="separate"/>
      </w:r>
      <w:r>
        <w:t>60</w:t>
      </w:r>
      <w:r>
        <w:fldChar w:fldCharType="end"/>
      </w:r>
      <w:r>
        <w:fldChar w:fldCharType="end"/>
      </w:r>
    </w:p>
    <w:p w14:paraId="297F96D9">
      <w:pPr>
        <w:pStyle w:val="16"/>
        <w:rPr>
          <w:rFonts w:ascii="Calibri" w:hAnsi="Calibri" w:eastAsia="宋体"/>
          <w:color w:val="000000" w:themeColor="text1"/>
          <w:kern w:val="2"/>
          <w:szCs w:val="22"/>
          <w14:textFill>
            <w14:solidFill>
              <w14:schemeClr w14:val="tx1"/>
            </w14:solidFill>
          </w14:textFill>
        </w:rPr>
      </w:pPr>
      <w:r>
        <w:fldChar w:fldCharType="end"/>
      </w:r>
    </w:p>
    <w:p w14:paraId="1ECAD0FC">
      <w:pPr>
        <w:widowControl/>
        <w:spacing w:before="312" w:after="312"/>
        <w:ind w:firstLine="420"/>
        <w:jc w:val="left"/>
        <w:rPr>
          <w:rFonts w:eastAsia="黑体"/>
          <w:bCs/>
          <w:color w:val="000000" w:themeColor="text1"/>
          <w:kern w:val="44"/>
          <w:sz w:val="30"/>
          <w:szCs w:val="44"/>
          <w14:textFill>
            <w14:solidFill>
              <w14:schemeClr w14:val="tx1"/>
            </w14:solidFill>
          </w14:textFill>
        </w:rPr>
      </w:pPr>
      <w:r>
        <w:rPr>
          <w:color w:val="000000" w:themeColor="text1"/>
          <w14:textFill>
            <w14:solidFill>
              <w14:schemeClr w14:val="tx1"/>
            </w14:solidFill>
          </w14:textFill>
        </w:rPr>
        <w:br w:type="page"/>
      </w:r>
    </w:p>
    <w:p w14:paraId="65C01854">
      <w:pPr>
        <w:pStyle w:val="3"/>
        <w:spacing w:before="0" w:after="0" w:line="360" w:lineRule="auto"/>
        <w:rPr>
          <w:b/>
          <w:color w:val="000000" w:themeColor="text1"/>
          <w:sz w:val="36"/>
          <w:szCs w:val="36"/>
          <w14:textFill>
            <w14:solidFill>
              <w14:schemeClr w14:val="tx1"/>
            </w14:solidFill>
          </w14:textFill>
        </w:rPr>
      </w:pPr>
      <w:bookmarkStart w:id="2" w:name="_Toc16046"/>
      <w:bookmarkStart w:id="3" w:name="_Hlk106094668"/>
      <w:r>
        <w:rPr>
          <w:rFonts w:hint="eastAsia"/>
          <w:b/>
          <w:color w:val="000000" w:themeColor="text1"/>
          <w:sz w:val="36"/>
          <w:szCs w:val="36"/>
          <w14:textFill>
            <w14:solidFill>
              <w14:schemeClr w14:val="tx1"/>
            </w14:solidFill>
          </w14:textFill>
        </w:rPr>
        <w:t>第一章竞争性谈判公告</w:t>
      </w:r>
      <w:bookmarkEnd w:id="2"/>
    </w:p>
    <w:bookmarkEnd w:id="1"/>
    <w:p w14:paraId="157244FB">
      <w:pPr>
        <w:spacing w:line="360" w:lineRule="auto"/>
        <w:rPr>
          <w:rFonts w:hint="eastAsia" w:ascii="宋体" w:hAnsi="宋体" w:cs="宋体"/>
          <w:b/>
          <w:color w:val="000000" w:themeColor="text1"/>
          <w:kern w:val="0"/>
          <w:sz w:val="24"/>
          <w14:textFill>
            <w14:solidFill>
              <w14:schemeClr w14:val="tx1"/>
            </w14:solidFill>
          </w14:textFill>
        </w:rPr>
      </w:pPr>
      <w:bookmarkStart w:id="4" w:name="_Hlk103000296"/>
      <w:r>
        <w:rPr>
          <w:rFonts w:hint="eastAsia" w:ascii="宋体" w:hAnsi="宋体" w:cs="宋体"/>
          <w:b/>
          <w:color w:val="000000" w:themeColor="text1"/>
          <w:kern w:val="0"/>
          <w:sz w:val="24"/>
          <w14:textFill>
            <w14:solidFill>
              <w14:schemeClr w14:val="tx1"/>
            </w14:solidFill>
          </w14:textFill>
        </w:rPr>
        <w:t>一、项目概况</w:t>
      </w:r>
    </w:p>
    <w:p w14:paraId="5BCD0B54">
      <w:pPr>
        <w:widowControl/>
        <w:tabs>
          <w:tab w:val="left" w:pos="851"/>
        </w:tabs>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1.项目名称</w:t>
      </w:r>
    </w:p>
    <w:p w14:paraId="64386D8E">
      <w:pPr>
        <w:widowControl/>
        <w:tabs>
          <w:tab w:val="left" w:pos="851"/>
        </w:tabs>
        <w:spacing w:line="360" w:lineRule="auto"/>
        <w:ind w:left="210"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江苏省广电有线信息网络股份有限公司防火墙采购</w:t>
      </w:r>
      <w:r>
        <w:rPr>
          <w:rFonts w:ascii="宋体" w:hAnsi="宋体" w:cs="宋体"/>
          <w:color w:val="000000" w:themeColor="text1"/>
          <w:kern w:val="0"/>
          <w:sz w:val="24"/>
          <w:szCs w:val="22"/>
          <w14:textFill>
            <w14:solidFill>
              <w14:schemeClr w14:val="tx1"/>
            </w14:solidFill>
          </w14:textFill>
        </w:rPr>
        <w:t>项目</w:t>
      </w:r>
      <w:r>
        <w:rPr>
          <w:rFonts w:hint="eastAsia" w:ascii="宋体" w:hAnsi="宋体" w:cs="宋体"/>
          <w:color w:val="000000" w:themeColor="text1"/>
          <w:kern w:val="0"/>
          <w:sz w:val="24"/>
          <w:szCs w:val="22"/>
          <w14:textFill>
            <w14:solidFill>
              <w14:schemeClr w14:val="tx1"/>
            </w14:solidFill>
          </w14:textFill>
        </w:rPr>
        <w:t>。</w:t>
      </w:r>
    </w:p>
    <w:p w14:paraId="63CFCAD5">
      <w:pPr>
        <w:widowControl/>
        <w:tabs>
          <w:tab w:val="left" w:pos="851"/>
        </w:tabs>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2.项目内容</w:t>
      </w:r>
    </w:p>
    <w:tbl>
      <w:tblPr>
        <w:tblStyle w:val="19"/>
        <w:tblW w:w="8632" w:type="dxa"/>
        <w:jc w:val="center"/>
        <w:tblLayout w:type="fixed"/>
        <w:tblCellMar>
          <w:top w:w="0" w:type="dxa"/>
          <w:left w:w="108" w:type="dxa"/>
          <w:bottom w:w="0" w:type="dxa"/>
          <w:right w:w="108" w:type="dxa"/>
        </w:tblCellMar>
      </w:tblPr>
      <w:tblGrid>
        <w:gridCol w:w="961"/>
        <w:gridCol w:w="1483"/>
        <w:gridCol w:w="4568"/>
        <w:gridCol w:w="811"/>
        <w:gridCol w:w="809"/>
      </w:tblGrid>
      <w:tr w14:paraId="33F62EB8">
        <w:tblPrEx>
          <w:tblCellMar>
            <w:top w:w="0" w:type="dxa"/>
            <w:left w:w="108" w:type="dxa"/>
            <w:bottom w:w="0" w:type="dxa"/>
            <w:right w:w="108" w:type="dxa"/>
          </w:tblCellMar>
        </w:tblPrEx>
        <w:trPr>
          <w:trHeight w:val="540" w:hRule="atLeast"/>
          <w:jc w:val="center"/>
        </w:trPr>
        <w:tc>
          <w:tcPr>
            <w:tcW w:w="961" w:type="dxa"/>
            <w:tcBorders>
              <w:top w:val="single" w:color="000000" w:sz="6" w:space="0"/>
              <w:left w:val="single" w:color="000000" w:sz="6" w:space="0"/>
              <w:bottom w:val="single" w:color="000000" w:sz="6" w:space="0"/>
              <w:right w:val="single" w:color="000000" w:sz="6" w:space="0"/>
            </w:tcBorders>
            <w:vAlign w:val="center"/>
          </w:tcPr>
          <w:p w14:paraId="35A53CF3">
            <w:pPr>
              <w:snapToGrid w:val="0"/>
              <w:spacing w:line="300" w:lineRule="auto"/>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序号</w:t>
            </w:r>
          </w:p>
        </w:tc>
        <w:tc>
          <w:tcPr>
            <w:tcW w:w="1483" w:type="dxa"/>
            <w:tcBorders>
              <w:top w:val="single" w:color="000000" w:sz="6" w:space="0"/>
              <w:left w:val="single" w:color="000000" w:sz="6" w:space="0"/>
              <w:bottom w:val="single" w:color="000000" w:sz="6" w:space="0"/>
              <w:right w:val="single" w:color="000000" w:sz="6" w:space="0"/>
            </w:tcBorders>
            <w:vAlign w:val="center"/>
          </w:tcPr>
          <w:p w14:paraId="1F1FFB83">
            <w:pPr>
              <w:snapToGrid w:val="0"/>
              <w:spacing w:line="300" w:lineRule="auto"/>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名称</w:t>
            </w:r>
          </w:p>
        </w:tc>
        <w:tc>
          <w:tcPr>
            <w:tcW w:w="4568" w:type="dxa"/>
            <w:tcBorders>
              <w:top w:val="single" w:color="000000" w:sz="6" w:space="0"/>
              <w:left w:val="single" w:color="000000" w:sz="6" w:space="0"/>
              <w:bottom w:val="single" w:color="000000" w:sz="6" w:space="0"/>
              <w:right w:val="single" w:color="000000" w:sz="4" w:space="0"/>
            </w:tcBorders>
            <w:vAlign w:val="center"/>
          </w:tcPr>
          <w:p w14:paraId="2900A423">
            <w:pPr>
              <w:snapToGrid w:val="0"/>
              <w:spacing w:line="300" w:lineRule="auto"/>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用途</w:t>
            </w:r>
          </w:p>
        </w:tc>
        <w:tc>
          <w:tcPr>
            <w:tcW w:w="811" w:type="dxa"/>
            <w:tcBorders>
              <w:top w:val="single" w:color="000000" w:sz="6" w:space="0"/>
              <w:left w:val="single" w:color="000000" w:sz="4" w:space="0"/>
              <w:bottom w:val="single" w:color="000000" w:sz="6" w:space="0"/>
              <w:right w:val="single" w:color="000000" w:sz="6" w:space="0"/>
            </w:tcBorders>
            <w:vAlign w:val="center"/>
          </w:tcPr>
          <w:p w14:paraId="18A59A80">
            <w:pPr>
              <w:snapToGrid w:val="0"/>
              <w:spacing w:line="300" w:lineRule="auto"/>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数量</w:t>
            </w:r>
          </w:p>
        </w:tc>
        <w:tc>
          <w:tcPr>
            <w:tcW w:w="809" w:type="dxa"/>
            <w:tcBorders>
              <w:top w:val="single" w:color="000000" w:sz="6" w:space="0"/>
              <w:left w:val="single" w:color="000000" w:sz="6" w:space="0"/>
              <w:bottom w:val="single" w:color="000000" w:sz="6" w:space="0"/>
              <w:right w:val="single" w:color="000000" w:sz="6" w:space="0"/>
            </w:tcBorders>
            <w:vAlign w:val="center"/>
          </w:tcPr>
          <w:p w14:paraId="2424D46D">
            <w:pPr>
              <w:snapToGrid w:val="0"/>
              <w:spacing w:line="300" w:lineRule="auto"/>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单位</w:t>
            </w:r>
          </w:p>
        </w:tc>
      </w:tr>
      <w:tr w14:paraId="77BDC473">
        <w:tblPrEx>
          <w:tblCellMar>
            <w:top w:w="0" w:type="dxa"/>
            <w:left w:w="108" w:type="dxa"/>
            <w:bottom w:w="0" w:type="dxa"/>
            <w:right w:w="108" w:type="dxa"/>
          </w:tblCellMar>
        </w:tblPrEx>
        <w:trPr>
          <w:trHeight w:val="365" w:hRule="atLeast"/>
          <w:jc w:val="center"/>
        </w:trPr>
        <w:tc>
          <w:tcPr>
            <w:tcW w:w="961" w:type="dxa"/>
            <w:tcBorders>
              <w:top w:val="single" w:color="000000" w:sz="6" w:space="0"/>
              <w:left w:val="single" w:color="000000" w:sz="6" w:space="0"/>
              <w:bottom w:val="single" w:color="000000" w:sz="6" w:space="0"/>
              <w:right w:val="single" w:color="000000" w:sz="6" w:space="0"/>
            </w:tcBorders>
            <w:vAlign w:val="center"/>
          </w:tcPr>
          <w:p w14:paraId="066B0983">
            <w:pPr>
              <w:snapToGrid w:val="0"/>
              <w:spacing w:line="30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483" w:type="dxa"/>
            <w:tcBorders>
              <w:top w:val="single" w:color="000000" w:sz="6" w:space="0"/>
              <w:left w:val="single" w:color="000000" w:sz="6" w:space="0"/>
              <w:bottom w:val="single" w:color="000000" w:sz="6" w:space="0"/>
              <w:right w:val="single" w:color="000000" w:sz="6" w:space="0"/>
            </w:tcBorders>
            <w:vAlign w:val="center"/>
          </w:tcPr>
          <w:p w14:paraId="535890B3">
            <w:pPr>
              <w:snapToGrid w:val="0"/>
              <w:spacing w:line="300" w:lineRule="auto"/>
              <w:jc w:val="center"/>
              <w:rPr>
                <w:rFonts w:hint="eastAsia" w:ascii="宋体" w:hAnsi="宋体"/>
                <w:color w:val="000000" w:themeColor="text1"/>
                <w:szCs w:val="21"/>
                <w14:textFill>
                  <w14:solidFill>
                    <w14:schemeClr w14:val="tx1"/>
                  </w14:solidFill>
                </w14:textFill>
              </w:rPr>
            </w:pPr>
            <w:r>
              <w:rPr>
                <w:rFonts w:hint="eastAsia"/>
                <w:szCs w:val="21"/>
              </w:rPr>
              <w:t>防火墙</w:t>
            </w:r>
          </w:p>
        </w:tc>
        <w:tc>
          <w:tcPr>
            <w:tcW w:w="4568" w:type="dxa"/>
            <w:tcBorders>
              <w:top w:val="single" w:color="000000" w:sz="6" w:space="0"/>
              <w:left w:val="single" w:color="000000" w:sz="6" w:space="0"/>
              <w:bottom w:val="single" w:color="000000" w:sz="6" w:space="0"/>
              <w:right w:val="single" w:color="000000" w:sz="4" w:space="0"/>
            </w:tcBorders>
            <w:vAlign w:val="center"/>
          </w:tcPr>
          <w:p w14:paraId="07B40004">
            <w:pPr>
              <w:spacing w:line="300" w:lineRule="auto"/>
              <w:jc w:val="left"/>
              <w:rPr>
                <w:rFonts w:hint="eastAsia" w:ascii="宋体" w:hAnsi="宋体"/>
                <w:color w:val="000000" w:themeColor="text1"/>
                <w:szCs w:val="21"/>
                <w14:textFill>
                  <w14:solidFill>
                    <w14:schemeClr w14:val="tx1"/>
                  </w14:solidFill>
                </w14:textFill>
              </w:rPr>
            </w:pPr>
            <w:r>
              <w:rPr>
                <w:rFonts w:hint="eastAsia" w:ascii="宋体" w:hAnsi="宋体" w:cs="宋体"/>
                <w:szCs w:val="21"/>
              </w:rPr>
              <w:t>每台</w:t>
            </w:r>
            <w:r>
              <w:rPr>
                <w:rFonts w:hint="eastAsia" w:ascii="宋体" w:hAnsi="宋体" w:cs="宋体"/>
                <w:szCs w:val="21"/>
                <w:lang w:val="zh-CN"/>
              </w:rPr>
              <w:t>整机提供</w:t>
            </w:r>
            <w:r>
              <w:rPr>
                <w:rFonts w:hint="eastAsia" w:ascii="宋体" w:hAnsi="宋体" w:cs="宋体"/>
                <w:szCs w:val="21"/>
              </w:rPr>
              <w:t>≥16</w:t>
            </w:r>
            <w:r>
              <w:rPr>
                <w:color w:val="000000"/>
                <w:kern w:val="0"/>
                <w:szCs w:val="21"/>
              </w:rPr>
              <w:t>个万兆光口</w:t>
            </w:r>
            <w:r>
              <w:rPr>
                <w:rFonts w:hint="eastAsia"/>
                <w:color w:val="000000"/>
                <w:kern w:val="0"/>
                <w:szCs w:val="21"/>
              </w:rPr>
              <w:t>，</w:t>
            </w:r>
            <w:r>
              <w:rPr>
                <w:color w:val="000000"/>
                <w:szCs w:val="21"/>
              </w:rPr>
              <w:t>≥</w:t>
            </w:r>
            <w:r>
              <w:rPr>
                <w:rFonts w:hint="eastAsia"/>
                <w:color w:val="000000"/>
                <w:szCs w:val="21"/>
              </w:rPr>
              <w:t>4</w:t>
            </w:r>
            <w:r>
              <w:rPr>
                <w:color w:val="000000"/>
                <w:kern w:val="0"/>
                <w:szCs w:val="21"/>
              </w:rPr>
              <w:t>个40G端口</w:t>
            </w:r>
            <w:r>
              <w:rPr>
                <w:rFonts w:hint="eastAsia"/>
                <w:color w:val="000000"/>
                <w:kern w:val="0"/>
                <w:szCs w:val="21"/>
              </w:rPr>
              <w:t>，</w:t>
            </w:r>
            <w:r>
              <w:rPr>
                <w:rFonts w:hint="eastAsia"/>
                <w:color w:val="000000"/>
                <w:szCs w:val="21"/>
              </w:rPr>
              <w:t>吞吐量</w:t>
            </w:r>
            <w:r>
              <w:rPr>
                <w:color w:val="000000"/>
                <w:szCs w:val="21"/>
              </w:rPr>
              <w:t>≥</w:t>
            </w:r>
            <w:r>
              <w:rPr>
                <w:rFonts w:hint="eastAsia" w:ascii="宋体" w:hAnsi="宋体"/>
                <w:szCs w:val="21"/>
              </w:rPr>
              <w:t>80</w:t>
            </w:r>
            <w:r>
              <w:rPr>
                <w:rFonts w:hint="eastAsia"/>
                <w:color w:val="000000"/>
                <w:szCs w:val="21"/>
              </w:rPr>
              <w:t>Gbps</w:t>
            </w:r>
            <w:r>
              <w:rPr>
                <w:rFonts w:hint="eastAsia"/>
                <w:color w:val="000000"/>
                <w:kern w:val="0"/>
                <w:szCs w:val="21"/>
              </w:rPr>
              <w:t>的高性能防火墙。每台配备</w:t>
            </w:r>
            <w:r>
              <w:rPr>
                <w:rFonts w:hint="eastAsia" w:ascii="宋体" w:hAnsi="宋体" w:cs="宋体"/>
                <w:szCs w:val="21"/>
              </w:rPr>
              <w:t>4</w:t>
            </w:r>
            <w:r>
              <w:rPr>
                <w:rFonts w:hint="eastAsia" w:ascii="宋体" w:hAnsi="宋体" w:cs="宋体"/>
                <w:szCs w:val="21"/>
                <w:lang w:val="zh-CN"/>
              </w:rPr>
              <w:t>个多模</w:t>
            </w:r>
            <w:r>
              <w:rPr>
                <w:rFonts w:hint="eastAsia" w:ascii="宋体" w:hAnsi="宋体" w:cs="宋体"/>
                <w:szCs w:val="21"/>
              </w:rPr>
              <w:t>40</w:t>
            </w:r>
            <w:r>
              <w:rPr>
                <w:rFonts w:hint="eastAsia" w:ascii="宋体" w:hAnsi="宋体" w:cs="宋体"/>
                <w:szCs w:val="21"/>
                <w:lang w:val="zh-CN"/>
              </w:rPr>
              <w:t>G接口光模块。</w:t>
            </w:r>
          </w:p>
        </w:tc>
        <w:tc>
          <w:tcPr>
            <w:tcW w:w="811" w:type="dxa"/>
            <w:tcBorders>
              <w:top w:val="single" w:color="000000" w:sz="6" w:space="0"/>
              <w:left w:val="single" w:color="000000" w:sz="4" w:space="0"/>
              <w:bottom w:val="single" w:color="000000" w:sz="6" w:space="0"/>
              <w:right w:val="single" w:color="000000" w:sz="6" w:space="0"/>
            </w:tcBorders>
            <w:vAlign w:val="center"/>
          </w:tcPr>
          <w:p w14:paraId="1F715CE4">
            <w:pPr>
              <w:snapToGrid w:val="0"/>
              <w:spacing w:line="30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809" w:type="dxa"/>
            <w:tcBorders>
              <w:top w:val="single" w:color="000000" w:sz="6" w:space="0"/>
              <w:left w:val="single" w:color="000000" w:sz="6" w:space="0"/>
              <w:bottom w:val="single" w:color="000000" w:sz="6" w:space="0"/>
              <w:right w:val="single" w:color="000000" w:sz="6" w:space="0"/>
            </w:tcBorders>
            <w:vAlign w:val="center"/>
          </w:tcPr>
          <w:p w14:paraId="5B055C96">
            <w:pPr>
              <w:snapToGrid w:val="0"/>
              <w:spacing w:line="30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r>
    </w:tbl>
    <w:p w14:paraId="46266770">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二、资格审查方式</w:t>
      </w:r>
    </w:p>
    <w:p w14:paraId="4A5B10AC">
      <w:pPr>
        <w:spacing w:line="360" w:lineRule="auto"/>
        <w:ind w:firstLine="475" w:firstLineChars="197"/>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229B8049">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三、基本资格要求</w:t>
      </w:r>
    </w:p>
    <w:p w14:paraId="42953647">
      <w:pPr>
        <w:widowControl/>
        <w:adjustRightInd w:val="0"/>
        <w:spacing w:line="360" w:lineRule="auto"/>
        <w:ind w:firstLine="422" w:firstLineChars="200"/>
        <w:jc w:val="left"/>
        <w:rPr>
          <w:b/>
          <w:szCs w:val="21"/>
        </w:rPr>
      </w:pPr>
      <w:r>
        <w:rPr>
          <w:rFonts w:hint="eastAsia"/>
          <w:b/>
          <w:szCs w:val="21"/>
        </w:rPr>
        <w:t>（一）合格</w:t>
      </w:r>
      <w:r>
        <w:rPr>
          <w:b/>
          <w:szCs w:val="21"/>
        </w:rPr>
        <w:t>供应商</w:t>
      </w:r>
      <w:r>
        <w:rPr>
          <w:rFonts w:hint="eastAsia"/>
          <w:b/>
          <w:szCs w:val="21"/>
        </w:rPr>
        <w:t>的资格要求：</w:t>
      </w:r>
    </w:p>
    <w:p w14:paraId="71501FC0">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1、</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须为在中华人民共和国境内依法注册的独立法人，遵守中国有关法律、法规，具有良好的商业信誉</w:t>
      </w:r>
      <w:r>
        <w:rPr>
          <w:rFonts w:hint="eastAsia" w:ascii="宋体" w:hAnsi="宋体" w:cs="宋体"/>
          <w:color w:val="000000" w:themeColor="text1"/>
          <w:kern w:val="0"/>
          <w:sz w:val="24"/>
          <w:szCs w:val="22"/>
          <w14:textFill>
            <w14:solidFill>
              <w14:schemeClr w14:val="tx1"/>
            </w14:solidFill>
          </w14:textFill>
        </w:rPr>
        <w:t>（提供营业执照复印件）。</w:t>
      </w:r>
    </w:p>
    <w:p w14:paraId="29DF006A">
      <w:pPr>
        <w:widowControl/>
        <w:tabs>
          <w:tab w:val="left" w:pos="851"/>
        </w:tabs>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2</w:t>
      </w:r>
      <w:r>
        <w:rPr>
          <w:rFonts w:hint="eastAsia" w:ascii="宋体" w:hAnsi="宋体" w:cs="宋体"/>
          <w:color w:val="000000" w:themeColor="text1"/>
          <w:kern w:val="0"/>
          <w:sz w:val="24"/>
          <w:szCs w:val="22"/>
          <w14:textFill>
            <w14:solidFill>
              <w14:schemeClr w14:val="tx1"/>
            </w14:solidFill>
          </w14:textFill>
        </w:rPr>
        <w:t>、供应商须提供</w:t>
      </w:r>
      <w:r>
        <w:rPr>
          <w:rFonts w:ascii="宋体" w:hAnsi="宋体" w:cs="宋体"/>
          <w:color w:val="000000" w:themeColor="text1"/>
          <w:kern w:val="0"/>
          <w:sz w:val="24"/>
          <w:szCs w:val="22"/>
          <w14:textFill>
            <w14:solidFill>
              <w14:schemeClr w14:val="tx1"/>
            </w14:solidFill>
          </w14:textFill>
        </w:rPr>
        <w:t>2022</w:t>
      </w:r>
      <w:r>
        <w:rPr>
          <w:rFonts w:hint="eastAsia" w:ascii="宋体" w:hAnsi="宋体" w:cs="宋体"/>
          <w:color w:val="000000" w:themeColor="text1"/>
          <w:kern w:val="0"/>
          <w:sz w:val="24"/>
          <w:szCs w:val="22"/>
          <w14:textFill>
            <w14:solidFill>
              <w14:schemeClr w14:val="tx1"/>
            </w14:solidFill>
          </w14:textFill>
        </w:rPr>
        <w:t>年度和</w:t>
      </w:r>
      <w:r>
        <w:rPr>
          <w:rFonts w:ascii="宋体" w:hAnsi="宋体" w:cs="宋体"/>
          <w:color w:val="000000" w:themeColor="text1"/>
          <w:kern w:val="0"/>
          <w:sz w:val="24"/>
          <w:szCs w:val="22"/>
          <w14:textFill>
            <w14:solidFill>
              <w14:schemeClr w14:val="tx1"/>
            </w14:solidFill>
          </w14:textFill>
        </w:rPr>
        <w:t>2023</w:t>
      </w:r>
      <w:r>
        <w:rPr>
          <w:rFonts w:hint="eastAsia" w:ascii="宋体" w:hAnsi="宋体" w:cs="宋体"/>
          <w:color w:val="000000" w:themeColor="text1"/>
          <w:kern w:val="0"/>
          <w:sz w:val="24"/>
          <w:szCs w:val="22"/>
          <w14:textFill>
            <w14:solidFill>
              <w14:schemeClr w14:val="tx1"/>
            </w14:solidFill>
          </w14:textFill>
        </w:rPr>
        <w:t>年度经会计师事务所审计的会计报表（至少包括资产负债表、现金流量表、利润表）。</w:t>
      </w:r>
    </w:p>
    <w:p w14:paraId="6B1F9921">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3、</w:t>
      </w:r>
      <w:r>
        <w:rPr>
          <w:rFonts w:hint="eastAsia" w:ascii="宋体" w:hAnsi="宋体" w:cs="宋体"/>
          <w:color w:val="000000" w:themeColor="text1"/>
          <w:kern w:val="0"/>
          <w:sz w:val="24"/>
          <w:szCs w:val="22"/>
          <w14:textFill>
            <w14:solidFill>
              <w14:schemeClr w14:val="tx1"/>
            </w14:solidFill>
          </w14:textFill>
        </w:rPr>
        <w:t>供应商须是响应货物（或服务）的制造商或制造商针对本项目的授权代理商。代理商须提供制造商针对本项目的授权函，制造商和授权代理商不得同时参与本项目响应。若为代理商响应，供应商须和所投货物制造商已经具有合作关系，并具有成功案例（提供相关证明材料并加盖公章）。</w:t>
      </w:r>
    </w:p>
    <w:p w14:paraId="364270CA">
      <w:pPr>
        <w:widowControl/>
        <w:tabs>
          <w:tab w:val="left" w:pos="851"/>
        </w:tabs>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4、供应商须具有良好的业绩和经验，须提供自2022年1月1日至谈判截止日（以合同签订时间为准）实施过的与所投内容类似项目的业绩证明材料（合同内容需包含“防火墙”关键字。提供合同复印件等证明文件）。</w:t>
      </w:r>
    </w:p>
    <w:p w14:paraId="2DEDBB24">
      <w:pPr>
        <w:widowControl/>
        <w:adjustRightInd w:val="0"/>
        <w:spacing w:line="360" w:lineRule="auto"/>
        <w:ind w:firstLine="480" w:firstLineChars="200"/>
        <w:jc w:val="left"/>
        <w:rPr>
          <w:szCs w:val="21"/>
        </w:rPr>
      </w:pPr>
      <w:r>
        <w:rPr>
          <w:rFonts w:ascii="宋体" w:hAnsi="宋体" w:cs="宋体"/>
          <w:color w:val="000000" w:themeColor="text1"/>
          <w:kern w:val="0"/>
          <w:sz w:val="24"/>
          <w:szCs w:val="22"/>
          <w14:textFill>
            <w14:solidFill>
              <w14:schemeClr w14:val="tx1"/>
            </w14:solidFill>
          </w14:textFill>
        </w:rPr>
        <w:t>5、</w:t>
      </w:r>
      <w:r>
        <w:rPr>
          <w:rFonts w:hint="eastAsia" w:ascii="宋体" w:hAnsi="宋体" w:cs="宋体"/>
          <w:color w:val="000000" w:themeColor="text1"/>
          <w:kern w:val="0"/>
          <w:sz w:val="24"/>
          <w:szCs w:val="22"/>
          <w14:textFill>
            <w14:solidFill>
              <w14:schemeClr w14:val="tx1"/>
            </w14:solidFill>
          </w14:textFill>
        </w:rPr>
        <w:t>供应商在江苏地区须具有销售和售后服务的组织机构及完善快捷的技术支持能力，拥有固定可靠的有效服务网点（有效服务网点指由供应商自己或者其授权的服务商设立的具有维修和服务能力的</w:t>
      </w:r>
      <w:r>
        <w:rPr>
          <w:rFonts w:ascii="宋体" w:hAnsi="宋体" w:cs="宋体"/>
          <w:color w:val="000000" w:themeColor="text1"/>
          <w:kern w:val="0"/>
          <w:sz w:val="24"/>
          <w:szCs w:val="22"/>
          <w14:textFill>
            <w14:solidFill>
              <w14:schemeClr w14:val="tx1"/>
            </w14:solidFill>
          </w14:textFill>
        </w:rPr>
        <w:t>网点</w:t>
      </w:r>
      <w:r>
        <w:rPr>
          <w:rFonts w:hint="eastAsia" w:ascii="宋体" w:hAnsi="宋体" w:cs="宋体"/>
          <w:color w:val="000000" w:themeColor="text1"/>
          <w:kern w:val="0"/>
          <w:sz w:val="24"/>
          <w:szCs w:val="22"/>
          <w14:textFill>
            <w14:solidFill>
              <w14:schemeClr w14:val="tx1"/>
            </w14:solidFill>
          </w14:textFill>
        </w:rPr>
        <w:t>）。如无有效网点，须承诺在合同签订后</w:t>
      </w:r>
      <w:r>
        <w:rPr>
          <w:rFonts w:ascii="宋体" w:hAnsi="宋体" w:cs="宋体"/>
          <w:color w:val="000000" w:themeColor="text1"/>
          <w:kern w:val="0"/>
          <w:sz w:val="24"/>
          <w:szCs w:val="22"/>
          <w14:textFill>
            <w14:solidFill>
              <w14:schemeClr w14:val="tx1"/>
            </w14:solidFill>
          </w14:textFill>
        </w:rPr>
        <w:t>30</w:t>
      </w:r>
      <w:r>
        <w:rPr>
          <w:rFonts w:hint="eastAsia" w:ascii="宋体" w:hAnsi="宋体" w:cs="宋体"/>
          <w:color w:val="000000" w:themeColor="text1"/>
          <w:kern w:val="0"/>
          <w:sz w:val="24"/>
          <w:szCs w:val="22"/>
          <w14:textFill>
            <w14:solidFill>
              <w14:schemeClr w14:val="tx1"/>
            </w14:solidFill>
          </w14:textFill>
        </w:rPr>
        <w:t>日内设立，并向采购人报备。</w:t>
      </w:r>
    </w:p>
    <w:p w14:paraId="1431320B">
      <w:pPr>
        <w:widowControl/>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6、供应商须在法律和财务上独立、合法运作并独立于采购人，不得直接或间接地与采购人为本项目所委托的咨询公司或其附属机构有任何关联。</w:t>
      </w:r>
    </w:p>
    <w:p w14:paraId="3E597AEE">
      <w:pPr>
        <w:widowControl/>
        <w:tabs>
          <w:tab w:val="left" w:pos="851"/>
        </w:tabs>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7</w:t>
      </w:r>
      <w:r>
        <w:rPr>
          <w:rFonts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采购人</w:t>
      </w:r>
      <w:r>
        <w:rPr>
          <w:rFonts w:ascii="宋体" w:hAnsi="宋体" w:cs="宋体"/>
          <w:color w:val="000000" w:themeColor="text1"/>
          <w:kern w:val="0"/>
          <w:sz w:val="24"/>
          <w:szCs w:val="22"/>
          <w14:textFill>
            <w14:solidFill>
              <w14:schemeClr w14:val="tx1"/>
            </w14:solidFill>
          </w14:textFill>
        </w:rPr>
        <w:t>在其本国使用</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提供的货物时，不存在任何已知的不合法的情形，也不存在任何已知的与第三方专利权、著作权、商标权或工业设计权相关的任何争议。如果有任何因</w:t>
      </w:r>
      <w:r>
        <w:rPr>
          <w:rFonts w:hint="eastAsia" w:ascii="宋体" w:hAnsi="宋体" w:cs="宋体"/>
          <w:color w:val="000000" w:themeColor="text1"/>
          <w:kern w:val="0"/>
          <w:sz w:val="24"/>
          <w:szCs w:val="22"/>
          <w14:textFill>
            <w14:solidFill>
              <w14:schemeClr w14:val="tx1"/>
            </w14:solidFill>
          </w14:textFill>
        </w:rPr>
        <w:t>采购人</w:t>
      </w:r>
      <w:r>
        <w:rPr>
          <w:rFonts w:ascii="宋体" w:hAnsi="宋体" w:cs="宋体"/>
          <w:color w:val="000000" w:themeColor="text1"/>
          <w:kern w:val="0"/>
          <w:sz w:val="24"/>
          <w:szCs w:val="22"/>
          <w14:textFill>
            <w14:solidFill>
              <w14:schemeClr w14:val="tx1"/>
            </w14:solidFill>
          </w14:textFill>
        </w:rPr>
        <w:t>使用</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提供的货物而提起的侵权指控，</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（包括制造商）依法承担全部责任（提供承诺书</w:t>
      </w:r>
      <w:r>
        <w:rPr>
          <w:rFonts w:hint="eastAsia" w:ascii="宋体" w:hAnsi="宋体" w:cs="宋体"/>
          <w:color w:val="000000" w:themeColor="text1"/>
          <w:kern w:val="0"/>
          <w:sz w:val="24"/>
          <w:szCs w:val="22"/>
          <w14:textFill>
            <w14:solidFill>
              <w14:schemeClr w14:val="tx1"/>
            </w14:solidFill>
          </w14:textFill>
        </w:rPr>
        <w:t>原件</w:t>
      </w:r>
      <w:r>
        <w:rPr>
          <w:rFonts w:ascii="宋体" w:hAnsi="宋体" w:cs="宋体"/>
          <w:color w:val="000000" w:themeColor="text1"/>
          <w:kern w:val="0"/>
          <w:sz w:val="24"/>
          <w:szCs w:val="22"/>
          <w14:textFill>
            <w14:solidFill>
              <w14:schemeClr w14:val="tx1"/>
            </w14:solidFill>
          </w14:textFill>
        </w:rPr>
        <w:t>并加盖公章）。</w:t>
      </w:r>
    </w:p>
    <w:p w14:paraId="09CDD960">
      <w:pPr>
        <w:widowControl/>
        <w:tabs>
          <w:tab w:val="left" w:pos="851"/>
        </w:tabs>
        <w:spacing w:line="360" w:lineRule="auto"/>
        <w:ind w:firstLine="480" w:firstLineChars="200"/>
        <w:jc w:val="left"/>
      </w:pPr>
      <w:r>
        <w:rPr>
          <w:rFonts w:ascii="宋体" w:hAnsi="宋体" w:cs="宋体"/>
          <w:color w:val="000000" w:themeColor="text1"/>
          <w:kern w:val="0"/>
          <w:sz w:val="24"/>
          <w:szCs w:val="22"/>
          <w14:textFill>
            <w14:solidFill>
              <w14:schemeClr w14:val="tx1"/>
            </w14:solidFill>
          </w14:textFill>
        </w:rPr>
        <w:t>8、法定代表人为同一个人的两个及两个以上法人，母公司与全资子公司/由其控股的子公司，不得</w:t>
      </w:r>
      <w:r>
        <w:rPr>
          <w:rFonts w:hint="eastAsia" w:ascii="宋体" w:hAnsi="宋体" w:cs="宋体"/>
          <w:color w:val="000000" w:themeColor="text1"/>
          <w:kern w:val="0"/>
          <w:sz w:val="24"/>
          <w:szCs w:val="22"/>
          <w14:textFill>
            <w14:solidFill>
              <w14:schemeClr w14:val="tx1"/>
            </w14:solidFill>
          </w14:textFill>
        </w:rPr>
        <w:t>共同参与</w:t>
      </w:r>
      <w:r>
        <w:rPr>
          <w:rFonts w:ascii="宋体" w:hAnsi="宋体" w:cs="宋体"/>
          <w:color w:val="000000" w:themeColor="text1"/>
          <w:kern w:val="0"/>
          <w:sz w:val="24"/>
          <w:szCs w:val="22"/>
          <w14:textFill>
            <w14:solidFill>
              <w14:schemeClr w14:val="tx1"/>
            </w14:solidFill>
          </w14:textFill>
        </w:rPr>
        <w:t>本项目。</w:t>
      </w:r>
    </w:p>
    <w:p w14:paraId="3918F458">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9</w:t>
      </w:r>
      <w:r>
        <w:rPr>
          <w:rFonts w:ascii="宋体" w:hAnsi="宋体" w:cs="宋体"/>
          <w:color w:val="000000" w:themeColor="text1"/>
          <w:kern w:val="0"/>
          <w:sz w:val="24"/>
          <w:szCs w:val="22"/>
          <w14:textFill>
            <w14:solidFill>
              <w14:schemeClr w14:val="tx1"/>
            </w14:solidFill>
          </w14:textFill>
        </w:rPr>
        <w:t>、本项目不接受联合体。</w:t>
      </w:r>
    </w:p>
    <w:p w14:paraId="0D629DDA">
      <w:pPr>
        <w:widowControl/>
        <w:adjustRightInd w:val="0"/>
        <w:spacing w:line="360" w:lineRule="auto"/>
        <w:ind w:firstLine="422" w:firstLineChars="200"/>
        <w:jc w:val="left"/>
        <w:rPr>
          <w:b/>
          <w:szCs w:val="21"/>
        </w:rPr>
      </w:pPr>
      <w:r>
        <w:rPr>
          <w:rFonts w:hint="eastAsia"/>
          <w:b/>
          <w:szCs w:val="21"/>
        </w:rPr>
        <w:t>（二）响应产品的要求：</w:t>
      </w:r>
    </w:p>
    <w:p w14:paraId="1B4E6B6C">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1</w:t>
      </w:r>
      <w:r>
        <w:rPr>
          <w:rFonts w:hint="eastAsia" w:ascii="宋体" w:hAnsi="宋体" w:cs="宋体"/>
          <w:color w:val="000000" w:themeColor="text1"/>
          <w:kern w:val="0"/>
          <w:sz w:val="24"/>
          <w:szCs w:val="22"/>
          <w14:textFill>
            <w14:solidFill>
              <w14:schemeClr w14:val="tx1"/>
            </w14:solidFill>
          </w14:textFill>
        </w:rPr>
        <w:t>、响应产品须具备中国信息安全产品认证中心颁发的《中国国家信息安全产品认证证书》，提供证明文件。</w:t>
      </w:r>
    </w:p>
    <w:p w14:paraId="2A7BBCB1">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四、竞争性谈判文件的获取</w:t>
      </w:r>
    </w:p>
    <w:p w14:paraId="68029D74">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发布及登记时间：</w:t>
      </w:r>
      <w:r>
        <w:rPr>
          <w:rFonts w:ascii="宋体" w:hAnsi="宋体" w:cs="宋体"/>
          <w:color w:val="000000" w:themeColor="text1"/>
          <w:kern w:val="0"/>
          <w:sz w:val="24"/>
          <w:shd w:val="clear" w:color="auto" w:fill="FFFFFF"/>
          <w14:textFill>
            <w14:solidFill>
              <w14:schemeClr w14:val="tx1"/>
            </w14:solidFill>
          </w14:textFill>
        </w:rPr>
        <w:t>2025年</w:t>
      </w:r>
      <w:r>
        <w:rPr>
          <w:rFonts w:hint="eastAsia" w:ascii="宋体" w:hAnsi="宋体" w:cs="宋体"/>
          <w:color w:val="000000" w:themeColor="text1"/>
          <w:kern w:val="0"/>
          <w:sz w:val="24"/>
          <w:shd w:val="clear" w:color="auto" w:fill="FFFFFF"/>
          <w14:textFill>
            <w14:solidFill>
              <w14:schemeClr w14:val="tx1"/>
            </w14:solidFill>
          </w14:textFill>
        </w:rPr>
        <w:t>2月28</w:t>
      </w:r>
      <w:r>
        <w:rPr>
          <w:rFonts w:ascii="宋体" w:hAnsi="宋体" w:cs="宋体"/>
          <w:color w:val="000000" w:themeColor="text1"/>
          <w:kern w:val="0"/>
          <w:sz w:val="24"/>
          <w:shd w:val="clear" w:color="auto" w:fill="FFFFFF"/>
          <w14:textFill>
            <w14:solidFill>
              <w14:schemeClr w14:val="tx1"/>
            </w14:solidFill>
          </w14:textFill>
        </w:rPr>
        <w:t>日至2025年</w:t>
      </w:r>
      <w:r>
        <w:rPr>
          <w:rFonts w:hint="eastAsia" w:ascii="宋体" w:hAnsi="宋体" w:cs="宋体"/>
          <w:color w:val="000000" w:themeColor="text1"/>
          <w:kern w:val="0"/>
          <w:sz w:val="24"/>
          <w:shd w:val="clear" w:color="auto" w:fill="FFFFFF"/>
          <w14:textFill>
            <w14:solidFill>
              <w14:schemeClr w14:val="tx1"/>
            </w14:solidFill>
          </w14:textFill>
        </w:rPr>
        <w:t>3月7</w:t>
      </w:r>
      <w:r>
        <w:rPr>
          <w:rFonts w:ascii="宋体" w:hAnsi="宋体" w:cs="宋体"/>
          <w:color w:val="000000" w:themeColor="text1"/>
          <w:kern w:val="0"/>
          <w:sz w:val="24"/>
          <w:shd w:val="clear" w:color="auto" w:fill="FFFFFF"/>
          <w14:textFill>
            <w14:solidFill>
              <w14:schemeClr w14:val="tx1"/>
            </w14:solidFill>
          </w14:textFill>
        </w:rPr>
        <w:t>日止，每日上午9：00-12：00，下午14：00-17：00（北京时间）。</w:t>
      </w:r>
    </w:p>
    <w:p w14:paraId="475F4C19">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发放方式：竞争性谈判文件在报名后自行下载，请响应人联系采购人项目联系人进行报名登记，具体报名方式为将响应确认信息表（详见采购文件第七章）加盖公司公章同时发至邮箱caoting</w:t>
      </w:r>
      <w:r>
        <w:rPr>
          <w:rFonts w:ascii="宋体" w:hAnsi="宋体" w:cs="宋体"/>
          <w:color w:val="000000" w:themeColor="text1"/>
          <w:kern w:val="0"/>
          <w:sz w:val="24"/>
          <w:shd w:val="clear" w:color="auto" w:fill="FFFFFF"/>
          <w14:textFill>
            <w14:solidFill>
              <w14:schemeClr w14:val="tx1"/>
            </w14:solidFill>
          </w14:textFill>
        </w:rPr>
        <w:t>@jscnnet.com</w:t>
      </w:r>
      <w:r>
        <w:rPr>
          <w:rFonts w:hint="eastAsia" w:ascii="宋体" w:hAnsi="宋体" w:cs="宋体"/>
          <w:color w:val="000000" w:themeColor="text1"/>
          <w:kern w:val="0"/>
          <w:sz w:val="24"/>
          <w:shd w:val="clear" w:color="auto" w:fill="FFFFFF"/>
          <w14:textFill>
            <w14:solidFill>
              <w14:schemeClr w14:val="tx1"/>
            </w14:solidFill>
          </w14:textFill>
        </w:rPr>
        <w:t>，未在文件发放日内完成登记的不得参与本项目。</w:t>
      </w:r>
    </w:p>
    <w:p w14:paraId="2DF73692">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登记方式：请响应人将该项目负责人姓名、联系电话（手机）、联系信箱发至采购人该项目联系人，超过</w:t>
      </w:r>
      <w:r>
        <w:rPr>
          <w:rFonts w:ascii="宋体" w:hAnsi="宋体" w:cs="宋体"/>
          <w:color w:val="000000" w:themeColor="text1"/>
          <w:kern w:val="0"/>
          <w:sz w:val="24"/>
          <w:shd w:val="clear" w:color="auto" w:fill="FFFFFF"/>
          <w14:textFill>
            <w14:solidFill>
              <w14:schemeClr w14:val="tx1"/>
            </w14:solidFill>
          </w14:textFill>
        </w:rPr>
        <w:t>2025年</w:t>
      </w:r>
      <w:r>
        <w:rPr>
          <w:rFonts w:hint="eastAsia" w:ascii="宋体" w:hAnsi="宋体" w:cs="宋体"/>
          <w:color w:val="000000" w:themeColor="text1"/>
          <w:kern w:val="0"/>
          <w:sz w:val="24"/>
          <w:shd w:val="clear" w:color="auto" w:fill="FFFFFF"/>
          <w14:textFill>
            <w14:solidFill>
              <w14:schemeClr w14:val="tx1"/>
            </w14:solidFill>
          </w14:textFill>
        </w:rPr>
        <w:t>3月7</w:t>
      </w:r>
      <w:r>
        <w:rPr>
          <w:rFonts w:ascii="宋体" w:hAnsi="宋体" w:cs="宋体"/>
          <w:color w:val="000000" w:themeColor="text1"/>
          <w:kern w:val="0"/>
          <w:sz w:val="24"/>
          <w:shd w:val="clear" w:color="auto" w:fill="FFFFFF"/>
          <w14:textFill>
            <w14:solidFill>
              <w14:schemeClr w14:val="tx1"/>
            </w14:solidFill>
          </w14:textFill>
        </w:rPr>
        <w:t>日17:00再登记的视为无效。</w:t>
      </w:r>
    </w:p>
    <w:p w14:paraId="7FF5508F">
      <w:pPr>
        <w:widowControl/>
        <w:spacing w:line="360" w:lineRule="auto"/>
        <w:ind w:firstLine="48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项目联系人：吴经理（</w:t>
      </w:r>
      <w:r>
        <w:rPr>
          <w:rFonts w:ascii="宋体" w:hAnsi="宋体" w:cs="宋体"/>
          <w:color w:val="000000" w:themeColor="text1"/>
          <w:kern w:val="0"/>
          <w:sz w:val="24"/>
          <w:shd w:val="clear" w:color="auto" w:fill="FFFFFF"/>
          <w14:textFill>
            <w14:solidFill>
              <w14:schemeClr w14:val="tx1"/>
            </w14:solidFill>
          </w14:textFill>
        </w:rPr>
        <w:t>025-87231512）</w:t>
      </w:r>
    </w:p>
    <w:p w14:paraId="01206FC5">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五、响应文件的递交和谈判</w:t>
      </w:r>
    </w:p>
    <w:p w14:paraId="546C88BF">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递交竞争性谈判响应文件截止时间：</w:t>
      </w:r>
      <w:r>
        <w:rPr>
          <w:rFonts w:ascii="宋体" w:hAnsi="宋体" w:cs="宋体"/>
          <w:color w:val="000000" w:themeColor="text1"/>
          <w:kern w:val="0"/>
          <w:sz w:val="24"/>
          <w:shd w:val="clear" w:color="auto" w:fill="FFFFFF"/>
          <w14:textFill>
            <w14:solidFill>
              <w14:schemeClr w14:val="tx1"/>
            </w14:solidFill>
          </w14:textFill>
        </w:rPr>
        <w:t>2025</w:t>
      </w:r>
      <w:r>
        <w:rPr>
          <w:rFonts w:hint="eastAsia" w:ascii="宋体" w:hAnsi="宋体" w:cs="宋体"/>
          <w:color w:val="000000" w:themeColor="text1"/>
          <w:kern w:val="0"/>
          <w:sz w:val="24"/>
          <w:shd w:val="clear" w:color="auto" w:fill="FFFFFF"/>
          <w14:textFill>
            <w14:solidFill>
              <w14:schemeClr w14:val="tx1"/>
            </w14:solidFill>
          </w14:textFill>
        </w:rPr>
        <w:t>年3月12日上午9</w:t>
      </w:r>
      <w:r>
        <w:rPr>
          <w:rFonts w:ascii="宋体" w:hAnsi="宋体" w:cs="宋体"/>
          <w:color w:val="000000" w:themeColor="text1"/>
          <w:kern w:val="0"/>
          <w:sz w:val="24"/>
          <w:shd w:val="clear" w:color="auto" w:fill="FFFFFF"/>
          <w14:textFill>
            <w14:solidFill>
              <w14:schemeClr w14:val="tx1"/>
            </w14:solidFill>
          </w14:textFill>
        </w:rPr>
        <w:t>:30</w:t>
      </w:r>
      <w:r>
        <w:rPr>
          <w:rFonts w:hint="eastAsia" w:ascii="宋体" w:hAnsi="宋体" w:cs="宋体"/>
          <w:color w:val="000000" w:themeColor="text1"/>
          <w:kern w:val="0"/>
          <w:sz w:val="24"/>
          <w:shd w:val="clear" w:color="auto" w:fill="FFFFFF"/>
          <w14:textFill>
            <w14:solidFill>
              <w14:schemeClr w14:val="tx1"/>
            </w14:solidFill>
          </w14:textFill>
        </w:rPr>
        <w:t>，逾期收到或不按照竞争性谈判文件要求密封的响应文件恕不接受。</w:t>
      </w:r>
    </w:p>
    <w:p w14:paraId="62C6D95C">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递交竞争性谈判响应文件地点：南京市玄武区运粮河西路</w:t>
      </w:r>
      <w:r>
        <w:rPr>
          <w:rFonts w:ascii="宋体" w:hAnsi="宋体" w:cs="宋体"/>
          <w:color w:val="000000" w:themeColor="text1"/>
          <w:kern w:val="0"/>
          <w:sz w:val="24"/>
          <w:shd w:val="clear" w:color="auto" w:fill="FFFFFF"/>
          <w14:textFill>
            <w14:solidFill>
              <w14:schemeClr w14:val="tx1"/>
            </w14:solidFill>
          </w14:textFill>
        </w:rPr>
        <w:t>101</w:t>
      </w:r>
      <w:r>
        <w:rPr>
          <w:rFonts w:hint="eastAsia" w:ascii="宋体" w:hAnsi="宋体" w:cs="宋体"/>
          <w:color w:val="000000" w:themeColor="text1"/>
          <w:kern w:val="0"/>
          <w:sz w:val="24"/>
          <w:shd w:val="clear" w:color="auto" w:fill="FFFFFF"/>
          <w14:textFill>
            <w14:solidFill>
              <w14:schemeClr w14:val="tx1"/>
            </w14:solidFill>
          </w14:textFill>
        </w:rPr>
        <w:t>号</w:t>
      </w:r>
      <w:r>
        <w:rPr>
          <w:rFonts w:ascii="宋体" w:hAnsi="宋体" w:cs="宋体"/>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号楼</w:t>
      </w:r>
      <w:r>
        <w:rPr>
          <w:rFonts w:ascii="宋体" w:hAnsi="宋体" w:cs="宋体"/>
          <w:color w:val="000000" w:themeColor="text1"/>
          <w:kern w:val="0"/>
          <w:sz w:val="24"/>
          <w:shd w:val="clear" w:color="auto" w:fill="FFFFFF"/>
          <w14:textFill>
            <w14:solidFill>
              <w14:schemeClr w14:val="tx1"/>
            </w14:solidFill>
          </w14:textFill>
        </w:rPr>
        <w:t>4</w:t>
      </w:r>
      <w:r>
        <w:rPr>
          <w:rFonts w:hint="eastAsia" w:ascii="宋体" w:hAnsi="宋体" w:cs="宋体"/>
          <w:color w:val="000000" w:themeColor="text1"/>
          <w:kern w:val="0"/>
          <w:sz w:val="24"/>
          <w:shd w:val="clear" w:color="auto" w:fill="FFFFFF"/>
          <w14:textFill>
            <w14:solidFill>
              <w14:schemeClr w14:val="tx1"/>
            </w14:solidFill>
          </w14:textFill>
        </w:rPr>
        <w:t>楼。</w:t>
      </w:r>
    </w:p>
    <w:p w14:paraId="018D78CA">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响应文件接收人：曹经理，电话：</w:t>
      </w:r>
      <w:r>
        <w:rPr>
          <w:rFonts w:ascii="宋体" w:hAnsi="宋体" w:cs="宋体"/>
          <w:color w:val="000000" w:themeColor="text1"/>
          <w:kern w:val="0"/>
          <w:sz w:val="24"/>
          <w:shd w:val="clear" w:color="auto" w:fill="FFFFFF"/>
          <w14:textFill>
            <w14:solidFill>
              <w14:schemeClr w14:val="tx1"/>
            </w14:solidFill>
          </w14:textFill>
        </w:rPr>
        <w:t>025-8723159</w:t>
      </w:r>
      <w:r>
        <w:rPr>
          <w:rFonts w:hint="eastAsia" w:ascii="宋体" w:hAnsi="宋体" w:cs="宋体"/>
          <w:color w:val="000000" w:themeColor="text1"/>
          <w:kern w:val="0"/>
          <w:sz w:val="24"/>
          <w:shd w:val="clear" w:color="auto" w:fill="FFFFFF"/>
          <w14:textFill>
            <w14:solidFill>
              <w14:schemeClr w14:val="tx1"/>
            </w14:solidFill>
          </w14:textFill>
        </w:rPr>
        <w:t>2</w:t>
      </w:r>
    </w:p>
    <w:p w14:paraId="2B5F931C">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竞争性谈判时间：</w:t>
      </w:r>
      <w:r>
        <w:rPr>
          <w:rFonts w:ascii="宋体" w:hAnsi="宋体" w:cs="宋体"/>
          <w:color w:val="000000" w:themeColor="text1"/>
          <w:kern w:val="0"/>
          <w:sz w:val="24"/>
          <w:shd w:val="clear" w:color="auto" w:fill="FFFFFF"/>
          <w14:textFill>
            <w14:solidFill>
              <w14:schemeClr w14:val="tx1"/>
            </w14:solidFill>
          </w14:textFill>
        </w:rPr>
        <w:t>2025</w:t>
      </w:r>
      <w:r>
        <w:rPr>
          <w:rFonts w:hint="eastAsia" w:ascii="宋体" w:hAnsi="宋体" w:cs="宋体"/>
          <w:color w:val="000000" w:themeColor="text1"/>
          <w:kern w:val="0"/>
          <w:sz w:val="24"/>
          <w:shd w:val="clear" w:color="auto" w:fill="FFFFFF"/>
          <w14:textFill>
            <w14:solidFill>
              <w14:schemeClr w14:val="tx1"/>
            </w14:solidFill>
          </w14:textFill>
        </w:rPr>
        <w:t>年3月12日上午9点</w:t>
      </w:r>
      <w:r>
        <w:rPr>
          <w:rFonts w:ascii="宋体" w:hAnsi="宋体" w:cs="宋体"/>
          <w:color w:val="000000" w:themeColor="text1"/>
          <w:kern w:val="0"/>
          <w:sz w:val="24"/>
          <w:shd w:val="clear" w:color="auto" w:fill="FFFFFF"/>
          <w14:textFill>
            <w14:solidFill>
              <w14:schemeClr w14:val="tx1"/>
            </w14:solidFill>
          </w14:textFill>
        </w:rPr>
        <w:t>30</w:t>
      </w:r>
      <w:r>
        <w:rPr>
          <w:rFonts w:hint="eastAsia" w:ascii="宋体" w:hAnsi="宋体" w:cs="宋体"/>
          <w:color w:val="000000" w:themeColor="text1"/>
          <w:kern w:val="0"/>
          <w:sz w:val="24"/>
          <w:shd w:val="clear" w:color="auto" w:fill="FFFFFF"/>
          <w14:textFill>
            <w14:solidFill>
              <w14:schemeClr w14:val="tx1"/>
            </w14:solidFill>
          </w14:textFill>
        </w:rPr>
        <w:t>分。</w:t>
      </w:r>
    </w:p>
    <w:p w14:paraId="0C9B55B8">
      <w:pPr>
        <w:widowControl/>
        <w:spacing w:line="360" w:lineRule="auto"/>
        <w:ind w:firstLine="48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竞争性谈判地点：南京市玄武区运粮河西路</w:t>
      </w:r>
      <w:r>
        <w:rPr>
          <w:rFonts w:ascii="宋体" w:hAnsi="宋体" w:cs="宋体"/>
          <w:color w:val="000000" w:themeColor="text1"/>
          <w:kern w:val="0"/>
          <w:sz w:val="24"/>
          <w:shd w:val="clear" w:color="auto" w:fill="FFFFFF"/>
          <w14:textFill>
            <w14:solidFill>
              <w14:schemeClr w14:val="tx1"/>
            </w14:solidFill>
          </w14:textFill>
        </w:rPr>
        <w:t>101</w:t>
      </w:r>
      <w:r>
        <w:rPr>
          <w:rFonts w:hint="eastAsia" w:ascii="宋体" w:hAnsi="宋体" w:cs="宋体"/>
          <w:color w:val="000000" w:themeColor="text1"/>
          <w:kern w:val="0"/>
          <w:sz w:val="24"/>
          <w:shd w:val="clear" w:color="auto" w:fill="FFFFFF"/>
          <w14:textFill>
            <w14:solidFill>
              <w14:schemeClr w14:val="tx1"/>
            </w14:solidFill>
          </w14:textFill>
        </w:rPr>
        <w:t>号</w:t>
      </w:r>
      <w:r>
        <w:rPr>
          <w:rFonts w:ascii="宋体" w:hAnsi="宋体" w:cs="宋体"/>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号楼</w:t>
      </w:r>
      <w:r>
        <w:rPr>
          <w:rFonts w:ascii="宋体" w:hAnsi="宋体" w:cs="宋体"/>
          <w:color w:val="000000" w:themeColor="text1"/>
          <w:kern w:val="0"/>
          <w:sz w:val="24"/>
          <w:shd w:val="clear" w:color="auto" w:fill="FFFFFF"/>
          <w14:textFill>
            <w14:solidFill>
              <w14:schemeClr w14:val="tx1"/>
            </w14:solidFill>
          </w14:textFill>
        </w:rPr>
        <w:t>4</w:t>
      </w:r>
      <w:r>
        <w:rPr>
          <w:rFonts w:hint="eastAsia" w:ascii="宋体" w:hAnsi="宋体" w:cs="宋体"/>
          <w:color w:val="000000" w:themeColor="text1"/>
          <w:kern w:val="0"/>
          <w:sz w:val="24"/>
          <w:shd w:val="clear" w:color="auto" w:fill="FFFFFF"/>
          <w14:textFill>
            <w14:solidFill>
              <w14:schemeClr w14:val="tx1"/>
            </w14:solidFill>
          </w14:textFill>
        </w:rPr>
        <w:t>楼会议室。</w:t>
      </w:r>
    </w:p>
    <w:p w14:paraId="3E3429D4">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六、发布公告的媒介</w:t>
      </w:r>
    </w:p>
    <w:p w14:paraId="72359220">
      <w:pPr>
        <w:widowControl/>
        <w:spacing w:line="360" w:lineRule="auto"/>
        <w:ind w:firstLine="480"/>
        <w:jc w:val="left"/>
        <w:rPr>
          <w:rFonts w:hint="eastAsia" w:ascii="宋体" w:hAnsi="宋体" w:cs="宋体"/>
          <w:color w:val="191919"/>
          <w:kern w:val="0"/>
          <w:sz w:val="24"/>
          <w:shd w:val="clear" w:color="auto" w:fill="FFFFFF"/>
        </w:rPr>
      </w:pPr>
      <w:r>
        <w:rPr>
          <w:rFonts w:hint="eastAsia" w:ascii="宋体" w:hAnsi="宋体" w:cs="宋体"/>
          <w:color w:val="191919"/>
          <w:kern w:val="0"/>
          <w:sz w:val="24"/>
          <w:shd w:val="clear" w:color="auto" w:fill="FFFFFF"/>
        </w:rPr>
        <w:t>本次采购事宜相关公告同时在江苏省广电有线信息网络股份有限公司官网（http://www.jscnnet.com）“招标采购”栏目及中国招标投标公共服务平台（http://www.cebpubservice.com/）上发布，其他媒介转载需注明出处。</w:t>
      </w:r>
    </w:p>
    <w:p w14:paraId="0C33D18F">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七、其他说明事项</w:t>
      </w:r>
    </w:p>
    <w:p w14:paraId="3AFB1F36">
      <w:pPr>
        <w:widowControl/>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有关本次谈判的事项若存在变动或修改，敬请及时关注网上发布的信息更正公告</w:t>
      </w:r>
      <w:bookmarkStart w:id="5" w:name="bookmark1"/>
      <w:bookmarkEnd w:id="5"/>
      <w:r>
        <w:rPr>
          <w:rFonts w:hint="eastAsia" w:ascii="宋体" w:cs="宋体"/>
          <w:bCs/>
          <w:color w:val="000000" w:themeColor="text1"/>
          <w:sz w:val="24"/>
          <w14:textFill>
            <w14:solidFill>
              <w14:schemeClr w14:val="tx1"/>
            </w14:solidFill>
          </w14:textFill>
        </w:rPr>
        <w:t>。</w:t>
      </w:r>
      <w:bookmarkEnd w:id="3"/>
      <w:bookmarkEnd w:id="4"/>
      <w:r>
        <w:rPr>
          <w:rFonts w:ascii="宋体" w:hAnsi="宋体"/>
          <w:color w:val="000000" w:themeColor="text1"/>
          <w:sz w:val="24"/>
          <w14:textFill>
            <w14:solidFill>
              <w14:schemeClr w14:val="tx1"/>
            </w14:solidFill>
          </w14:textFill>
        </w:rPr>
        <w:br w:type="page"/>
      </w:r>
    </w:p>
    <w:p w14:paraId="4EE9204D">
      <w:pPr>
        <w:pStyle w:val="3"/>
        <w:spacing w:before="0" w:after="0" w:line="360" w:lineRule="auto"/>
        <w:rPr>
          <w:b/>
          <w:color w:val="000000" w:themeColor="text1"/>
          <w:sz w:val="36"/>
          <w:szCs w:val="36"/>
          <w14:textFill>
            <w14:solidFill>
              <w14:schemeClr w14:val="tx1"/>
            </w14:solidFill>
          </w14:textFill>
        </w:rPr>
      </w:pPr>
      <w:bookmarkStart w:id="6" w:name="_Toc16807"/>
      <w:bookmarkStart w:id="7" w:name="_Toc107822483"/>
      <w:bookmarkStart w:id="8" w:name="_Toc226969276"/>
      <w:bookmarkStart w:id="9" w:name="_Toc227057883"/>
      <w:r>
        <w:rPr>
          <w:rFonts w:hint="eastAsia"/>
          <w:b/>
          <w:color w:val="000000" w:themeColor="text1"/>
          <w:sz w:val="36"/>
          <w:szCs w:val="36"/>
          <w14:textFill>
            <w14:solidFill>
              <w14:schemeClr w14:val="tx1"/>
            </w14:solidFill>
          </w14:textFill>
        </w:rPr>
        <w:t>第二章竞争性谈判</w:t>
      </w:r>
      <w:r>
        <w:rPr>
          <w:b/>
          <w:color w:val="000000" w:themeColor="text1"/>
          <w:sz w:val="36"/>
          <w:szCs w:val="36"/>
          <w14:textFill>
            <w14:solidFill>
              <w14:schemeClr w14:val="tx1"/>
            </w14:solidFill>
          </w14:textFill>
        </w:rPr>
        <w:t>须知</w:t>
      </w:r>
      <w:bookmarkEnd w:id="6"/>
    </w:p>
    <w:p w14:paraId="608900F6">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供应商须知前附表</w:t>
      </w:r>
    </w:p>
    <w:p w14:paraId="02F6D927">
      <w:pPr>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本表关于要采购的货物及</w:t>
      </w:r>
      <w:r>
        <w:rPr>
          <w:color w:val="000000" w:themeColor="text1"/>
          <w:sz w:val="24"/>
          <w14:textFill>
            <w14:solidFill>
              <w14:schemeClr w14:val="tx1"/>
            </w14:solidFill>
          </w14:textFill>
        </w:rPr>
        <w:t>服务</w:t>
      </w:r>
      <w:r>
        <w:rPr>
          <w:rFonts w:hint="eastAsia"/>
          <w:color w:val="000000" w:themeColor="text1"/>
          <w:sz w:val="24"/>
          <w14:textFill>
            <w14:solidFill>
              <w14:schemeClr w14:val="tx1"/>
            </w14:solidFill>
          </w14:textFill>
        </w:rPr>
        <w:t>的具体资料是对应答供应商须知的具体补充和修改，如有矛盾，以本前附表为准。</w:t>
      </w:r>
    </w:p>
    <w:tbl>
      <w:tblPr>
        <w:tblStyle w:val="19"/>
        <w:tblW w:w="5294"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14:paraId="20B9DE3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tcBorders>
              <w:top w:val="single" w:color="auto" w:sz="6" w:space="0"/>
            </w:tcBorders>
            <w:vAlign w:val="center"/>
          </w:tcPr>
          <w:p w14:paraId="52F56357">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268" w:type="pct"/>
            <w:tcBorders>
              <w:top w:val="single" w:color="auto" w:sz="6" w:space="0"/>
            </w:tcBorders>
            <w:vAlign w:val="center"/>
          </w:tcPr>
          <w:p w14:paraId="2AF0E6F6">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条款号</w:t>
            </w:r>
          </w:p>
        </w:tc>
        <w:tc>
          <w:tcPr>
            <w:tcW w:w="762" w:type="pct"/>
            <w:tcBorders>
              <w:top w:val="single" w:color="auto" w:sz="6" w:space="0"/>
            </w:tcBorders>
            <w:vAlign w:val="center"/>
          </w:tcPr>
          <w:p w14:paraId="76D93A7D">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内容</w:t>
            </w:r>
          </w:p>
        </w:tc>
        <w:tc>
          <w:tcPr>
            <w:tcW w:w="3401" w:type="pct"/>
            <w:tcBorders>
              <w:top w:val="single" w:color="auto" w:sz="6" w:space="0"/>
            </w:tcBorders>
            <w:vAlign w:val="center"/>
          </w:tcPr>
          <w:p w14:paraId="06A5C66C">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说明与要求</w:t>
            </w:r>
          </w:p>
        </w:tc>
      </w:tr>
      <w:tr w14:paraId="1842E0A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158E108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268" w:type="pct"/>
            <w:vAlign w:val="center"/>
          </w:tcPr>
          <w:p w14:paraId="061C3E18">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762" w:type="pct"/>
            <w:vAlign w:val="center"/>
          </w:tcPr>
          <w:p w14:paraId="0486E3A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w:t>
            </w:r>
          </w:p>
        </w:tc>
        <w:tc>
          <w:tcPr>
            <w:tcW w:w="3401" w:type="pct"/>
            <w:vAlign w:val="center"/>
          </w:tcPr>
          <w:p w14:paraId="45D85BB4">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江苏省广电有线信息网络股份有限公司，以下简称“采购人”</w:t>
            </w:r>
          </w:p>
        </w:tc>
      </w:tr>
      <w:tr w14:paraId="40213C9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58B165D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268" w:type="pct"/>
            <w:vAlign w:val="center"/>
          </w:tcPr>
          <w:p w14:paraId="289C0C7F">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762" w:type="pct"/>
            <w:vAlign w:val="center"/>
          </w:tcPr>
          <w:p w14:paraId="05982A80">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代理机构</w:t>
            </w:r>
          </w:p>
        </w:tc>
        <w:tc>
          <w:tcPr>
            <w:tcW w:w="3401" w:type="pct"/>
            <w:vAlign w:val="center"/>
          </w:tcPr>
          <w:p w14:paraId="39A3131E">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本项目无代理机构</w:t>
            </w:r>
          </w:p>
        </w:tc>
      </w:tr>
      <w:tr w14:paraId="15A1C8F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566" w:type="pct"/>
            <w:vAlign w:val="center"/>
          </w:tcPr>
          <w:p w14:paraId="561E4CC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268" w:type="pct"/>
            <w:vAlign w:val="center"/>
          </w:tcPr>
          <w:p w14:paraId="6373C1DC">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762" w:type="pct"/>
            <w:vAlign w:val="center"/>
          </w:tcPr>
          <w:p w14:paraId="6AE0F9C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合格的供应商</w:t>
            </w:r>
          </w:p>
        </w:tc>
        <w:tc>
          <w:tcPr>
            <w:tcW w:w="3401" w:type="pct"/>
            <w:vAlign w:val="center"/>
          </w:tcPr>
          <w:p w14:paraId="53DB0D80">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753EE8E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7AA82B15">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268" w:type="pct"/>
            <w:vAlign w:val="center"/>
          </w:tcPr>
          <w:p w14:paraId="2089C608">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20.1</w:t>
            </w:r>
          </w:p>
        </w:tc>
        <w:tc>
          <w:tcPr>
            <w:tcW w:w="762" w:type="pct"/>
            <w:vAlign w:val="center"/>
          </w:tcPr>
          <w:p w14:paraId="607EEF0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保密</w:t>
            </w:r>
          </w:p>
        </w:tc>
        <w:tc>
          <w:tcPr>
            <w:tcW w:w="3401" w:type="pct"/>
            <w:vAlign w:val="center"/>
          </w:tcPr>
          <w:p w14:paraId="00A5D73D">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供应商在参与本项目中，对于采购人披露和提供的所有信息应作为商业秘密对待并予以保护，未经采购人授权不得将任何信息泄漏给第三方，否则采购人有权追究供应商的责任。</w:t>
            </w:r>
          </w:p>
        </w:tc>
      </w:tr>
      <w:tr w14:paraId="330424E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097979B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268" w:type="pct"/>
            <w:vAlign w:val="center"/>
          </w:tcPr>
          <w:p w14:paraId="143EAB9C">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14:paraId="434A4282">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762" w:type="pct"/>
            <w:vAlign w:val="center"/>
          </w:tcPr>
          <w:p w14:paraId="12E64FF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经第三方审计的财务报表</w:t>
            </w:r>
          </w:p>
        </w:tc>
        <w:tc>
          <w:tcPr>
            <w:tcW w:w="3401" w:type="pct"/>
            <w:vAlign w:val="center"/>
          </w:tcPr>
          <w:p w14:paraId="28968F4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53DF7B8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4108D15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c>
          <w:tcPr>
            <w:tcW w:w="268" w:type="pct"/>
            <w:vAlign w:val="center"/>
          </w:tcPr>
          <w:p w14:paraId="0A54CB0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14:paraId="71FCC69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762" w:type="pct"/>
            <w:vAlign w:val="center"/>
          </w:tcPr>
          <w:p w14:paraId="095C92C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响应文件的技术部分中必须包括的内容</w:t>
            </w:r>
          </w:p>
        </w:tc>
        <w:tc>
          <w:tcPr>
            <w:tcW w:w="3401" w:type="pct"/>
          </w:tcPr>
          <w:p w14:paraId="3F7703F4">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对第五章《技术需求书》的逐项应答，逐项应答必须按照服务偏离表格式，对照竞争性谈判文件需求，依据供应商本身服务，如实逐条说明所提供产品及</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435A512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3F94079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c>
          <w:tcPr>
            <w:tcW w:w="268" w:type="pct"/>
            <w:vAlign w:val="center"/>
          </w:tcPr>
          <w:p w14:paraId="2CF35816">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14:paraId="0E871AF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762" w:type="pct"/>
            <w:vAlign w:val="center"/>
          </w:tcPr>
          <w:p w14:paraId="70230AF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合同文本的提供</w:t>
            </w:r>
          </w:p>
        </w:tc>
        <w:tc>
          <w:tcPr>
            <w:tcW w:w="3401" w:type="pct"/>
            <w:vAlign w:val="center"/>
          </w:tcPr>
          <w:p w14:paraId="0B688245">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551FCFD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7AE74470">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c>
          <w:tcPr>
            <w:tcW w:w="268" w:type="pct"/>
            <w:vAlign w:val="center"/>
          </w:tcPr>
          <w:p w14:paraId="15397AA5">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8.1</w:t>
            </w:r>
          </w:p>
        </w:tc>
        <w:tc>
          <w:tcPr>
            <w:tcW w:w="762" w:type="pct"/>
            <w:vAlign w:val="center"/>
          </w:tcPr>
          <w:p w14:paraId="5922CC7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响应文件的式样和签署</w:t>
            </w:r>
          </w:p>
        </w:tc>
        <w:tc>
          <w:tcPr>
            <w:tcW w:w="3401" w:type="pct"/>
            <w:vAlign w:val="center"/>
          </w:tcPr>
          <w:p w14:paraId="270A670B">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响应文件一式3份（</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份正本、2份副本），电子版本一份（电子版文件内容必须可搜索，U盘形式）。</w:t>
            </w:r>
          </w:p>
        </w:tc>
      </w:tr>
      <w:tr w14:paraId="5EBE9FB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407613F9">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w:t>
            </w:r>
          </w:p>
        </w:tc>
        <w:tc>
          <w:tcPr>
            <w:tcW w:w="268" w:type="pct"/>
            <w:vAlign w:val="center"/>
          </w:tcPr>
          <w:p w14:paraId="0CE9044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9.1</w:t>
            </w:r>
          </w:p>
        </w:tc>
        <w:tc>
          <w:tcPr>
            <w:tcW w:w="762" w:type="pct"/>
            <w:vAlign w:val="center"/>
          </w:tcPr>
          <w:p w14:paraId="625538C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w:t>
            </w:r>
          </w:p>
        </w:tc>
        <w:tc>
          <w:tcPr>
            <w:tcW w:w="3401" w:type="pct"/>
            <w:vAlign w:val="center"/>
          </w:tcPr>
          <w:p w14:paraId="7A704491">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40036ECE">
            <w:r>
              <w:rPr>
                <w:rFonts w:hint="eastAsia"/>
                <w:color w:val="000000" w:themeColor="text1"/>
                <w:sz w:val="24"/>
                <w14:textFill>
                  <w14:solidFill>
                    <w14:schemeClr w14:val="tx1"/>
                  </w14:solidFill>
                </w14:textFill>
              </w:rPr>
              <w:t>供应商必须保证所提供的服务能够完全满足采购人的项目建设需求，并充分考虑到采购人的售后服务需求。</w:t>
            </w:r>
          </w:p>
        </w:tc>
      </w:tr>
      <w:tr w14:paraId="0BEA0FA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52010E6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w:t>
            </w:r>
          </w:p>
        </w:tc>
        <w:tc>
          <w:tcPr>
            <w:tcW w:w="268" w:type="pct"/>
            <w:vAlign w:val="center"/>
          </w:tcPr>
          <w:p w14:paraId="0D91B194">
            <w:pPr>
              <w:jc w:val="center"/>
              <w:rPr>
                <w:bCs/>
                <w:color w:val="000000" w:themeColor="text1"/>
                <w:kern w:val="44"/>
                <w:sz w:val="24"/>
                <w14:textFill>
                  <w14:solidFill>
                    <w14:schemeClr w14:val="tx1"/>
                  </w14:solidFill>
                </w14:textFill>
              </w:rPr>
            </w:pPr>
          </w:p>
        </w:tc>
        <w:tc>
          <w:tcPr>
            <w:tcW w:w="762" w:type="pct"/>
            <w:vAlign w:val="center"/>
          </w:tcPr>
          <w:p w14:paraId="2956246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响应文件的盖章或签字</w:t>
            </w:r>
          </w:p>
        </w:tc>
        <w:tc>
          <w:tcPr>
            <w:tcW w:w="3401" w:type="pct"/>
            <w:vAlign w:val="center"/>
          </w:tcPr>
          <w:p w14:paraId="68C04323">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本条款增加规定：</w:t>
            </w:r>
          </w:p>
          <w:p w14:paraId="32DC71E1">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（1）竞争性谈判文件第六章“响应文件格式”中有单位名称和法定代表人或其委托代理人签字落款的响应文件必须加盖单位公章。</w:t>
            </w:r>
          </w:p>
          <w:p w14:paraId="4E098840">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（2）除上述文件以外的其他响应文件组成部分必须加盖骑缝章（骑缝章必须覆盖所有响应文件），或由法定代表人或其委托代理人逐页手签。</w:t>
            </w:r>
          </w:p>
          <w:p w14:paraId="5EBCCBFA">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响应文件中所有标注“盖章”处均指单位公章，不能以“业务章”、“专用章”、“合同章”等代替；如确需要替代，则必须附公章对“业务章”、“专用章”、“合同章”等的授权（格式自制，且正本中必须附原件）</w:t>
            </w:r>
          </w:p>
        </w:tc>
      </w:tr>
      <w:tr w14:paraId="566A907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2D67981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268" w:type="pct"/>
            <w:vAlign w:val="center"/>
          </w:tcPr>
          <w:p w14:paraId="7A419D90">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10.1</w:t>
            </w:r>
          </w:p>
        </w:tc>
        <w:tc>
          <w:tcPr>
            <w:tcW w:w="762" w:type="pct"/>
            <w:vAlign w:val="center"/>
          </w:tcPr>
          <w:p w14:paraId="424691E7">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响应有效期</w:t>
            </w:r>
          </w:p>
        </w:tc>
        <w:tc>
          <w:tcPr>
            <w:tcW w:w="3401" w:type="pct"/>
            <w:vAlign w:val="center"/>
          </w:tcPr>
          <w:p w14:paraId="285816A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供应商递交的响应文件应在规定的递交响应文件截止日后的</w:t>
            </w:r>
            <w:r>
              <w:rPr>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天内保持有效。</w:t>
            </w:r>
          </w:p>
        </w:tc>
      </w:tr>
      <w:tr w14:paraId="07DC020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5134DFC0">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268" w:type="pct"/>
            <w:vAlign w:val="center"/>
          </w:tcPr>
          <w:p w14:paraId="74789D4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12.1</w:t>
            </w:r>
          </w:p>
        </w:tc>
        <w:tc>
          <w:tcPr>
            <w:tcW w:w="762" w:type="pct"/>
            <w:vAlign w:val="center"/>
          </w:tcPr>
          <w:p w14:paraId="523635B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递交响应文件截止时间</w:t>
            </w:r>
          </w:p>
        </w:tc>
        <w:tc>
          <w:tcPr>
            <w:tcW w:w="3401" w:type="pct"/>
            <w:vAlign w:val="center"/>
          </w:tcPr>
          <w:p w14:paraId="04B75246">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7FE871E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566" w:type="pct"/>
            <w:vAlign w:val="center"/>
          </w:tcPr>
          <w:p w14:paraId="1E467BAB">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268" w:type="pct"/>
            <w:vAlign w:val="center"/>
          </w:tcPr>
          <w:p w14:paraId="110320A5">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12.1</w:t>
            </w:r>
          </w:p>
        </w:tc>
        <w:tc>
          <w:tcPr>
            <w:tcW w:w="762" w:type="pct"/>
            <w:vAlign w:val="center"/>
          </w:tcPr>
          <w:p w14:paraId="4008256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递交响应文件地点</w:t>
            </w:r>
          </w:p>
        </w:tc>
        <w:tc>
          <w:tcPr>
            <w:tcW w:w="3401" w:type="pct"/>
            <w:vAlign w:val="center"/>
          </w:tcPr>
          <w:p w14:paraId="138F6A29">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566D287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66" w:type="pct"/>
            <w:vAlign w:val="center"/>
          </w:tcPr>
          <w:p w14:paraId="1366579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14</w:t>
            </w:r>
          </w:p>
        </w:tc>
        <w:tc>
          <w:tcPr>
            <w:tcW w:w="268" w:type="pct"/>
            <w:vAlign w:val="center"/>
          </w:tcPr>
          <w:p w14:paraId="583A862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17.5</w:t>
            </w:r>
          </w:p>
        </w:tc>
        <w:tc>
          <w:tcPr>
            <w:tcW w:w="762" w:type="pct"/>
            <w:vAlign w:val="center"/>
          </w:tcPr>
          <w:p w14:paraId="58389720">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如发现下列情况之一的，其响应文件将可能被拒绝</w:t>
            </w:r>
          </w:p>
        </w:tc>
        <w:tc>
          <w:tcPr>
            <w:tcW w:w="3401" w:type="pct"/>
            <w:vAlign w:val="center"/>
          </w:tcPr>
          <w:p w14:paraId="0E0A7920">
            <w:pP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）不满足竞争性谈判文件对合格供应商的基本资质要求的；</w:t>
            </w:r>
          </w:p>
          <w:p w14:paraId="42D57394">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2）供应商在响应文件中提供的服务内容及质量不能实质性满足竞争性谈判文件“</w:t>
            </w:r>
            <w:r>
              <w:rPr>
                <w:rFonts w:ascii="Segoe UI Symbol" w:hAnsi="Segoe UI Symbol" w:cs="Segoe UI Symbol"/>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”号条款要求或不能提供实质性满足证明的；</w:t>
            </w:r>
          </w:p>
          <w:p w14:paraId="11BFBC07">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3）供应商在响应文件中对于第四章《合同格式》有任何负偏离的；</w:t>
            </w:r>
          </w:p>
          <w:p w14:paraId="039D020F">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4）响应函、法人代表授权书不按照第六章《附件》的格式提供的；</w:t>
            </w:r>
          </w:p>
          <w:p w14:paraId="39649EB0">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5）资格证明文件不全、失效或不符合竞争性谈判文件要求的；</w:t>
            </w:r>
          </w:p>
          <w:p w14:paraId="6428AA57">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6）响应文件无法定代表人签字，或签字人无法定代表人有效授权的；</w:t>
            </w:r>
          </w:p>
          <w:p w14:paraId="071BB4B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7）响应文件或响应有效期不足的；</w:t>
            </w:r>
          </w:p>
          <w:p w14:paraId="4CF13DB4">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8）报价超过本项目最高限价的；</w:t>
            </w:r>
          </w:p>
          <w:p w14:paraId="5DD8FF13">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9）响应文件中提供虚假或失实资料的；</w:t>
            </w:r>
          </w:p>
          <w:p w14:paraId="68BE7030">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10）未按照竞争性谈判文件规定的方式领取竞争性谈判文件并按要求递交响应文件的；</w:t>
            </w:r>
          </w:p>
          <w:p w14:paraId="6CE2DE0A">
            <w:pP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1）评审委员会认为不能实质上满足竞争性谈判文件其它要求的。</w:t>
            </w:r>
          </w:p>
        </w:tc>
      </w:tr>
      <w:tr w14:paraId="6E599E6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66" w:type="pct"/>
            <w:vAlign w:val="center"/>
          </w:tcPr>
          <w:p w14:paraId="34B5F00A">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w:t>
            </w:r>
          </w:p>
        </w:tc>
        <w:tc>
          <w:tcPr>
            <w:tcW w:w="268" w:type="pct"/>
            <w:vAlign w:val="center"/>
          </w:tcPr>
          <w:p w14:paraId="42C679D0">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19</w:t>
            </w:r>
          </w:p>
        </w:tc>
        <w:tc>
          <w:tcPr>
            <w:tcW w:w="762" w:type="pct"/>
            <w:vAlign w:val="center"/>
          </w:tcPr>
          <w:p w14:paraId="533BF3A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评审</w:t>
            </w:r>
          </w:p>
        </w:tc>
        <w:tc>
          <w:tcPr>
            <w:tcW w:w="3401" w:type="pct"/>
            <w:vAlign w:val="center"/>
          </w:tcPr>
          <w:p w14:paraId="3DFF5EBB">
            <w:pP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）供应商的法定代表人或其授权代理应按采购人规定的时间到指定的地点，与评审委员会进行谈判并对评审委员会提出的问题作出澄清和答复；</w:t>
            </w:r>
          </w:p>
          <w:p w14:paraId="08E1F897">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600A655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09DF7695">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5CD4E4C7">
            <w:pPr>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）评审委员会就服务、合同内容和供应商报价进行谈判，谈判后将根据综合评估结果，对供应商按综合得分从高到低排序。</w:t>
            </w:r>
          </w:p>
        </w:tc>
      </w:tr>
      <w:tr w14:paraId="21A368E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566" w:type="pct"/>
            <w:vAlign w:val="center"/>
          </w:tcPr>
          <w:p w14:paraId="7F1EB5C6">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16</w:t>
            </w:r>
          </w:p>
        </w:tc>
        <w:tc>
          <w:tcPr>
            <w:tcW w:w="268" w:type="pct"/>
            <w:vAlign w:val="center"/>
          </w:tcPr>
          <w:p w14:paraId="58305D8C">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22.1</w:t>
            </w:r>
          </w:p>
        </w:tc>
        <w:tc>
          <w:tcPr>
            <w:tcW w:w="762" w:type="pct"/>
            <w:vAlign w:val="center"/>
          </w:tcPr>
          <w:p w14:paraId="52819DFF">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成交</w:t>
            </w:r>
          </w:p>
          <w:p w14:paraId="51972D2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供应商数量</w:t>
            </w:r>
          </w:p>
        </w:tc>
        <w:tc>
          <w:tcPr>
            <w:tcW w:w="3401" w:type="pct"/>
            <w:vAlign w:val="center"/>
          </w:tcPr>
          <w:p w14:paraId="2FAD2CFB">
            <w:pPr>
              <w:rPr>
                <w:b/>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名成交供应商。</w:t>
            </w:r>
          </w:p>
        </w:tc>
      </w:tr>
      <w:tr w14:paraId="104C913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566" w:type="pct"/>
            <w:vAlign w:val="center"/>
          </w:tcPr>
          <w:p w14:paraId="14FC7050">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w:t>
            </w:r>
          </w:p>
        </w:tc>
        <w:tc>
          <w:tcPr>
            <w:tcW w:w="268" w:type="pct"/>
            <w:vAlign w:val="center"/>
          </w:tcPr>
          <w:p w14:paraId="336D7359">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24</w:t>
            </w:r>
          </w:p>
        </w:tc>
        <w:tc>
          <w:tcPr>
            <w:tcW w:w="762" w:type="pct"/>
            <w:vAlign w:val="center"/>
          </w:tcPr>
          <w:p w14:paraId="08EEDF59">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签约</w:t>
            </w:r>
          </w:p>
        </w:tc>
        <w:tc>
          <w:tcPr>
            <w:tcW w:w="3401" w:type="pct"/>
            <w:vAlign w:val="center"/>
          </w:tcPr>
          <w:p w14:paraId="4EFB0DC8">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采购人与本次成交供应商按本竞争性谈判文件第四章合同格式签订合同。</w:t>
            </w:r>
          </w:p>
        </w:tc>
      </w:tr>
      <w:tr w14:paraId="74187B6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566" w:type="pct"/>
            <w:shd w:val="clear" w:color="auto" w:fill="auto"/>
            <w:vAlign w:val="center"/>
          </w:tcPr>
          <w:p w14:paraId="646ACEFA">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18</w:t>
            </w:r>
          </w:p>
        </w:tc>
        <w:tc>
          <w:tcPr>
            <w:tcW w:w="268" w:type="pct"/>
            <w:shd w:val="clear" w:color="auto" w:fill="auto"/>
            <w:vAlign w:val="center"/>
          </w:tcPr>
          <w:p w14:paraId="70934647">
            <w:pPr>
              <w:ind w:firstLine="480"/>
              <w:jc w:val="center"/>
              <w:rPr>
                <w:color w:val="000000" w:themeColor="text1"/>
                <w:sz w:val="24"/>
                <w14:textFill>
                  <w14:solidFill>
                    <w14:schemeClr w14:val="tx1"/>
                  </w14:solidFill>
                </w14:textFill>
              </w:rPr>
            </w:pPr>
          </w:p>
        </w:tc>
        <w:tc>
          <w:tcPr>
            <w:tcW w:w="762" w:type="pct"/>
            <w:shd w:val="clear" w:color="auto" w:fill="auto"/>
            <w:vAlign w:val="center"/>
          </w:tcPr>
          <w:p w14:paraId="5CFBFC7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★送样和检测</w:t>
            </w:r>
          </w:p>
        </w:tc>
        <w:tc>
          <w:tcPr>
            <w:tcW w:w="3401" w:type="pct"/>
            <w:shd w:val="clear" w:color="auto" w:fill="auto"/>
            <w:vAlign w:val="center"/>
          </w:tcPr>
          <w:p w14:paraId="4A123A6D">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中标产品标后测试：</w:t>
            </w:r>
          </w:p>
          <w:p w14:paraId="38583A78">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与中标供应商签订合同且产品到货部署完毕后，采购人组织测试工作，测试项全部满足则视为测试通过</w:t>
            </w:r>
          </w:p>
          <w:p w14:paraId="2BC7E363">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设备到货一周内，中标供应商须完成产品规划、安装、布线、压测等上线前准备工作，并立即向采购人申请中标后测试。测试内容有一项未满足的，或中标供应商未及时申请中标后测试，或未及时配合采购人完成测试工作且未给出合理理由的，视为测试不通过（详见技术需求书）；</w:t>
            </w:r>
          </w:p>
          <w:p w14:paraId="2E6B25FB">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）若测试未通过则视为中标供应商合同违约，采购人有权解除合同并按照合同的相关条款追究中标供应商责任。</w:t>
            </w:r>
          </w:p>
          <w:p w14:paraId="5F9CDFEE">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）测试依据：技术需求书及投标文件；</w:t>
            </w:r>
          </w:p>
          <w:p w14:paraId="20478DD2">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）送检时间、地点、联系人，中标结果公示无异议后统一通知。</w:t>
            </w:r>
          </w:p>
        </w:tc>
      </w:tr>
    </w:tbl>
    <w:p w14:paraId="6A429DD1">
      <w:pPr>
        <w:spacing w:before="312" w:after="312"/>
        <w:ind w:firstLine="484" w:firstLineChars="202"/>
        <w:rPr>
          <w:color w:val="000000" w:themeColor="text1"/>
          <w:sz w:val="24"/>
          <w14:textFill>
            <w14:solidFill>
              <w14:schemeClr w14:val="tx1"/>
            </w14:solidFill>
          </w14:textFill>
        </w:rPr>
      </w:pPr>
    </w:p>
    <w:p w14:paraId="18AD49BF">
      <w:pPr>
        <w:widowControl/>
        <w:spacing w:before="312" w:after="312"/>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4AF2F0AA">
      <w:pPr>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供应商须知</w:t>
      </w:r>
    </w:p>
    <w:p w14:paraId="65078026">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一、说明</w:t>
      </w:r>
    </w:p>
    <w:p w14:paraId="6BCC1C3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采购人及合格的供应商</w:t>
      </w:r>
    </w:p>
    <w:p w14:paraId="1062CE0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 </w:t>
      </w:r>
      <w:r>
        <w:rPr>
          <w:rFonts w:hint="eastAsia" w:ascii="宋体" w:hAnsi="宋体"/>
          <w:color w:val="000000" w:themeColor="text1"/>
          <w:sz w:val="24"/>
          <w14:textFill>
            <w14:solidFill>
              <w14:schemeClr w14:val="tx1"/>
            </w14:solidFill>
          </w14:textFill>
        </w:rPr>
        <w:t>采购人是指国内采购产品的国家机关、企业、事业单位或其它组织。本项目采购人（详见《供应商须知前附表》）。</w:t>
      </w:r>
    </w:p>
    <w:p w14:paraId="3986EC5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合格的供应商（详见《供应商须知前附表》）。</w:t>
      </w:r>
    </w:p>
    <w:p w14:paraId="08257A8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费用</w:t>
      </w:r>
    </w:p>
    <w:p w14:paraId="20D989D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供应商应承担所有与准备和参加竞争有关的费用。不论结果如何，采购人均无义务和责任承担这些费用。</w:t>
      </w:r>
    </w:p>
    <w:p w14:paraId="5489FB49">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二、竞争性谈判文件</w:t>
      </w:r>
    </w:p>
    <w:p w14:paraId="4C79F4DD">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竞争性谈判文件构成</w:t>
      </w:r>
    </w:p>
    <w:p w14:paraId="7DB397D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14:textFill>
            <w14:solidFill>
              <w14:schemeClr w14:val="tx1"/>
            </w14:solidFill>
          </w14:textFill>
        </w:rPr>
        <w:t>竞争性谈判文件共六章，内容如下：</w:t>
      </w:r>
    </w:p>
    <w:p w14:paraId="6DD570AA">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第一章竞争性谈判</w:t>
      </w:r>
      <w:r>
        <w:rPr>
          <w:rFonts w:ascii="宋体" w:hAnsi="宋体"/>
          <w:color w:val="000000" w:themeColor="text1"/>
          <w:sz w:val="24"/>
          <w14:textFill>
            <w14:solidFill>
              <w14:schemeClr w14:val="tx1"/>
            </w14:solidFill>
          </w14:textFill>
        </w:rPr>
        <w:t>公告</w:t>
      </w:r>
    </w:p>
    <w:p w14:paraId="30502E4F">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第二章竞争性谈判须知</w:t>
      </w:r>
    </w:p>
    <w:p w14:paraId="0F0D4C9E">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第三章评审办法</w:t>
      </w:r>
    </w:p>
    <w:p w14:paraId="0C40FA8E">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第四章合同格式</w:t>
      </w:r>
    </w:p>
    <w:p w14:paraId="33D8D30F">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第五章技术需求书</w:t>
      </w:r>
    </w:p>
    <w:p w14:paraId="2025A624">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第六章竞争性谈判响应文件格式</w:t>
      </w:r>
    </w:p>
    <w:p w14:paraId="5F6375B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14:textFill>
            <w14:solidFill>
              <w14:schemeClr w14:val="tx1"/>
            </w14:solidFill>
          </w14:textFill>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05A6CD2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竞争性谈判文件的澄清</w:t>
      </w:r>
    </w:p>
    <w:p w14:paraId="6B18764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4.1 </w:t>
      </w:r>
      <w:r>
        <w:rPr>
          <w:rFonts w:hint="eastAsia" w:ascii="宋体" w:hAnsi="宋体"/>
          <w:color w:val="000000" w:themeColor="text1"/>
          <w:sz w:val="24"/>
          <w14:textFill>
            <w14:solidFill>
              <w14:schemeClr w14:val="tx1"/>
            </w14:solidFill>
          </w14:textFill>
        </w:rPr>
        <w:t>任何要求对竞争性谈判文件进行澄清的供应商，均应按规定的递交响应文件截止期五（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）天前以书面形式通知采购人。逾期的澄清要求将不被接受。</w:t>
      </w:r>
    </w:p>
    <w:p w14:paraId="247E755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竞争性谈判文件的修改</w:t>
      </w:r>
    </w:p>
    <w:p w14:paraId="22681B5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5.1</w:t>
      </w:r>
      <w:r>
        <w:rPr>
          <w:rFonts w:hint="eastAsia" w:ascii="宋体" w:hAnsi="宋体"/>
          <w:color w:val="000000" w:themeColor="text1"/>
          <w:sz w:val="24"/>
          <w14:textFill>
            <w14:solidFill>
              <w14:schemeClr w14:val="tx1"/>
            </w14:solidFill>
          </w14:textFill>
        </w:rPr>
        <w:t>为使供应商准备响应文件时有充分时间对竞争性谈判文件的修改部分进行研究，采购人可自行决定是否延长递交响应文件截止时间。</w:t>
      </w:r>
    </w:p>
    <w:p w14:paraId="0EECB95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5.2 </w:t>
      </w:r>
      <w:r>
        <w:rPr>
          <w:rFonts w:hint="eastAsia" w:ascii="宋体" w:hAnsi="宋体"/>
          <w:color w:val="000000" w:themeColor="text1"/>
          <w:sz w:val="24"/>
          <w14:textFill>
            <w14:solidFill>
              <w14:schemeClr w14:val="tx1"/>
            </w14:solidFill>
          </w14:textFill>
        </w:rPr>
        <w:t>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）天以前的任何时候，无论出于何种原因，采购人可主动地或在解答供应商提出的澄清问题时对竞争性谈判文件进行修改。</w:t>
      </w:r>
    </w:p>
    <w:p w14:paraId="2A8DDF1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5.3 </w:t>
      </w:r>
      <w:r>
        <w:rPr>
          <w:rFonts w:hint="eastAsia" w:ascii="宋体" w:hAnsi="宋体"/>
          <w:color w:val="000000" w:themeColor="text1"/>
          <w:sz w:val="24"/>
          <w14:textFill>
            <w14:solidFill>
              <w14:schemeClr w14:val="tx1"/>
            </w14:solidFill>
          </w14:textFill>
        </w:rPr>
        <w:t>竞争性谈判文件的修改将以书面形式在递交响应文件截止时间（包含延长了的递交响应文件截止时间）五（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）天前通知参与竞争性谈判的供应商，并对其具有约束力。供应商在收到上述通知后，应立即向采购人回函确认已收到上述通知，但是供应商的回函不作为其收到上述通知的唯一证据。</w:t>
      </w:r>
    </w:p>
    <w:p w14:paraId="1FB47BEE">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三、响应文件的编制</w:t>
      </w:r>
    </w:p>
    <w:p w14:paraId="6A0315A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响应文件的语言</w:t>
      </w:r>
    </w:p>
    <w:p w14:paraId="136195D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 </w:t>
      </w:r>
      <w:r>
        <w:rPr>
          <w:rFonts w:hint="eastAsia" w:ascii="宋体" w:hAnsi="宋体"/>
          <w:color w:val="000000" w:themeColor="text1"/>
          <w:sz w:val="24"/>
          <w14:textFill>
            <w14:solidFill>
              <w14:schemeClr w14:val="tx1"/>
            </w14:solidFill>
          </w14:textFill>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21BEE0A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响应文件构成</w:t>
      </w:r>
    </w:p>
    <w:p w14:paraId="32BC53C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7.1 </w:t>
      </w:r>
      <w:r>
        <w:rPr>
          <w:rFonts w:hint="eastAsia" w:ascii="宋体" w:hAnsi="宋体"/>
          <w:color w:val="000000" w:themeColor="text1"/>
          <w:sz w:val="24"/>
          <w14:textFill>
            <w14:solidFill>
              <w14:schemeClr w14:val="tx1"/>
            </w14:solidFill>
          </w14:textFill>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或服务的合格性和符合竞争性谈判文件规定的文件；竞争性谈判文件要求的其它文件；供应商认为其它需提供的文件。</w:t>
      </w:r>
    </w:p>
    <w:p w14:paraId="7DE8056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）响应文件基本文件</w:t>
      </w:r>
    </w:p>
    <w:p w14:paraId="49258057">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项目方案</w:t>
      </w:r>
    </w:p>
    <w:p w14:paraId="3EB95DC0">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响应函（格式见附件）</w:t>
      </w:r>
    </w:p>
    <w:p w14:paraId="684E67EA">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报价表（格式见附件）</w:t>
      </w:r>
    </w:p>
    <w:p w14:paraId="22F55BB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）供应商提交的证明其合格且中选后有能力履行合同的资格证明文件（详见《竞争性谈判公告》）以及供应商认为需提供的其它文件和证书</w:t>
      </w:r>
    </w:p>
    <w:p w14:paraId="39CB6D6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）证明供应商所提供的产品及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4C316CB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）竞争性谈判文件要求的其它内容和文件</w:t>
      </w:r>
    </w:p>
    <w:p w14:paraId="1F24E0A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）供应商认为其它需提供的文件或证书</w:t>
      </w:r>
    </w:p>
    <w:p w14:paraId="64CB52A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6）合同文本的提供（详见《供应商须知前附表》）</w:t>
      </w:r>
    </w:p>
    <w:p w14:paraId="672E2D9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7.2 </w:t>
      </w:r>
      <w:r>
        <w:rPr>
          <w:rFonts w:hint="eastAsia" w:ascii="宋体" w:hAnsi="宋体"/>
          <w:color w:val="000000" w:themeColor="text1"/>
          <w:sz w:val="24"/>
          <w14:textFill>
            <w14:solidFill>
              <w14:schemeClr w14:val="tx1"/>
            </w14:solidFill>
          </w14:textFill>
        </w:rPr>
        <w:t>供应商提供的以上材料必须真实有效，任何一项的虚假将导致其响应文件被拒绝。</w:t>
      </w:r>
    </w:p>
    <w:p w14:paraId="7198467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响应文件的式样和签署（详见《供应商须知前附表》）</w:t>
      </w:r>
    </w:p>
    <w:p w14:paraId="79D4DF35">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8.1 </w:t>
      </w:r>
      <w:r>
        <w:rPr>
          <w:rFonts w:hint="eastAsia" w:ascii="宋体" w:hAnsi="宋体"/>
          <w:color w:val="000000" w:themeColor="text1"/>
          <w:sz w:val="24"/>
          <w14:textFill>
            <w14:solidFill>
              <w14:schemeClr w14:val="tx1"/>
            </w14:solidFill>
          </w14:textFill>
        </w:rPr>
        <w:t>响应文件一式3份（</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份正本、2份副本），电子版本一份。响应文件用中文编写，</w:t>
      </w:r>
      <w:r>
        <w:rPr>
          <w:rFonts w:ascii="宋体" w:hAnsi="宋体"/>
          <w:color w:val="000000" w:themeColor="text1"/>
          <w:sz w:val="24"/>
          <w14:textFill>
            <w14:solidFill>
              <w14:schemeClr w14:val="tx1"/>
            </w14:solidFill>
          </w14:textFill>
        </w:rPr>
        <w:t>A4</w:t>
      </w:r>
      <w:r>
        <w:rPr>
          <w:rFonts w:hint="eastAsia" w:ascii="宋体" w:hAnsi="宋体"/>
          <w:color w:val="000000" w:themeColor="text1"/>
          <w:sz w:val="24"/>
          <w14:textFill>
            <w14:solidFill>
              <w14:schemeClr w14:val="tx1"/>
            </w14:solidFill>
          </w14:textFill>
        </w:rPr>
        <w:t>纸胶装。其中正本必须注明“正本”字样，正、副本及电子版本内容必须保持一致，副本可以用复印件。若正本和副本或电子版本不符，以正本为准。</w:t>
      </w:r>
    </w:p>
    <w:p w14:paraId="7683DE4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8.2 </w:t>
      </w:r>
      <w:r>
        <w:rPr>
          <w:rFonts w:hint="eastAsia" w:ascii="宋体" w:hAnsi="宋体"/>
          <w:color w:val="000000" w:themeColor="text1"/>
          <w:sz w:val="24"/>
          <w14:textFill>
            <w14:solidFill>
              <w14:schemeClr w14:val="tx1"/>
            </w14:solidFill>
          </w14:textFill>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3BF3248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如供应商对竞争性谈判文件个别内容不能接受，应在响应文件中另做声明，否则将视为供应商接受竞争性谈判文件全部内容。</w:t>
      </w:r>
    </w:p>
    <w:p w14:paraId="79CD4E0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8.4 </w:t>
      </w:r>
      <w:r>
        <w:rPr>
          <w:rFonts w:hint="eastAsia" w:ascii="宋体" w:hAnsi="宋体"/>
          <w:color w:val="000000" w:themeColor="text1"/>
          <w:sz w:val="24"/>
          <w14:textFill>
            <w14:solidFill>
              <w14:schemeClr w14:val="tx1"/>
            </w14:solidFill>
          </w14:textFill>
        </w:rPr>
        <w:t>任何对响应文件行间插字、涂改和增删，必须由响应文件签字人签字或盖章后才有效。</w:t>
      </w:r>
    </w:p>
    <w:p w14:paraId="5437F7A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8.5 </w:t>
      </w:r>
      <w:r>
        <w:rPr>
          <w:rFonts w:hint="eastAsia" w:ascii="宋体" w:hAnsi="宋体"/>
          <w:color w:val="000000" w:themeColor="text1"/>
          <w:sz w:val="24"/>
          <w14:textFill>
            <w14:solidFill>
              <w14:schemeClr w14:val="tx1"/>
            </w14:solidFill>
          </w14:textFill>
        </w:rPr>
        <w:t>响应文件因字迹潦草或表达不清所引起的后果由供应商负责。</w:t>
      </w:r>
    </w:p>
    <w:p w14:paraId="0223AA3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报价</w:t>
      </w:r>
    </w:p>
    <w:p w14:paraId="2D46BC5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9.1 </w:t>
      </w:r>
      <w:r>
        <w:rPr>
          <w:rFonts w:hint="eastAsia" w:ascii="宋体" w:hAnsi="宋体"/>
          <w:color w:val="000000" w:themeColor="text1"/>
          <w:sz w:val="24"/>
          <w14:textFill>
            <w14:solidFill>
              <w14:schemeClr w14:val="tx1"/>
            </w14:solidFill>
          </w14:textFill>
        </w:rPr>
        <w:t>报价：人民币报价。供应商应按照竞争性谈判文件要求，在响应文件中报出本项目包含的所有产品和服务的报价（格式见附件）。</w:t>
      </w:r>
    </w:p>
    <w:p w14:paraId="0DB3B80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9.2 </w:t>
      </w:r>
      <w:r>
        <w:rPr>
          <w:rFonts w:hint="eastAsia" w:ascii="宋体" w:hAnsi="宋体"/>
          <w:color w:val="000000" w:themeColor="text1"/>
          <w:sz w:val="24"/>
          <w14:textFill>
            <w14:solidFill>
              <w14:schemeClr w14:val="tx1"/>
            </w14:solidFill>
          </w14:textFill>
        </w:rPr>
        <w:t>供应商的报价包括供应商为完成采购人的项目建设所发生的一切费用（包括全部产品及相关服务）且已包括与所报产品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服务相关的所有税费。供应商估算错误或漏项的风险一律由供应商承担。</w:t>
      </w:r>
    </w:p>
    <w:p w14:paraId="42A71F3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9.3 </w:t>
      </w:r>
      <w:r>
        <w:rPr>
          <w:rFonts w:hint="eastAsia" w:ascii="宋体" w:hAnsi="宋体"/>
          <w:color w:val="000000" w:themeColor="text1"/>
          <w:sz w:val="24"/>
          <w14:textFill>
            <w14:solidFill>
              <w14:schemeClr w14:val="tx1"/>
            </w14:solidFill>
          </w14:textFill>
        </w:rPr>
        <w:t>中选的价格在合同执行过程中是固定不变的，未经采购人许可不得以任何理由予以变更。以可调整或可选择的价格提交的响应文件将作为非响应性文件而予以拒绝。</w:t>
      </w:r>
    </w:p>
    <w:p w14:paraId="206619F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9.4 </w:t>
      </w:r>
      <w:r>
        <w:rPr>
          <w:rFonts w:hint="eastAsia" w:ascii="宋体" w:hAnsi="宋体"/>
          <w:color w:val="000000" w:themeColor="text1"/>
          <w:sz w:val="24"/>
          <w14:textFill>
            <w14:solidFill>
              <w14:schemeClr w14:val="tx1"/>
            </w14:solidFill>
          </w14:textFill>
        </w:rPr>
        <w:t>供应商根据本须知规定将报价分成几部分并按附件格式填写分项报价表，是为了方便采购人对响应文件进行比较，并不限制采购人以上述任何条件订立合同的权利。</w:t>
      </w:r>
    </w:p>
    <w:p w14:paraId="07FED20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 响应有效期（详见《供应商须知前附表》）</w:t>
      </w:r>
    </w:p>
    <w:p w14:paraId="55CD14D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10.1</w:t>
      </w:r>
      <w:r>
        <w:rPr>
          <w:rFonts w:hint="eastAsia" w:ascii="宋体" w:hAnsi="宋体"/>
          <w:color w:val="000000" w:themeColor="text1"/>
          <w:sz w:val="24"/>
          <w14:textFill>
            <w14:solidFill>
              <w14:schemeClr w14:val="tx1"/>
            </w14:solidFill>
          </w14:textFill>
        </w:rPr>
        <w:t>供应商递交的响应文件应在规定的递交响应文件截止日后的</w:t>
      </w:r>
      <w:r>
        <w:rPr>
          <w:rFonts w:ascii="宋体" w:hAnsi="宋体"/>
          <w:color w:val="000000" w:themeColor="text1"/>
          <w:sz w:val="24"/>
          <w14:textFill>
            <w14:solidFill>
              <w14:schemeClr w14:val="tx1"/>
            </w14:solidFill>
          </w14:textFill>
        </w:rPr>
        <w:t>90</w:t>
      </w:r>
      <w:r>
        <w:rPr>
          <w:rFonts w:hint="eastAsia" w:ascii="宋体" w:hAnsi="宋体"/>
          <w:color w:val="000000" w:themeColor="text1"/>
          <w:sz w:val="24"/>
          <w14:textFill>
            <w14:solidFill>
              <w14:schemeClr w14:val="tx1"/>
            </w14:solidFill>
          </w14:textFill>
        </w:rPr>
        <w:t>天内保持有效。有效期不满足要求的响应文件将被视为非响应性文件而予以拒绝。</w:t>
      </w:r>
    </w:p>
    <w:p w14:paraId="37A546F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10.2 </w:t>
      </w:r>
      <w:r>
        <w:rPr>
          <w:rFonts w:hint="eastAsia" w:ascii="宋体" w:hAnsi="宋体"/>
          <w:color w:val="000000" w:themeColor="text1"/>
          <w:sz w:val="24"/>
          <w14:textFill>
            <w14:solidFill>
              <w14:schemeClr w14:val="tx1"/>
            </w14:solidFill>
          </w14:textFill>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5AA01073">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四、响应文件的递交</w:t>
      </w:r>
    </w:p>
    <w:p w14:paraId="49A3F7C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响应文件的密封和标记</w:t>
      </w:r>
    </w:p>
    <w:p w14:paraId="326450C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供应商应将响应文件正本和所有的副本、电子文档分开密封装在单独的信封中，且在信封上标明“正本”、“副本”、“电子文档”字样。</w:t>
      </w:r>
    </w:p>
    <w:p w14:paraId="4D7B957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w:t>
      </w:r>
      <w:r>
        <w:rPr>
          <w:rFonts w:hint="eastAsia" w:ascii="宋体" w:hAnsi="宋体"/>
          <w:color w:val="000000" w:themeColor="text1"/>
          <w:sz w:val="24"/>
          <w14:textFill>
            <w14:solidFill>
              <w14:schemeClr w14:val="tx1"/>
            </w14:solidFill>
          </w14:textFill>
        </w:rPr>
        <w:t>内外层信封均应：</w:t>
      </w:r>
    </w:p>
    <w:p w14:paraId="1921F8C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）标明递交至“</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”中指明的地点。</w:t>
      </w:r>
    </w:p>
    <w:p w14:paraId="4750EDFD">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）注明“</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”中指明的项目名称、编号和“在”之前不得启封的字样，并填入“</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”中规定的日期和时间。</w:t>
      </w:r>
    </w:p>
    <w:p w14:paraId="06C6CFA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内层信封应写明供应商名称和地址，以便若其响应文件被宣布为“迟到”响应文件时，能原封退回。</w:t>
      </w:r>
    </w:p>
    <w:p w14:paraId="14187A0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如果外层信封未按本须知第</w:t>
      </w:r>
      <w:r>
        <w:rPr>
          <w:rFonts w:ascii="宋体" w:hAnsi="宋体"/>
          <w:color w:val="000000" w:themeColor="text1"/>
          <w:sz w:val="24"/>
          <w14:textFill>
            <w14:solidFill>
              <w14:schemeClr w14:val="tx1"/>
            </w14:solidFill>
          </w14:textFill>
        </w:rPr>
        <w:t>12.2</w:t>
      </w:r>
      <w:r>
        <w:rPr>
          <w:rFonts w:hint="eastAsia" w:ascii="宋体" w:hAnsi="宋体"/>
          <w:color w:val="000000" w:themeColor="text1"/>
          <w:sz w:val="24"/>
          <w14:textFill>
            <w14:solidFill>
              <w14:schemeClr w14:val="tx1"/>
            </w14:solidFill>
          </w14:textFill>
        </w:rPr>
        <w:t>条要求加写标记和密封，采购人对误投或过早启封概不负责。</w:t>
      </w:r>
    </w:p>
    <w:p w14:paraId="0A0F3CC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供应商须由其合法的授权人在递交响应文件截止时间之前将响应文件送达采购人并签字确认。供应商须承担因未送达并签字所造成的一切责任。</w:t>
      </w:r>
    </w:p>
    <w:p w14:paraId="059AB7D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递交响应文件截止时间</w:t>
      </w:r>
    </w:p>
    <w:p w14:paraId="1B8C8DE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采购人收到响应文件的时间不迟于（详见《竞争性谈判公告》）</w:t>
      </w:r>
    </w:p>
    <w:p w14:paraId="7A2B962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采购人可以按本须知第</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条规定，通过修改竞争性谈判文件自行决定酌情延长递交响应文件截止时间。在此情况下，采购人和供应商受递交响应文件截止时间制约的所有权利和义务均应延长至新的截止期。</w:t>
      </w:r>
    </w:p>
    <w:p w14:paraId="752B3BF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迟交的响应文件</w:t>
      </w:r>
    </w:p>
    <w:p w14:paraId="16A853C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13.1 </w:t>
      </w:r>
      <w:r>
        <w:rPr>
          <w:rFonts w:hint="eastAsia" w:ascii="宋体" w:hAnsi="宋体"/>
          <w:color w:val="000000" w:themeColor="text1"/>
          <w:sz w:val="24"/>
          <w14:textFill>
            <w14:solidFill>
              <w14:schemeClr w14:val="tx1"/>
            </w14:solidFill>
          </w14:textFill>
        </w:rPr>
        <w:t>采购人将拒绝并原封退回在规定的递交响应文件截止时间后收到的任何响应文件。</w:t>
      </w:r>
    </w:p>
    <w:p w14:paraId="52A2425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响应文件的修改与撤回</w:t>
      </w:r>
    </w:p>
    <w:p w14:paraId="35D90AE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14.1 </w:t>
      </w:r>
      <w:r>
        <w:rPr>
          <w:rFonts w:hint="eastAsia" w:ascii="宋体" w:hAnsi="宋体"/>
          <w:color w:val="000000" w:themeColor="text1"/>
          <w:sz w:val="24"/>
          <w14:textFill>
            <w14:solidFill>
              <w14:schemeClr w14:val="tx1"/>
            </w14:solidFill>
          </w14:textFill>
        </w:rPr>
        <w:t>供应商在递交响应文件后，可以修改或撤回其响应文件，但采购人必须在规定的递交响应文件截止时间之前，收到供应商发出的修改或撤回的书面通知。</w:t>
      </w:r>
    </w:p>
    <w:p w14:paraId="628347C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14.2 </w:t>
      </w:r>
      <w:r>
        <w:rPr>
          <w:rFonts w:hint="eastAsia" w:ascii="宋体" w:hAnsi="宋体"/>
          <w:color w:val="000000" w:themeColor="text1"/>
          <w:sz w:val="24"/>
          <w14:textFill>
            <w14:solidFill>
              <w14:schemeClr w14:val="tx1"/>
            </w14:solidFill>
          </w14:textFill>
        </w:rPr>
        <w:t>供应商的修改或撤回通知应按本须知第</w:t>
      </w: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条规定编制、密封、标记和发送。</w:t>
      </w:r>
    </w:p>
    <w:p w14:paraId="6166A385">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14.3 </w:t>
      </w:r>
      <w:r>
        <w:rPr>
          <w:rFonts w:hint="eastAsia" w:ascii="宋体" w:hAnsi="宋体"/>
          <w:color w:val="000000" w:themeColor="text1"/>
          <w:sz w:val="24"/>
          <w14:textFill>
            <w14:solidFill>
              <w14:schemeClr w14:val="tx1"/>
            </w14:solidFill>
          </w14:textFill>
        </w:rPr>
        <w:t>在递交响应文件截止时间之后，供应商不得对其响应文件做任何修改。</w:t>
      </w:r>
    </w:p>
    <w:p w14:paraId="399BFE8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14.4 </w:t>
      </w:r>
      <w:r>
        <w:rPr>
          <w:rFonts w:hint="eastAsia" w:ascii="宋体" w:hAnsi="宋体"/>
          <w:color w:val="000000" w:themeColor="text1"/>
          <w:sz w:val="24"/>
          <w14:textFill>
            <w14:solidFill>
              <w14:schemeClr w14:val="tx1"/>
            </w14:solidFill>
          </w14:textFill>
        </w:rPr>
        <w:t>从递交响应文件截止时间至供应商在响应函格式中确定的响应有效期之间的这段时间内，供应商不得撤回其响应文件，否则将取消供应商参与本项目资格。</w:t>
      </w:r>
    </w:p>
    <w:p w14:paraId="3081743D">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五、评审</w:t>
      </w:r>
    </w:p>
    <w:p w14:paraId="71551C2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评审委员会</w:t>
      </w:r>
    </w:p>
    <w:p w14:paraId="6925F5C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15.1</w:t>
      </w:r>
      <w:r>
        <w:rPr>
          <w:rFonts w:hint="eastAsia" w:ascii="宋体" w:hAnsi="宋体"/>
          <w:color w:val="000000" w:themeColor="text1"/>
          <w:sz w:val="24"/>
          <w14:textFill>
            <w14:solidFill>
              <w14:schemeClr w14:val="tx1"/>
            </w14:solidFill>
          </w14:textFill>
        </w:rPr>
        <w:t>采购人根据要求组建评审委员会。评审委员会负责整个项目的评审工作。</w:t>
      </w:r>
    </w:p>
    <w:p w14:paraId="7051FB6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响应文件的澄清</w:t>
      </w:r>
    </w:p>
    <w:p w14:paraId="142675C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 </w:t>
      </w:r>
      <w:r>
        <w:rPr>
          <w:rFonts w:hint="eastAsia" w:ascii="宋体" w:hAnsi="宋体"/>
          <w:color w:val="000000" w:themeColor="text1"/>
          <w:sz w:val="24"/>
          <w14:textFill>
            <w14:solidFill>
              <w14:schemeClr w14:val="tx1"/>
            </w14:solidFill>
          </w14:textFill>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2281721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16.2</w:t>
      </w:r>
      <w:r>
        <w:rPr>
          <w:rFonts w:hint="eastAsia" w:ascii="宋体" w:hAnsi="宋体"/>
          <w:color w:val="000000" w:themeColor="text1"/>
          <w:sz w:val="24"/>
          <w14:textFill>
            <w14:solidFill>
              <w14:schemeClr w14:val="tx1"/>
            </w14:solidFill>
          </w14:textFill>
        </w:rPr>
        <w:t>接到评审委员会澄清要求的供应商应派人按评审委员会通知的时间和地点做出书面澄清，书面澄清的内容须由供应商法定代表人或授权代表签署，并作为响应文件的补充部分。</w:t>
      </w:r>
    </w:p>
    <w:p w14:paraId="5B01CC0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16.4 </w:t>
      </w:r>
      <w:r>
        <w:rPr>
          <w:rFonts w:hint="eastAsia" w:ascii="宋体" w:hAnsi="宋体"/>
          <w:color w:val="000000" w:themeColor="text1"/>
          <w:sz w:val="24"/>
          <w14:textFill>
            <w14:solidFill>
              <w14:schemeClr w14:val="tx1"/>
            </w14:solidFill>
          </w14:textFill>
        </w:rPr>
        <w:t>接到评审委员会澄清要求的供应商如未按规定做出澄清，其风险由供应商自行承担。</w:t>
      </w:r>
    </w:p>
    <w:p w14:paraId="6EFDA1F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响应文件的初审</w:t>
      </w:r>
    </w:p>
    <w:p w14:paraId="133BE7D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17.1 </w:t>
      </w:r>
      <w:r>
        <w:rPr>
          <w:rFonts w:hint="eastAsia" w:ascii="宋体" w:hAnsi="宋体"/>
          <w:color w:val="000000" w:themeColor="text1"/>
          <w:sz w:val="24"/>
          <w14:textFill>
            <w14:solidFill>
              <w14:schemeClr w14:val="tx1"/>
            </w14:solidFill>
          </w14:textFill>
        </w:rPr>
        <w:t>评审委员会将初步审查响应文件是否完整、总体编排是否有序、文件签署是否合格、有无计算上的错误等。只有通过初步评审的供应商才能进入资格预审的详细评审。</w:t>
      </w:r>
    </w:p>
    <w:p w14:paraId="7C38D0E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17.2 </w:t>
      </w:r>
      <w:r>
        <w:rPr>
          <w:rFonts w:hint="eastAsia" w:ascii="宋体" w:hAnsi="宋体"/>
          <w:color w:val="000000" w:themeColor="text1"/>
          <w:sz w:val="24"/>
          <w14:textFill>
            <w14:solidFill>
              <w14:schemeClr w14:val="tx1"/>
            </w14:solidFill>
          </w14:textFill>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2AB4276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17.3 </w:t>
      </w:r>
      <w:r>
        <w:rPr>
          <w:rFonts w:hint="eastAsia" w:ascii="宋体" w:hAnsi="宋体"/>
          <w:color w:val="000000" w:themeColor="text1"/>
          <w:sz w:val="24"/>
          <w14:textFill>
            <w14:solidFill>
              <w14:schemeClr w14:val="tx1"/>
            </w14:solidFill>
          </w14:textFill>
        </w:rPr>
        <w:t>对于响应文件中不构成实质性偏差的不正规、不一致或不规则，评审委员会可以接受，但这种接受不能损害或影响任何供应商的相对排序。</w:t>
      </w:r>
    </w:p>
    <w:p w14:paraId="5C589ED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17.4 </w:t>
      </w:r>
      <w:r>
        <w:rPr>
          <w:rFonts w:hint="eastAsia" w:ascii="宋体" w:hAnsi="宋体"/>
          <w:color w:val="000000" w:themeColor="text1"/>
          <w:sz w:val="24"/>
          <w14:textFill>
            <w14:solidFill>
              <w14:schemeClr w14:val="tx1"/>
            </w14:solidFill>
          </w14:textFill>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4ED1903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17.5 </w:t>
      </w:r>
      <w:r>
        <w:rPr>
          <w:rFonts w:hint="eastAsia" w:ascii="宋体" w:hAnsi="宋体"/>
          <w:color w:val="000000" w:themeColor="text1"/>
          <w:sz w:val="24"/>
          <w14:textFill>
            <w14:solidFill>
              <w14:schemeClr w14:val="tx1"/>
            </w14:solidFill>
          </w14:textFill>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5895809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17.6</w:t>
      </w:r>
      <w:r>
        <w:rPr>
          <w:rFonts w:hint="eastAsia" w:ascii="宋体" w:hAnsi="宋体"/>
          <w:color w:val="000000" w:themeColor="text1"/>
          <w:sz w:val="24"/>
          <w14:textFill>
            <w14:solidFill>
              <w14:schemeClr w14:val="tx1"/>
            </w14:solidFill>
          </w14:textFill>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7A73040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17.7 </w:t>
      </w:r>
      <w:r>
        <w:rPr>
          <w:rFonts w:hint="eastAsia" w:ascii="宋体" w:hAnsi="宋体"/>
          <w:color w:val="000000" w:themeColor="text1"/>
          <w:sz w:val="24"/>
          <w14:textFill>
            <w14:solidFill>
              <w14:schemeClr w14:val="tx1"/>
            </w14:solidFill>
          </w14:textFill>
        </w:rPr>
        <w:t>采购人保留对通过初审的供应商进行进一步谈判或议价的权利。</w:t>
      </w:r>
    </w:p>
    <w:bookmarkEnd w:id="7"/>
    <w:bookmarkEnd w:id="8"/>
    <w:bookmarkEnd w:id="9"/>
    <w:p w14:paraId="296FA02C">
      <w:pPr>
        <w:spacing w:line="360" w:lineRule="auto"/>
        <w:rPr>
          <w:rFonts w:hint="eastAsia" w:ascii="宋体" w:hAnsi="宋体"/>
          <w:b/>
          <w:color w:val="000000" w:themeColor="text1"/>
          <w:sz w:val="28"/>
          <w:szCs w:val="28"/>
          <w14:textFill>
            <w14:solidFill>
              <w14:schemeClr w14:val="tx1"/>
            </w14:solidFill>
          </w14:textFill>
        </w:rPr>
      </w:pPr>
      <w:bookmarkStart w:id="10" w:name="_Toc227057922"/>
      <w:bookmarkStart w:id="11" w:name="_Toc226969316"/>
      <w:bookmarkStart w:id="12" w:name="_Toc107822520"/>
      <w:r>
        <w:rPr>
          <w:rFonts w:hint="eastAsia" w:ascii="宋体" w:hAnsi="宋体"/>
          <w:b/>
          <w:color w:val="000000" w:themeColor="text1"/>
          <w:sz w:val="28"/>
          <w:szCs w:val="28"/>
          <w14:textFill>
            <w14:solidFill>
              <w14:schemeClr w14:val="tx1"/>
            </w14:solidFill>
          </w14:textFill>
        </w:rPr>
        <w:t>六、谈判和成交供应商评审</w:t>
      </w:r>
    </w:p>
    <w:p w14:paraId="3A60810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w:t>
      </w:r>
      <w:r>
        <w:rPr>
          <w:rFonts w:hint="eastAsia" w:ascii="宋体" w:hAnsi="宋体"/>
          <w:color w:val="000000" w:themeColor="text1"/>
          <w:sz w:val="24"/>
          <w14:textFill>
            <w14:solidFill>
              <w14:schemeClr w14:val="tx1"/>
            </w14:solidFill>
          </w14:textFill>
        </w:rPr>
        <w:t>谈判</w:t>
      </w:r>
    </w:p>
    <w:p w14:paraId="23433A4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18.1</w:t>
      </w:r>
      <w:r>
        <w:rPr>
          <w:rFonts w:hint="eastAsia" w:ascii="宋体" w:hAnsi="宋体"/>
          <w:color w:val="000000" w:themeColor="text1"/>
          <w:sz w:val="24"/>
          <w14:textFill>
            <w14:solidFill>
              <w14:schemeClr w14:val="tx1"/>
            </w14:solidFill>
          </w14:textFill>
        </w:rPr>
        <w:t>获得谈判资格的供应商应按本须知及谈判通知要求准时参加谈判，并在谈判后按要求提供递交其最终报价和相关承诺，否则将视为在报价有效期内撤回竞争性谈判响应文件，其响应文件将被拒绝。</w:t>
      </w:r>
    </w:p>
    <w:p w14:paraId="65202B0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18.2</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开始时间预计为：递交竞争性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响应文件截止时间后当天（包括法定节假日，具体时间以采购人的通知为准），供应商应提前做好</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准备。</w:t>
      </w:r>
    </w:p>
    <w:p w14:paraId="1E1FBF4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18.3进行</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的各供应商应由其法定代表人或本项目的授权代表作为</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代表，</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过程中可有商务、技术及售后服务等人员（总人数不超过5人）共同参加</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w:t>
      </w:r>
    </w:p>
    <w:p w14:paraId="42FACE4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18.4 </w:t>
      </w:r>
      <w:r>
        <w:rPr>
          <w:rFonts w:hint="eastAsia" w:ascii="宋体" w:hAnsi="宋体"/>
          <w:color w:val="000000" w:themeColor="text1"/>
          <w:sz w:val="24"/>
          <w14:textFill>
            <w14:solidFill>
              <w14:schemeClr w14:val="tx1"/>
            </w14:solidFill>
          </w14:textFill>
        </w:rPr>
        <w:t>评审委员会将与获得谈判资格的各供应商分别进行谈判，谈判内容包括但不限于报价、技术、实施及服务等。在谈判中，谈判的任何一方不得透漏与谈判有关的其它供应商的技术资料、价格和其它信息。</w:t>
      </w:r>
    </w:p>
    <w:p w14:paraId="2AC95E4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18.5 </w:t>
      </w:r>
      <w:r>
        <w:rPr>
          <w:rFonts w:hint="eastAsia" w:ascii="宋体" w:hAnsi="宋体"/>
          <w:color w:val="000000" w:themeColor="text1"/>
          <w:sz w:val="24"/>
          <w14:textFill>
            <w14:solidFill>
              <w14:schemeClr w14:val="tx1"/>
            </w14:solidFill>
          </w14:textFill>
        </w:rPr>
        <w:t>谈判后，参加谈判的供应商应当在规定的时间内按评审委员会的要求递交针对本项目的最终报价和相关承诺。最终报价和相关承诺须由法定代表人或本项目的授权代表签字。</w:t>
      </w:r>
    </w:p>
    <w:p w14:paraId="0A33934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18.6 </w:t>
      </w:r>
      <w:r>
        <w:rPr>
          <w:rFonts w:hint="eastAsia" w:ascii="宋体" w:hAnsi="宋体"/>
          <w:color w:val="000000" w:themeColor="text1"/>
          <w:sz w:val="24"/>
          <w14:textFill>
            <w14:solidFill>
              <w14:schemeClr w14:val="tx1"/>
            </w14:solidFill>
          </w14:textFill>
        </w:rPr>
        <w:t>供应商应将其最终报价和相关承诺的正本一份密封装在一个信封中，信封上标明“项目名称及编号”、“供应商名称和地址”字样，并在规定的时间内递交至采购人。</w:t>
      </w:r>
    </w:p>
    <w:p w14:paraId="77A4F1F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18.7 </w:t>
      </w:r>
      <w:r>
        <w:rPr>
          <w:rFonts w:hint="eastAsia" w:ascii="宋体" w:hAnsi="宋体"/>
          <w:color w:val="000000" w:themeColor="text1"/>
          <w:sz w:val="24"/>
          <w14:textFill>
            <w14:solidFill>
              <w14:schemeClr w14:val="tx1"/>
            </w14:solidFill>
          </w14:textFill>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0DE26F6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19.成交供应商的评审</w:t>
      </w:r>
    </w:p>
    <w:p w14:paraId="42D8E64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19.1 </w:t>
      </w:r>
      <w:r>
        <w:rPr>
          <w:rFonts w:hint="eastAsia" w:ascii="宋体" w:hAnsi="宋体"/>
          <w:color w:val="000000" w:themeColor="text1"/>
          <w:sz w:val="24"/>
          <w14:textFill>
            <w14:solidFill>
              <w14:schemeClr w14:val="tx1"/>
            </w14:solidFill>
          </w14:textFill>
        </w:rPr>
        <w:t>评审委员会将对参加谈判且实质上响应竞争性谈判文件要求的各供应商进行成交供应商的评价和比价。评审的依据为供应商递交的竞争性谈判响应文件和谈判后递交的谈判报价、最终报价及承诺。</w:t>
      </w:r>
    </w:p>
    <w:p w14:paraId="160761E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19.2 </w:t>
      </w:r>
      <w:r>
        <w:rPr>
          <w:rFonts w:hint="eastAsia" w:ascii="宋体" w:hAnsi="宋体"/>
          <w:color w:val="000000" w:themeColor="text1"/>
          <w:sz w:val="24"/>
          <w14:textFill>
            <w14:solidFill>
              <w14:schemeClr w14:val="tx1"/>
            </w14:solidFill>
          </w14:textFill>
        </w:rPr>
        <w:t>谈判后，评审委员会将对参加谈判的供应商进行综合评审，采用综合评审法并考虑以下因素：</w:t>
      </w:r>
    </w:p>
    <w:p w14:paraId="3442A2AC">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注：具体评审办法详见第三章评审办法。</w:t>
      </w:r>
    </w:p>
    <w:p w14:paraId="7B67613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19.3评审委员会将根据综合评估结果，对参加</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且实质上响应竞争性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文件要求的供应商按综合得分排序向采购人推荐本项目的成交供应商候选人。</w:t>
      </w:r>
    </w:p>
    <w:p w14:paraId="48099F2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19.4评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委员会发现</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的报价明显低于其他报价，有可能影响产品质量或者不能诚信履约的，且无法在评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现场合理的时间内提供书面说明并在必要时提交相关证明材料，以证明其报价合理性的，评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委员会认定该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以低于成本报价竞标，其</w:t>
      </w:r>
      <w:r>
        <w:rPr>
          <w:rFonts w:hint="eastAsia" w:ascii="宋体" w:hAnsi="宋体"/>
          <w:color w:val="000000" w:themeColor="text1"/>
          <w:sz w:val="24"/>
          <w14:textFill>
            <w14:solidFill>
              <w14:schemeClr w14:val="tx1"/>
            </w14:solidFill>
          </w14:textFill>
        </w:rPr>
        <w:t>竞争性谈判响应文件</w:t>
      </w:r>
      <w:r>
        <w:rPr>
          <w:rFonts w:ascii="宋体" w:hAnsi="宋体"/>
          <w:color w:val="000000" w:themeColor="text1"/>
          <w:sz w:val="24"/>
          <w14:textFill>
            <w14:solidFill>
              <w14:schemeClr w14:val="tx1"/>
            </w14:solidFill>
          </w14:textFill>
        </w:rPr>
        <w:t>应作为无效处理。</w:t>
      </w:r>
    </w:p>
    <w:p w14:paraId="342B4DBF">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七、保密</w:t>
      </w:r>
    </w:p>
    <w:p w14:paraId="7C52632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与采购人的接触</w:t>
      </w:r>
    </w:p>
    <w:p w14:paraId="7FB326B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20.1</w:t>
      </w:r>
      <w:r>
        <w:rPr>
          <w:rFonts w:hint="eastAsia" w:ascii="宋体" w:hAnsi="宋体"/>
          <w:color w:val="000000" w:themeColor="text1"/>
          <w:sz w:val="24"/>
          <w14:textFill>
            <w14:solidFill>
              <w14:schemeClr w14:val="tx1"/>
            </w14:solidFill>
          </w14:textFill>
        </w:rPr>
        <w:t>除本须知第</w:t>
      </w:r>
      <w:r>
        <w:rPr>
          <w:rFonts w:ascii="宋体" w:hAnsi="宋体"/>
          <w:color w:val="000000" w:themeColor="text1"/>
          <w:sz w:val="24"/>
          <w14:textFill>
            <w14:solidFill>
              <w14:schemeClr w14:val="tx1"/>
            </w14:solidFill>
          </w14:textFill>
        </w:rPr>
        <w:t>17条和第19条规定外，从递交竞争性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响应文件之日起至授予合同期间，供应商不得就与其竞争性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响应文件有关的事项与采购人接触。</w:t>
      </w:r>
    </w:p>
    <w:p w14:paraId="16E1EA7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20.2 </w:t>
      </w:r>
      <w:r>
        <w:rPr>
          <w:rFonts w:hint="eastAsia" w:ascii="宋体" w:hAnsi="宋体"/>
          <w:color w:val="000000" w:themeColor="text1"/>
          <w:sz w:val="24"/>
          <w14:textFill>
            <w14:solidFill>
              <w14:schemeClr w14:val="tx1"/>
            </w14:solidFill>
          </w14:textFill>
        </w:rPr>
        <w:t>供应商试图对评审委员会的评审、比较或授予合同的决定进行影响，都可能导致其响应文件被拒绝。</w:t>
      </w:r>
    </w:p>
    <w:p w14:paraId="73ECADEB">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八、合同的签订</w:t>
      </w:r>
    </w:p>
    <w:p w14:paraId="59D916A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合同的签订（详见《供应商须知前附表》）</w:t>
      </w:r>
    </w:p>
    <w:p w14:paraId="78467E9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21.1评审委员会将根据供应商综合评估结果，按综合得分排序向采购人推荐本项目的</w:t>
      </w:r>
      <w:r>
        <w:rPr>
          <w:rFonts w:hint="eastAsia" w:ascii="宋体" w:hAnsi="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供应商候选人。</w:t>
      </w:r>
    </w:p>
    <w:p w14:paraId="4373987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21.2 </w:t>
      </w:r>
      <w:r>
        <w:rPr>
          <w:rFonts w:hint="eastAsia" w:ascii="宋体" w:hAnsi="宋体"/>
          <w:color w:val="000000" w:themeColor="text1"/>
          <w:sz w:val="24"/>
          <w14:textFill>
            <w14:solidFill>
              <w14:schemeClr w14:val="tx1"/>
            </w14:solidFill>
          </w14:textFill>
        </w:rPr>
        <w:t>在签订合同前，如评审委员会发现供应商存在提供虚假不实资料的，将拒绝其响应文件，并取消供应商推荐资格，同时按综合评估排序对下一个候选人能否令人满意地履行合同作类似的审查。</w:t>
      </w:r>
    </w:p>
    <w:p w14:paraId="44ABC70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14:textFill>
            <w14:solidFill>
              <w14:schemeClr w14:val="tx1"/>
            </w14:solidFill>
          </w14:textFill>
        </w:rPr>
        <w:t>接受和拒绝任何或所有响应文件的权力</w:t>
      </w:r>
    </w:p>
    <w:p w14:paraId="0CFFE05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22.1</w:t>
      </w:r>
      <w:r>
        <w:rPr>
          <w:rFonts w:hint="eastAsia" w:ascii="宋体" w:hAnsi="宋体"/>
          <w:color w:val="000000" w:themeColor="text1"/>
          <w:sz w:val="24"/>
          <w14:textFill>
            <w14:solidFill>
              <w14:schemeClr w14:val="tx1"/>
            </w14:solidFill>
          </w14:textFill>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4F4E404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23.</w:t>
      </w:r>
      <w:r>
        <w:rPr>
          <w:rFonts w:hint="eastAsia" w:ascii="宋体" w:hAnsi="宋体"/>
          <w:color w:val="000000" w:themeColor="text1"/>
          <w:sz w:val="24"/>
          <w14:textFill>
            <w14:solidFill>
              <w14:schemeClr w14:val="tx1"/>
            </w14:solidFill>
          </w14:textFill>
        </w:rPr>
        <w:t>授予合同通知书</w:t>
      </w:r>
    </w:p>
    <w:p w14:paraId="08058385">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采购人确定供应商后，将向成交供应商发出授予合同通知书。</w:t>
      </w:r>
    </w:p>
    <w:p w14:paraId="56934BF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授予合同通知书是合同的一个组成部分。</w:t>
      </w:r>
    </w:p>
    <w:p w14:paraId="6BD6744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w:t>
      </w:r>
      <w:r>
        <w:rPr>
          <w:rFonts w:hint="eastAsia" w:ascii="宋体" w:hAnsi="宋体"/>
          <w:color w:val="000000" w:themeColor="text1"/>
          <w:sz w:val="24"/>
          <w14:textFill>
            <w14:solidFill>
              <w14:schemeClr w14:val="tx1"/>
            </w14:solidFill>
          </w14:textFill>
        </w:rPr>
        <w:t>签订合同</w:t>
      </w:r>
    </w:p>
    <w:p w14:paraId="1D38E74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w:t>
      </w:r>
      <w:r>
        <w:rPr>
          <w:rFonts w:hint="eastAsia" w:ascii="宋体" w:hAnsi="宋体"/>
          <w:color w:val="000000" w:themeColor="text1"/>
          <w:sz w:val="24"/>
          <w14:textFill>
            <w14:solidFill>
              <w14:schemeClr w14:val="tx1"/>
            </w14:solidFill>
          </w14:textFill>
        </w:rPr>
        <w:t>成交供应商应按授予合同通知书规定的时间、地点与采购人签订合同（格式见第四章《合同格式》），否则按响应有效期内撤回响应文件处理。</w:t>
      </w:r>
    </w:p>
    <w:p w14:paraId="2B0D238D">
      <w:pPr>
        <w:spacing w:line="360" w:lineRule="auto"/>
        <w:rPr>
          <w:rFonts w:eastAsia="黑体"/>
          <w:bCs/>
          <w:color w:val="000000" w:themeColor="text1"/>
          <w:kern w:val="44"/>
          <w:sz w:val="30"/>
          <w:szCs w:val="4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如果成交供应商没有按照上述规定执行，采购人将有充分理由取消该中选决定。在此情况下，采购人可与下一个候选人签订合同，或重新采购。</w:t>
      </w:r>
      <w:r>
        <w:rPr>
          <w:color w:val="000000" w:themeColor="text1"/>
          <w14:textFill>
            <w14:solidFill>
              <w14:schemeClr w14:val="tx1"/>
            </w14:solidFill>
          </w14:textFill>
        </w:rPr>
        <w:br w:type="page"/>
      </w:r>
    </w:p>
    <w:bookmarkEnd w:id="10"/>
    <w:bookmarkEnd w:id="11"/>
    <w:bookmarkEnd w:id="12"/>
    <w:p w14:paraId="321997C3">
      <w:pPr>
        <w:pStyle w:val="3"/>
        <w:spacing w:before="0" w:after="0" w:line="360" w:lineRule="auto"/>
        <w:rPr>
          <w:b/>
          <w:color w:val="000000" w:themeColor="text1"/>
          <w:sz w:val="36"/>
          <w:szCs w:val="36"/>
          <w14:textFill>
            <w14:solidFill>
              <w14:schemeClr w14:val="tx1"/>
            </w14:solidFill>
          </w14:textFill>
        </w:rPr>
      </w:pPr>
      <w:bookmarkStart w:id="13" w:name="_Toc21730"/>
      <w:bookmarkStart w:id="14" w:name="_Toc227057958"/>
      <w:bookmarkStart w:id="15" w:name="_Toc107822556"/>
      <w:bookmarkStart w:id="16" w:name="_Toc226969352"/>
      <w:r>
        <w:rPr>
          <w:rFonts w:hint="eastAsia"/>
          <w:b/>
          <w:color w:val="000000" w:themeColor="text1"/>
          <w:sz w:val="36"/>
          <w:szCs w:val="36"/>
          <w14:textFill>
            <w14:solidFill>
              <w14:schemeClr w14:val="tx1"/>
            </w14:solidFill>
          </w14:textFill>
        </w:rPr>
        <w:t>第三章评审办法</w:t>
      </w:r>
      <w:bookmarkEnd w:id="13"/>
    </w:p>
    <w:p w14:paraId="1ADFEEE1">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须对第三章《</w:t>
      </w:r>
      <w:r>
        <w:rPr>
          <w:rFonts w:hint="eastAsia" w:ascii="宋体" w:hAnsi="宋体"/>
          <w:color w:val="000000" w:themeColor="text1"/>
          <w:sz w:val="24"/>
          <w14:textFill>
            <w14:solidFill>
              <w14:schemeClr w14:val="tx1"/>
            </w14:solidFill>
          </w14:textFill>
        </w:rPr>
        <w:t>评审</w:t>
      </w:r>
      <w:r>
        <w:rPr>
          <w:rFonts w:ascii="宋体" w:hAnsi="宋体"/>
          <w:color w:val="000000" w:themeColor="text1"/>
          <w:sz w:val="24"/>
          <w14:textFill>
            <w14:solidFill>
              <w14:schemeClr w14:val="tx1"/>
            </w14:solidFill>
          </w14:textFill>
        </w:rPr>
        <w:t>办法》中的评分要求逐项说明在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中的装订页码，并将该页装订在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的首页。</w:t>
      </w:r>
    </w:p>
    <w:p w14:paraId="1BDBFBD1">
      <w:pPr>
        <w:spacing w:before="312" w:after="312" w:line="360" w:lineRule="auto"/>
        <w:ind w:firstLine="480"/>
        <w:jc w:val="left"/>
        <w:rPr>
          <w:rFonts w:hint="eastAsia" w:ascii="宋体" w:hAnsi="宋体"/>
          <w:color w:val="000000" w:themeColor="text1"/>
          <w:sz w:val="24"/>
          <w14:textFill>
            <w14:solidFill>
              <w14:schemeClr w14:val="tx1"/>
            </w14:solidFill>
          </w14:textFill>
        </w:rPr>
      </w:pPr>
    </w:p>
    <w:p w14:paraId="61583EBD">
      <w:pPr>
        <w:spacing w:before="312" w:after="312"/>
        <w:ind w:firstLine="480"/>
        <w:rPr>
          <w:rFonts w:hint="eastAsia" w:ascii="宋体" w:hAnsi="宋体"/>
          <w:color w:val="000000" w:themeColor="text1"/>
          <w:sz w:val="24"/>
          <w14:textFill>
            <w14:solidFill>
              <w14:schemeClr w14:val="tx1"/>
            </w14:solidFill>
          </w14:textFill>
        </w:rPr>
      </w:pPr>
    </w:p>
    <w:p w14:paraId="116BD33F">
      <w:pPr>
        <w:spacing w:line="360" w:lineRule="auto"/>
        <w:jc w:val="center"/>
        <w:rPr>
          <w:rFonts w:hint="eastAsia" w:ascii="黑体" w:hAnsi="黑体" w:eastAsia="黑体"/>
          <w:color w:val="000000" w:themeColor="text1"/>
          <w:sz w:val="37"/>
          <w:szCs w:val="37"/>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黑体" w:hAnsi="黑体" w:eastAsia="黑体"/>
          <w:color w:val="000000" w:themeColor="text1"/>
          <w:sz w:val="37"/>
          <w:szCs w:val="37"/>
          <w14:textFill>
            <w14:solidFill>
              <w14:schemeClr w14:val="tx1"/>
            </w14:solidFill>
          </w14:textFill>
        </w:rPr>
        <w:t>详细</w:t>
      </w:r>
      <w:r>
        <w:rPr>
          <w:rFonts w:ascii="黑体" w:hAnsi="黑体" w:eastAsia="黑体"/>
          <w:color w:val="000000" w:themeColor="text1"/>
          <w:sz w:val="37"/>
          <w:szCs w:val="37"/>
          <w14:textFill>
            <w14:solidFill>
              <w14:schemeClr w14:val="tx1"/>
            </w14:solidFill>
          </w14:textFill>
        </w:rPr>
        <w:t>评分表</w:t>
      </w:r>
    </w:p>
    <w:p w14:paraId="7093D1A7">
      <w:pPr>
        <w:spacing w:line="360" w:lineRule="auto"/>
        <w:jc w:val="center"/>
        <w:rPr>
          <w:rFonts w:hint="eastAsia"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（满分100分）</w:t>
      </w: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075"/>
        <w:gridCol w:w="789"/>
        <w:gridCol w:w="5485"/>
      </w:tblGrid>
      <w:tr w14:paraId="5B461F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319" w:type="pct"/>
            <w:gridSpan w:val="2"/>
            <w:vAlign w:val="center"/>
          </w:tcPr>
          <w:p w14:paraId="71DEF597">
            <w:pPr>
              <w:snapToGrid w:val="0"/>
              <w:spacing w:before="62" w:beforeLines="20" w:after="62" w:afterLines="20"/>
              <w:jc w:val="center"/>
              <w:rPr>
                <w:color w:val="000000"/>
                <w:kern w:val="0"/>
                <w:szCs w:val="21"/>
              </w:rPr>
            </w:pPr>
            <w:r>
              <w:rPr>
                <w:color w:val="000000"/>
                <w:kern w:val="0"/>
                <w:szCs w:val="21"/>
              </w:rPr>
              <w:t>评分项目</w:t>
            </w:r>
          </w:p>
        </w:tc>
        <w:tc>
          <w:tcPr>
            <w:tcW w:w="463" w:type="pct"/>
            <w:vAlign w:val="center"/>
          </w:tcPr>
          <w:p w14:paraId="1180A0DD">
            <w:pPr>
              <w:snapToGrid w:val="0"/>
              <w:spacing w:before="62" w:beforeLines="20" w:after="62" w:afterLines="20"/>
              <w:jc w:val="center"/>
              <w:rPr>
                <w:color w:val="000000"/>
                <w:kern w:val="0"/>
                <w:szCs w:val="21"/>
              </w:rPr>
            </w:pPr>
            <w:r>
              <w:rPr>
                <w:color w:val="000000"/>
                <w:kern w:val="0"/>
                <w:szCs w:val="21"/>
              </w:rPr>
              <w:t>分值</w:t>
            </w:r>
          </w:p>
        </w:tc>
        <w:tc>
          <w:tcPr>
            <w:tcW w:w="3218" w:type="pct"/>
            <w:vAlign w:val="center"/>
          </w:tcPr>
          <w:p w14:paraId="0EA7ED45">
            <w:pPr>
              <w:snapToGrid w:val="0"/>
              <w:spacing w:before="62" w:beforeLines="20" w:after="62" w:afterLines="20"/>
              <w:jc w:val="center"/>
              <w:rPr>
                <w:color w:val="000000"/>
                <w:kern w:val="0"/>
                <w:szCs w:val="21"/>
              </w:rPr>
            </w:pPr>
            <w:r>
              <w:rPr>
                <w:color w:val="000000"/>
                <w:kern w:val="0"/>
                <w:szCs w:val="21"/>
              </w:rPr>
              <w:t>评审标准</w:t>
            </w:r>
          </w:p>
        </w:tc>
      </w:tr>
      <w:tr w14:paraId="68E7B6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319" w:type="pct"/>
            <w:gridSpan w:val="2"/>
            <w:vAlign w:val="center"/>
          </w:tcPr>
          <w:p w14:paraId="2C2A848B">
            <w:pPr>
              <w:widowControl/>
              <w:jc w:val="center"/>
              <w:rPr>
                <w:b/>
                <w:bCs/>
                <w:color w:val="000000"/>
                <w:kern w:val="0"/>
                <w:szCs w:val="21"/>
              </w:rPr>
            </w:pPr>
            <w:r>
              <w:rPr>
                <w:b/>
                <w:bCs/>
                <w:color w:val="000000"/>
                <w:kern w:val="0"/>
                <w:szCs w:val="21"/>
              </w:rPr>
              <w:t>价格部分</w:t>
            </w:r>
          </w:p>
          <w:p w14:paraId="762B803D">
            <w:pPr>
              <w:widowControl/>
              <w:jc w:val="center"/>
              <w:rPr>
                <w:b/>
                <w:bCs/>
                <w:color w:val="000000"/>
                <w:kern w:val="0"/>
                <w:szCs w:val="21"/>
              </w:rPr>
            </w:pPr>
            <w:r>
              <w:rPr>
                <w:b/>
                <w:bCs/>
                <w:color w:val="000000"/>
                <w:kern w:val="0"/>
                <w:szCs w:val="21"/>
              </w:rPr>
              <w:t>（50</w:t>
            </w:r>
            <w:r>
              <w:rPr>
                <w:rFonts w:hint="eastAsia"/>
                <w:b/>
                <w:bCs/>
                <w:color w:val="000000"/>
                <w:kern w:val="0"/>
                <w:szCs w:val="21"/>
              </w:rPr>
              <w:t>分</w:t>
            </w:r>
            <w:r>
              <w:rPr>
                <w:b/>
                <w:bCs/>
                <w:color w:val="000000"/>
                <w:kern w:val="0"/>
                <w:szCs w:val="21"/>
              </w:rPr>
              <w:t>）</w:t>
            </w:r>
          </w:p>
        </w:tc>
        <w:tc>
          <w:tcPr>
            <w:tcW w:w="463" w:type="pct"/>
            <w:vAlign w:val="center"/>
          </w:tcPr>
          <w:p w14:paraId="7DE3A9C1">
            <w:pPr>
              <w:widowControl/>
              <w:jc w:val="center"/>
              <w:rPr>
                <w:color w:val="000000"/>
                <w:kern w:val="0"/>
                <w:szCs w:val="21"/>
              </w:rPr>
            </w:pPr>
            <w:r>
              <w:rPr>
                <w:b/>
                <w:bCs/>
                <w:color w:val="000000"/>
                <w:kern w:val="0"/>
                <w:szCs w:val="21"/>
              </w:rPr>
              <w:t>50</w:t>
            </w:r>
          </w:p>
        </w:tc>
        <w:tc>
          <w:tcPr>
            <w:tcW w:w="3218" w:type="pct"/>
            <w:vAlign w:val="center"/>
          </w:tcPr>
          <w:p w14:paraId="21F44C39">
            <w:pPr>
              <w:widowControl/>
              <w:tabs>
                <w:tab w:val="left" w:pos="0"/>
              </w:tabs>
              <w:overflowPunct w:val="0"/>
              <w:topLinePunct/>
              <w:jc w:val="left"/>
              <w:rPr>
                <w:rFonts w:hint="eastAsia" w:ascii="宋体" w:hAnsi="宋体" w:cs="宋体"/>
                <w:b/>
                <w:kern w:val="0"/>
                <w:szCs w:val="21"/>
              </w:rPr>
            </w:pPr>
            <w:r>
              <w:rPr>
                <w:rFonts w:hint="eastAsia" w:ascii="宋体" w:hAnsi="宋体" w:cs="宋体"/>
                <w:b/>
                <w:kern w:val="0"/>
                <w:szCs w:val="21"/>
              </w:rPr>
              <w:t>一、评审价的计算：</w:t>
            </w:r>
          </w:p>
          <w:p w14:paraId="341CEAF8">
            <w:pPr>
              <w:widowControl/>
              <w:tabs>
                <w:tab w:val="left" w:pos="0"/>
              </w:tabs>
              <w:overflowPunct w:val="0"/>
              <w:topLinePunct/>
              <w:jc w:val="left"/>
              <w:rPr>
                <w:rFonts w:hint="eastAsia" w:ascii="宋体" w:hAnsi="宋体" w:cs="宋体"/>
                <w:kern w:val="0"/>
                <w:szCs w:val="21"/>
              </w:rPr>
            </w:pPr>
            <w:r>
              <w:rPr>
                <w:rFonts w:ascii="宋体" w:hAnsi="宋体" w:cs="宋体"/>
                <w:kern w:val="0"/>
                <w:szCs w:val="21"/>
              </w:rPr>
              <w:t>1、供应商的报价如有缺漏项，即视为不实质性响应；</w:t>
            </w:r>
          </w:p>
          <w:p w14:paraId="546EF1C7">
            <w:pPr>
              <w:widowControl/>
              <w:tabs>
                <w:tab w:val="left" w:pos="0"/>
              </w:tabs>
              <w:overflowPunct w:val="0"/>
              <w:topLinePunct/>
              <w:jc w:val="left"/>
              <w:rPr>
                <w:rFonts w:hint="eastAsia" w:ascii="宋体" w:hAnsi="宋体" w:cs="宋体"/>
                <w:kern w:val="0"/>
                <w:szCs w:val="21"/>
              </w:rPr>
            </w:pPr>
            <w:r>
              <w:rPr>
                <w:rFonts w:ascii="宋体" w:hAnsi="宋体" w:cs="宋体"/>
                <w:kern w:val="0"/>
                <w:szCs w:val="21"/>
              </w:rPr>
              <w:t>2、不接受选择性报价或者具有附加条件的报价；</w:t>
            </w:r>
          </w:p>
          <w:p w14:paraId="3F3E3649">
            <w:pPr>
              <w:widowControl/>
              <w:tabs>
                <w:tab w:val="left" w:pos="0"/>
              </w:tabs>
              <w:overflowPunct w:val="0"/>
              <w:topLinePunct/>
              <w:jc w:val="left"/>
              <w:rPr>
                <w:rFonts w:hint="eastAsia" w:ascii="宋体" w:hAnsi="宋体" w:cs="宋体"/>
                <w:kern w:val="0"/>
                <w:szCs w:val="21"/>
              </w:rPr>
            </w:pPr>
            <w:r>
              <w:rPr>
                <w:rFonts w:ascii="宋体" w:hAnsi="宋体" w:cs="宋体"/>
                <w:kern w:val="0"/>
                <w:szCs w:val="21"/>
              </w:rPr>
              <w:t>3、响应文件中如果申报了非采购文件所要求的服务，评审时不予以折价降低评审价；</w:t>
            </w:r>
          </w:p>
          <w:p w14:paraId="50B563F0">
            <w:pPr>
              <w:widowControl/>
              <w:tabs>
                <w:tab w:val="left" w:pos="0"/>
              </w:tabs>
              <w:overflowPunct w:val="0"/>
              <w:topLinePunct/>
              <w:jc w:val="left"/>
              <w:rPr>
                <w:rFonts w:hint="eastAsia" w:ascii="宋体" w:hAnsi="宋体" w:cs="宋体"/>
                <w:kern w:val="0"/>
                <w:szCs w:val="21"/>
              </w:rPr>
            </w:pPr>
            <w:r>
              <w:rPr>
                <w:rFonts w:ascii="宋体" w:hAnsi="宋体" w:cs="宋体"/>
                <w:kern w:val="0"/>
                <w:szCs w:val="21"/>
              </w:rPr>
              <w:t>4、供应商的报价经勘误、商务偏差调价后的累计值作为该供应商的评审价。</w:t>
            </w:r>
          </w:p>
          <w:p w14:paraId="59C7CAB9">
            <w:pPr>
              <w:widowControl/>
              <w:tabs>
                <w:tab w:val="left" w:pos="0"/>
              </w:tabs>
              <w:overflowPunct w:val="0"/>
              <w:topLinePunct/>
              <w:jc w:val="left"/>
              <w:rPr>
                <w:rFonts w:hint="eastAsia" w:ascii="宋体" w:hAnsi="宋体" w:cs="宋体"/>
                <w:b/>
                <w:kern w:val="0"/>
                <w:szCs w:val="21"/>
              </w:rPr>
            </w:pPr>
            <w:r>
              <w:rPr>
                <w:rFonts w:hint="eastAsia" w:ascii="宋体" w:hAnsi="宋体" w:cs="宋体"/>
                <w:b/>
                <w:kern w:val="0"/>
                <w:szCs w:val="21"/>
              </w:rPr>
              <w:t>二、价格分的计算（保留小数点后</w:t>
            </w:r>
            <w:r>
              <w:rPr>
                <w:rFonts w:ascii="宋体" w:hAnsi="宋体" w:cs="宋体"/>
                <w:b/>
                <w:kern w:val="0"/>
                <w:szCs w:val="21"/>
              </w:rPr>
              <w:t>2位）</w:t>
            </w:r>
          </w:p>
          <w:p w14:paraId="60B9018F">
            <w:pPr>
              <w:widowControl/>
              <w:tabs>
                <w:tab w:val="left" w:pos="0"/>
              </w:tabs>
              <w:overflowPunct w:val="0"/>
              <w:topLinePunct/>
              <w:jc w:val="left"/>
              <w:rPr>
                <w:rFonts w:hint="eastAsia" w:ascii="宋体" w:hAnsi="宋体" w:cs="宋体"/>
                <w:kern w:val="0"/>
                <w:szCs w:val="21"/>
              </w:rPr>
            </w:pPr>
            <w:r>
              <w:rPr>
                <w:rFonts w:ascii="宋体" w:hAnsi="宋体" w:cs="宋体"/>
                <w:kern w:val="0"/>
                <w:szCs w:val="21"/>
              </w:rPr>
              <w:t>1、评审基准价是指满足采购文件要求且谈判后价格最低的报价，其价格分为满分。</w:t>
            </w:r>
          </w:p>
          <w:p w14:paraId="347DA96F">
            <w:pPr>
              <w:widowControl/>
              <w:tabs>
                <w:tab w:val="left" w:pos="0"/>
              </w:tabs>
              <w:overflowPunct w:val="0"/>
              <w:topLinePunct/>
              <w:jc w:val="left"/>
              <w:rPr>
                <w:rFonts w:hint="eastAsia" w:ascii="宋体" w:hAnsi="宋体" w:cs="宋体"/>
                <w:kern w:val="0"/>
                <w:szCs w:val="21"/>
              </w:rPr>
            </w:pPr>
            <w:r>
              <w:rPr>
                <w:rFonts w:ascii="宋体" w:hAnsi="宋体" w:cs="宋体"/>
                <w:kern w:val="0"/>
                <w:szCs w:val="21"/>
              </w:rPr>
              <w:t>2、其他供应商的价格分统一按下列公式进行计算：</w:t>
            </w:r>
          </w:p>
          <w:p w14:paraId="53D9E309">
            <w:pPr>
              <w:jc w:val="left"/>
              <w:rPr>
                <w:color w:val="FF0000"/>
                <w:kern w:val="0"/>
                <w:szCs w:val="21"/>
              </w:rPr>
            </w:pPr>
            <w:r>
              <w:rPr>
                <w:rFonts w:hint="eastAsia"/>
                <w:kern w:val="0"/>
                <w:szCs w:val="21"/>
              </w:rPr>
              <w:t>报价得分＝（评审基准价</w:t>
            </w:r>
            <w:r>
              <w:rPr>
                <w:kern w:val="0"/>
                <w:szCs w:val="21"/>
              </w:rPr>
              <w:t>/供应商的评审价）×50</w:t>
            </w:r>
            <w:r>
              <w:rPr>
                <w:rFonts w:hint="eastAsia"/>
                <w:kern w:val="0"/>
                <w:szCs w:val="21"/>
              </w:rPr>
              <w:t>。</w:t>
            </w:r>
          </w:p>
        </w:tc>
      </w:tr>
      <w:tr w14:paraId="63F72E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restart"/>
            <w:vAlign w:val="center"/>
          </w:tcPr>
          <w:p w14:paraId="1C58B01F">
            <w:pPr>
              <w:adjustRightInd w:val="0"/>
              <w:snapToGrid w:val="0"/>
              <w:jc w:val="center"/>
              <w:rPr>
                <w:b/>
                <w:bCs/>
                <w:color w:val="000000"/>
                <w:kern w:val="0"/>
                <w:szCs w:val="21"/>
              </w:rPr>
            </w:pPr>
            <w:r>
              <w:rPr>
                <w:b/>
                <w:bCs/>
                <w:color w:val="000000"/>
                <w:kern w:val="0"/>
                <w:szCs w:val="21"/>
              </w:rPr>
              <w:t>商务</w:t>
            </w:r>
          </w:p>
          <w:p w14:paraId="1169467E">
            <w:pPr>
              <w:adjustRightInd w:val="0"/>
              <w:snapToGrid w:val="0"/>
              <w:jc w:val="center"/>
              <w:rPr>
                <w:b/>
                <w:bCs/>
                <w:color w:val="000000"/>
                <w:kern w:val="0"/>
                <w:szCs w:val="21"/>
              </w:rPr>
            </w:pPr>
            <w:r>
              <w:rPr>
                <w:b/>
                <w:bCs/>
                <w:color w:val="000000"/>
                <w:kern w:val="0"/>
                <w:szCs w:val="21"/>
              </w:rPr>
              <w:t>部分</w:t>
            </w:r>
          </w:p>
          <w:p w14:paraId="0EC21037">
            <w:pPr>
              <w:adjustRightInd w:val="0"/>
              <w:snapToGrid w:val="0"/>
              <w:jc w:val="center"/>
              <w:rPr>
                <w:b/>
                <w:bCs/>
                <w:color w:val="000000"/>
                <w:kern w:val="0"/>
                <w:szCs w:val="21"/>
              </w:rPr>
            </w:pPr>
            <w:r>
              <w:rPr>
                <w:b/>
                <w:bCs/>
                <w:color w:val="000000"/>
                <w:kern w:val="0"/>
                <w:szCs w:val="21"/>
              </w:rPr>
              <w:t>（23</w:t>
            </w:r>
            <w:r>
              <w:rPr>
                <w:rFonts w:hint="eastAsia"/>
                <w:b/>
                <w:bCs/>
                <w:color w:val="000000"/>
                <w:kern w:val="0"/>
                <w:szCs w:val="21"/>
              </w:rPr>
              <w:t>分</w:t>
            </w:r>
            <w:r>
              <w:rPr>
                <w:b/>
                <w:bCs/>
                <w:color w:val="000000"/>
                <w:kern w:val="0"/>
                <w:szCs w:val="21"/>
              </w:rPr>
              <w:t>）</w:t>
            </w:r>
          </w:p>
        </w:tc>
        <w:tc>
          <w:tcPr>
            <w:tcW w:w="631" w:type="pct"/>
            <w:vAlign w:val="center"/>
          </w:tcPr>
          <w:p w14:paraId="45F4C98C">
            <w:pPr>
              <w:adjustRightInd w:val="0"/>
              <w:snapToGrid w:val="0"/>
              <w:jc w:val="center"/>
              <w:rPr>
                <w:color w:val="000000"/>
                <w:kern w:val="0"/>
                <w:szCs w:val="21"/>
              </w:rPr>
            </w:pPr>
            <w:r>
              <w:rPr>
                <w:rFonts w:hint="eastAsia" w:ascii="宋体" w:hAnsi="宋体" w:cs="宋体"/>
                <w:b/>
                <w:bCs/>
                <w:kern w:val="0"/>
                <w:szCs w:val="21"/>
              </w:rPr>
              <w:t>综合实力</w:t>
            </w:r>
          </w:p>
        </w:tc>
        <w:tc>
          <w:tcPr>
            <w:tcW w:w="463" w:type="pct"/>
            <w:vAlign w:val="center"/>
          </w:tcPr>
          <w:p w14:paraId="5AE4E935">
            <w:pPr>
              <w:adjustRightInd w:val="0"/>
              <w:snapToGrid w:val="0"/>
              <w:jc w:val="center"/>
              <w:rPr>
                <w:color w:val="000000"/>
                <w:kern w:val="0"/>
                <w:szCs w:val="21"/>
              </w:rPr>
            </w:pPr>
            <w:r>
              <w:rPr>
                <w:rFonts w:hint="eastAsia"/>
                <w:color w:val="000000"/>
                <w:kern w:val="0"/>
                <w:szCs w:val="21"/>
              </w:rPr>
              <w:t>2</w:t>
            </w:r>
          </w:p>
        </w:tc>
        <w:tc>
          <w:tcPr>
            <w:tcW w:w="3218" w:type="pct"/>
          </w:tcPr>
          <w:p w14:paraId="1AD37EEE">
            <w:pPr>
              <w:jc w:val="left"/>
              <w:rPr>
                <w:kern w:val="0"/>
                <w:szCs w:val="21"/>
              </w:rPr>
            </w:pPr>
            <w:r>
              <w:rPr>
                <w:rFonts w:hint="eastAsia"/>
                <w:kern w:val="0"/>
                <w:szCs w:val="21"/>
              </w:rPr>
              <w:t>根</w:t>
            </w:r>
            <w:r>
              <w:rPr>
                <w:kern w:val="0"/>
                <w:szCs w:val="21"/>
              </w:rPr>
              <w:t>据</w:t>
            </w:r>
            <w:r>
              <w:rPr>
                <w:rFonts w:hint="eastAsia"/>
                <w:kern w:val="0"/>
                <w:szCs w:val="21"/>
              </w:rPr>
              <w:t>供应商和</w:t>
            </w:r>
            <w:r>
              <w:rPr>
                <w:kern w:val="0"/>
                <w:szCs w:val="21"/>
              </w:rPr>
              <w:t>制造商的企业规模、业务范围、组织机构、研发机构、软硬件设施、发展情况、财务状况（总资产、利润等）、经营信誉（诉讼、荣誉奖项等）、管理制度等情况打分。</w:t>
            </w:r>
          </w:p>
          <w:p w14:paraId="3EB940C9">
            <w:pPr>
              <w:pStyle w:val="26"/>
              <w:ind w:firstLine="0"/>
              <w:rPr>
                <w:color w:val="FF0000"/>
                <w:kern w:val="0"/>
                <w:szCs w:val="21"/>
              </w:rPr>
            </w:pPr>
            <w:r>
              <w:rPr>
                <w:rStyle w:val="27"/>
                <w:rFonts w:hint="default" w:cs="Times New Roman"/>
                <w:color w:val="000000"/>
                <w:sz w:val="21"/>
                <w:szCs w:val="21"/>
              </w:rPr>
              <w:t>优良(1，2] 分；一般[0，1]分。</w:t>
            </w:r>
          </w:p>
        </w:tc>
      </w:tr>
      <w:tr w14:paraId="01C060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continue"/>
            <w:vAlign w:val="center"/>
          </w:tcPr>
          <w:p w14:paraId="1CAF3438">
            <w:pPr>
              <w:adjustRightInd w:val="0"/>
              <w:snapToGrid w:val="0"/>
              <w:jc w:val="center"/>
              <w:rPr>
                <w:b/>
                <w:bCs/>
                <w:color w:val="000000"/>
                <w:kern w:val="0"/>
                <w:szCs w:val="21"/>
              </w:rPr>
            </w:pPr>
          </w:p>
        </w:tc>
        <w:tc>
          <w:tcPr>
            <w:tcW w:w="631" w:type="pct"/>
            <w:vAlign w:val="center"/>
          </w:tcPr>
          <w:p w14:paraId="08730D5B">
            <w:pPr>
              <w:jc w:val="center"/>
              <w:rPr>
                <w:color w:val="000000"/>
                <w:kern w:val="0"/>
                <w:szCs w:val="21"/>
              </w:rPr>
            </w:pPr>
            <w:r>
              <w:rPr>
                <w:rFonts w:hint="eastAsia" w:ascii="宋体" w:hAnsi="宋体" w:cs="宋体"/>
                <w:b/>
                <w:bCs/>
                <w:kern w:val="0"/>
                <w:szCs w:val="21"/>
              </w:rPr>
              <w:t>制造商资质证书</w:t>
            </w:r>
          </w:p>
        </w:tc>
        <w:tc>
          <w:tcPr>
            <w:tcW w:w="463" w:type="pct"/>
            <w:vAlign w:val="center"/>
          </w:tcPr>
          <w:p w14:paraId="40D41AB3">
            <w:pPr>
              <w:adjustRightInd w:val="0"/>
              <w:snapToGrid w:val="0"/>
              <w:jc w:val="center"/>
              <w:rPr>
                <w:color w:val="000000"/>
                <w:kern w:val="0"/>
                <w:szCs w:val="21"/>
              </w:rPr>
            </w:pPr>
            <w:r>
              <w:rPr>
                <w:color w:val="000000"/>
                <w:kern w:val="0"/>
                <w:szCs w:val="21"/>
              </w:rPr>
              <w:t>4</w:t>
            </w:r>
          </w:p>
        </w:tc>
        <w:tc>
          <w:tcPr>
            <w:tcW w:w="3218" w:type="pct"/>
            <w:vAlign w:val="center"/>
          </w:tcPr>
          <w:p w14:paraId="2411192D">
            <w:pPr>
              <w:jc w:val="left"/>
              <w:rPr>
                <w:kern w:val="0"/>
                <w:szCs w:val="21"/>
              </w:rPr>
            </w:pPr>
            <w:r>
              <w:rPr>
                <w:rFonts w:hint="eastAsia"/>
                <w:kern w:val="0"/>
                <w:szCs w:val="21"/>
              </w:rPr>
              <w:t>根据</w:t>
            </w:r>
            <w:r>
              <w:rPr>
                <w:kern w:val="0"/>
                <w:szCs w:val="21"/>
              </w:rPr>
              <w:t>制造商的资质情况进行评分：</w:t>
            </w:r>
          </w:p>
          <w:p w14:paraId="3EFF8626">
            <w:pPr>
              <w:jc w:val="left"/>
              <w:rPr>
                <w:kern w:val="0"/>
                <w:szCs w:val="21"/>
              </w:rPr>
            </w:pPr>
            <w:r>
              <w:rPr>
                <w:rFonts w:hint="eastAsia"/>
                <w:kern w:val="0"/>
                <w:szCs w:val="21"/>
              </w:rPr>
              <w:t>1、</w:t>
            </w:r>
            <w:r>
              <w:rPr>
                <w:rFonts w:hint="eastAsia"/>
                <w:color w:val="000000"/>
              </w:rPr>
              <w:t>制造商具有隐私信息管理体系（ISO 27701)认证证书</w:t>
            </w:r>
            <w:r>
              <w:rPr>
                <w:rFonts w:hint="eastAsia"/>
                <w:kern w:val="0"/>
                <w:szCs w:val="21"/>
              </w:rPr>
              <w:t>，得</w:t>
            </w:r>
            <w:r>
              <w:rPr>
                <w:kern w:val="0"/>
                <w:szCs w:val="21"/>
              </w:rPr>
              <w:t>1</w:t>
            </w:r>
            <w:r>
              <w:rPr>
                <w:rFonts w:hint="eastAsia"/>
                <w:kern w:val="0"/>
                <w:szCs w:val="21"/>
              </w:rPr>
              <w:t>分。</w:t>
            </w:r>
          </w:p>
          <w:p w14:paraId="6BCA3F7C">
            <w:pPr>
              <w:jc w:val="left"/>
              <w:rPr>
                <w:kern w:val="0"/>
                <w:szCs w:val="21"/>
              </w:rPr>
            </w:pPr>
            <w:r>
              <w:rPr>
                <w:rFonts w:hint="eastAsia"/>
                <w:kern w:val="0"/>
                <w:szCs w:val="21"/>
              </w:rPr>
              <w:t>2、制造商为高新技术企业的，得</w:t>
            </w:r>
            <w:r>
              <w:rPr>
                <w:kern w:val="0"/>
                <w:szCs w:val="21"/>
              </w:rPr>
              <w:t>1</w:t>
            </w:r>
            <w:r>
              <w:rPr>
                <w:rFonts w:hint="eastAsia"/>
                <w:kern w:val="0"/>
                <w:szCs w:val="21"/>
              </w:rPr>
              <w:t>分。</w:t>
            </w:r>
          </w:p>
          <w:p w14:paraId="48F27687">
            <w:pPr>
              <w:jc w:val="left"/>
              <w:rPr>
                <w:kern w:val="0"/>
                <w:szCs w:val="21"/>
              </w:rPr>
            </w:pPr>
            <w:r>
              <w:rPr>
                <w:rFonts w:hint="eastAsia"/>
                <w:kern w:val="0"/>
                <w:szCs w:val="21"/>
              </w:rPr>
              <w:t>3、制造商具备国家信息安全漏洞库(CNNVD)技术支撑单位等级证书(一级)，得</w:t>
            </w:r>
            <w:r>
              <w:rPr>
                <w:kern w:val="0"/>
                <w:szCs w:val="21"/>
              </w:rPr>
              <w:t>1</w:t>
            </w:r>
            <w:r>
              <w:rPr>
                <w:rFonts w:hint="eastAsia"/>
                <w:kern w:val="0"/>
                <w:szCs w:val="21"/>
              </w:rPr>
              <w:t>分。</w:t>
            </w:r>
          </w:p>
          <w:p w14:paraId="18B9E3E6">
            <w:pPr>
              <w:jc w:val="left"/>
              <w:rPr>
                <w:kern w:val="0"/>
                <w:szCs w:val="21"/>
              </w:rPr>
            </w:pPr>
            <w:r>
              <w:rPr>
                <w:kern w:val="0"/>
                <w:szCs w:val="21"/>
              </w:rPr>
              <w:t>4</w:t>
            </w:r>
            <w:r>
              <w:rPr>
                <w:rFonts w:hint="eastAsia"/>
                <w:kern w:val="0"/>
                <w:szCs w:val="21"/>
              </w:rPr>
              <w:t>、制造商拥有响应产品所用技术的发明专利证书（发明名称需包含“防火墙”关键字）的</w:t>
            </w:r>
            <w:r>
              <w:rPr>
                <w:kern w:val="0"/>
                <w:szCs w:val="21"/>
              </w:rPr>
              <w:t>，得</w:t>
            </w:r>
            <w:r>
              <w:rPr>
                <w:rFonts w:hint="eastAsia"/>
                <w:kern w:val="0"/>
                <w:szCs w:val="21"/>
              </w:rPr>
              <w:t>1分。</w:t>
            </w:r>
          </w:p>
          <w:p w14:paraId="2E68B3A4">
            <w:pPr>
              <w:widowControl/>
              <w:snapToGrid w:val="0"/>
              <w:jc w:val="left"/>
              <w:rPr>
                <w:color w:val="000000"/>
                <w:kern w:val="0"/>
                <w:szCs w:val="21"/>
              </w:rPr>
            </w:pPr>
            <w:r>
              <w:rPr>
                <w:rFonts w:hint="eastAsia"/>
                <w:kern w:val="0"/>
                <w:szCs w:val="21"/>
              </w:rPr>
              <w:t>提供</w:t>
            </w:r>
            <w:r>
              <w:rPr>
                <w:kern w:val="0"/>
                <w:szCs w:val="21"/>
              </w:rPr>
              <w:t>有效期内</w:t>
            </w:r>
            <w:r>
              <w:rPr>
                <w:rFonts w:hint="eastAsia"/>
                <w:kern w:val="0"/>
                <w:szCs w:val="21"/>
              </w:rPr>
              <w:t>的认证</w:t>
            </w:r>
            <w:r>
              <w:rPr>
                <w:kern w:val="0"/>
                <w:szCs w:val="21"/>
              </w:rPr>
              <w:t>证书</w:t>
            </w:r>
            <w:r>
              <w:rPr>
                <w:rFonts w:hint="eastAsia"/>
                <w:kern w:val="0"/>
                <w:szCs w:val="21"/>
              </w:rPr>
              <w:t>、专利证书复印件。</w:t>
            </w:r>
          </w:p>
        </w:tc>
      </w:tr>
      <w:tr w14:paraId="04AE4A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continue"/>
            <w:vAlign w:val="center"/>
          </w:tcPr>
          <w:p w14:paraId="4C36E176">
            <w:pPr>
              <w:adjustRightInd w:val="0"/>
              <w:snapToGrid w:val="0"/>
              <w:jc w:val="center"/>
              <w:rPr>
                <w:b/>
                <w:bCs/>
                <w:color w:val="000000"/>
                <w:kern w:val="0"/>
                <w:szCs w:val="21"/>
              </w:rPr>
            </w:pPr>
          </w:p>
        </w:tc>
        <w:tc>
          <w:tcPr>
            <w:tcW w:w="631" w:type="pct"/>
            <w:vAlign w:val="center"/>
          </w:tcPr>
          <w:p w14:paraId="70744568">
            <w:pPr>
              <w:jc w:val="center"/>
              <w:rPr>
                <w:color w:val="000000"/>
                <w:kern w:val="0"/>
                <w:szCs w:val="21"/>
              </w:rPr>
            </w:pPr>
            <w:r>
              <w:rPr>
                <w:rFonts w:hint="eastAsia" w:ascii="宋体" w:hAnsi="宋体" w:cs="宋体"/>
                <w:b/>
                <w:bCs/>
                <w:kern w:val="0"/>
                <w:szCs w:val="21"/>
              </w:rPr>
              <w:t>产品认证证书</w:t>
            </w:r>
          </w:p>
        </w:tc>
        <w:tc>
          <w:tcPr>
            <w:tcW w:w="463" w:type="pct"/>
            <w:vAlign w:val="center"/>
          </w:tcPr>
          <w:p w14:paraId="379799F2">
            <w:pPr>
              <w:adjustRightInd w:val="0"/>
              <w:snapToGrid w:val="0"/>
              <w:jc w:val="center"/>
              <w:rPr>
                <w:color w:val="000000"/>
                <w:kern w:val="0"/>
                <w:szCs w:val="21"/>
              </w:rPr>
            </w:pPr>
            <w:r>
              <w:rPr>
                <w:color w:val="000000"/>
                <w:kern w:val="0"/>
                <w:szCs w:val="21"/>
              </w:rPr>
              <w:t>3</w:t>
            </w:r>
          </w:p>
        </w:tc>
        <w:tc>
          <w:tcPr>
            <w:tcW w:w="3218" w:type="pct"/>
            <w:vAlign w:val="center"/>
          </w:tcPr>
          <w:p w14:paraId="4DF9B9CC">
            <w:pPr>
              <w:jc w:val="left"/>
              <w:rPr>
                <w:kern w:val="0"/>
                <w:szCs w:val="21"/>
              </w:rPr>
            </w:pPr>
            <w:r>
              <w:rPr>
                <w:rFonts w:hint="eastAsia"/>
                <w:kern w:val="0"/>
                <w:szCs w:val="21"/>
              </w:rPr>
              <w:t>根据响应产品的相关证书进行评分：</w:t>
            </w:r>
          </w:p>
          <w:p w14:paraId="00599BA2">
            <w:pPr>
              <w:jc w:val="left"/>
              <w:rPr>
                <w:kern w:val="0"/>
                <w:szCs w:val="21"/>
              </w:rPr>
            </w:pPr>
            <w:r>
              <w:rPr>
                <w:rFonts w:hint="eastAsia" w:ascii="宋体" w:hAnsi="宋体" w:cs="宋体"/>
                <w:kern w:val="0"/>
                <w:sz w:val="18"/>
                <w:szCs w:val="18"/>
              </w:rPr>
              <w:t>1、</w:t>
            </w:r>
            <w:r>
              <w:rPr>
                <w:rFonts w:hint="eastAsia"/>
                <w:kern w:val="0"/>
                <w:szCs w:val="21"/>
              </w:rPr>
              <w:t>响应产品通过国家无线电监测中心检测中心浪涌（冲击）抗扰度（4KV）测试项目，并出具国家无线电监测中心检测中心委托测试报告，得</w:t>
            </w:r>
            <w:r>
              <w:rPr>
                <w:kern w:val="0"/>
                <w:szCs w:val="21"/>
              </w:rPr>
              <w:t>1</w:t>
            </w:r>
            <w:r>
              <w:rPr>
                <w:rFonts w:hint="eastAsia"/>
                <w:kern w:val="0"/>
                <w:szCs w:val="21"/>
              </w:rPr>
              <w:t>分。</w:t>
            </w:r>
          </w:p>
          <w:p w14:paraId="08B44523">
            <w:pPr>
              <w:jc w:val="left"/>
              <w:rPr>
                <w:kern w:val="0"/>
                <w:szCs w:val="21"/>
              </w:rPr>
            </w:pPr>
            <w:r>
              <w:rPr>
                <w:rFonts w:hint="eastAsia"/>
                <w:kern w:val="0"/>
                <w:szCs w:val="21"/>
              </w:rPr>
              <w:t>2、响应产品具备国际组织（CVE）颁发的CVE兼容性认证证书（Certificate of CVE Compatibility）的，得1分。</w:t>
            </w:r>
          </w:p>
          <w:p w14:paraId="06CCF46F">
            <w:pPr>
              <w:jc w:val="left"/>
              <w:rPr>
                <w:kern w:val="0"/>
                <w:szCs w:val="21"/>
              </w:rPr>
            </w:pPr>
            <w:r>
              <w:rPr>
                <w:rFonts w:hint="eastAsia"/>
                <w:kern w:val="0"/>
                <w:szCs w:val="21"/>
              </w:rPr>
              <w:t>3、 响应产品入围Gartner防火墙魔力象限，得1分。</w:t>
            </w:r>
          </w:p>
          <w:p w14:paraId="7FCA0853">
            <w:pPr>
              <w:jc w:val="left"/>
              <w:rPr>
                <w:kern w:val="0"/>
                <w:szCs w:val="21"/>
              </w:rPr>
            </w:pPr>
            <w:r>
              <w:rPr>
                <w:rFonts w:hint="eastAsia"/>
                <w:kern w:val="0"/>
                <w:szCs w:val="21"/>
              </w:rPr>
              <w:t>提供有效期内证书复印件或证明</w:t>
            </w:r>
            <w:r>
              <w:rPr>
                <w:kern w:val="0"/>
                <w:szCs w:val="21"/>
              </w:rPr>
              <w:t>文件</w:t>
            </w:r>
            <w:r>
              <w:rPr>
                <w:rFonts w:hint="eastAsia"/>
                <w:kern w:val="0"/>
                <w:szCs w:val="21"/>
              </w:rPr>
              <w:t>。</w:t>
            </w:r>
          </w:p>
        </w:tc>
      </w:tr>
      <w:tr w14:paraId="36BC73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continue"/>
            <w:vAlign w:val="center"/>
          </w:tcPr>
          <w:p w14:paraId="2D5C7978">
            <w:pPr>
              <w:adjustRightInd w:val="0"/>
              <w:snapToGrid w:val="0"/>
              <w:jc w:val="center"/>
              <w:rPr>
                <w:b/>
                <w:bCs/>
                <w:color w:val="000000"/>
                <w:kern w:val="0"/>
                <w:szCs w:val="21"/>
              </w:rPr>
            </w:pPr>
          </w:p>
        </w:tc>
        <w:tc>
          <w:tcPr>
            <w:tcW w:w="631" w:type="pct"/>
            <w:vAlign w:val="center"/>
          </w:tcPr>
          <w:p w14:paraId="4FACBDC5">
            <w:pPr>
              <w:jc w:val="center"/>
              <w:rPr>
                <w:color w:val="000000"/>
                <w:kern w:val="0"/>
                <w:szCs w:val="21"/>
              </w:rPr>
            </w:pPr>
            <w:r>
              <w:rPr>
                <w:rFonts w:hint="eastAsia" w:ascii="宋体" w:hAnsi="宋体" w:cs="宋体"/>
                <w:b/>
                <w:bCs/>
                <w:kern w:val="0"/>
                <w:szCs w:val="21"/>
              </w:rPr>
              <w:t>合同业绩</w:t>
            </w:r>
          </w:p>
        </w:tc>
        <w:tc>
          <w:tcPr>
            <w:tcW w:w="463" w:type="pct"/>
            <w:vAlign w:val="center"/>
          </w:tcPr>
          <w:p w14:paraId="30F90BDA">
            <w:pPr>
              <w:jc w:val="center"/>
              <w:rPr>
                <w:color w:val="000000"/>
                <w:kern w:val="0"/>
                <w:szCs w:val="21"/>
              </w:rPr>
            </w:pPr>
            <w:r>
              <w:rPr>
                <w:color w:val="000000"/>
                <w:kern w:val="0"/>
                <w:szCs w:val="21"/>
              </w:rPr>
              <w:t>12</w:t>
            </w:r>
          </w:p>
        </w:tc>
        <w:tc>
          <w:tcPr>
            <w:tcW w:w="3218" w:type="pct"/>
          </w:tcPr>
          <w:p w14:paraId="5D488981">
            <w:pPr>
              <w:widowControl/>
              <w:jc w:val="left"/>
              <w:rPr>
                <w:rFonts w:hint="eastAsia" w:ascii="宋体" w:hAnsi="宋体"/>
              </w:rPr>
            </w:pPr>
            <w:r>
              <w:rPr>
                <w:rFonts w:hint="eastAsia" w:ascii="宋体" w:hAnsi="宋体" w:cs="宋体"/>
              </w:rPr>
              <w:t>1、根据响应产品</w:t>
            </w:r>
            <w:r>
              <w:rPr>
                <w:rFonts w:ascii="宋体" w:hAnsi="宋体" w:cs="宋体"/>
              </w:rPr>
              <w:t>自202</w:t>
            </w:r>
            <w:r>
              <w:rPr>
                <w:rFonts w:hint="eastAsia" w:ascii="宋体" w:hAnsi="宋体" w:cs="宋体"/>
              </w:rPr>
              <w:t>2年</w:t>
            </w:r>
            <w:r>
              <w:rPr>
                <w:rFonts w:ascii="宋体" w:hAnsi="宋体" w:cs="宋体"/>
              </w:rPr>
              <w:t>1月1日以来（以合同签订时间为准</w:t>
            </w:r>
            <w:r>
              <w:rPr>
                <w:rFonts w:hint="eastAsia" w:ascii="宋体" w:hAnsi="宋体" w:cs="宋体"/>
              </w:rPr>
              <w:t>）在中国大陆地区类似项目（合同内容需包含“防火墙”等关键字）的销售数量及金额打分。</w:t>
            </w:r>
          </w:p>
          <w:p w14:paraId="42CFF580">
            <w:pPr>
              <w:widowControl/>
              <w:jc w:val="left"/>
              <w:rPr>
                <w:rFonts w:hint="eastAsia" w:ascii="宋体" w:hAnsi="宋体" w:cs="宋体"/>
              </w:rPr>
            </w:pPr>
            <w:r>
              <w:rPr>
                <w:rFonts w:hint="eastAsia" w:ascii="宋体" w:hAnsi="宋体" w:cs="宋体"/>
              </w:rPr>
              <w:t>每有一份单份合同金额超过30万元（含）的，得</w:t>
            </w:r>
            <w:r>
              <w:rPr>
                <w:rFonts w:ascii="宋体" w:hAnsi="宋体" w:cs="宋体"/>
              </w:rPr>
              <w:t>2</w:t>
            </w:r>
            <w:r>
              <w:rPr>
                <w:rFonts w:hint="eastAsia" w:ascii="宋体" w:hAnsi="宋体" w:cs="宋体"/>
              </w:rPr>
              <w:t>分，满分</w:t>
            </w:r>
            <w:r>
              <w:rPr>
                <w:rFonts w:ascii="宋体" w:hAnsi="宋体" w:cs="宋体"/>
              </w:rPr>
              <w:t>8</w:t>
            </w:r>
            <w:r>
              <w:rPr>
                <w:rFonts w:hint="eastAsia" w:ascii="宋体" w:hAnsi="宋体" w:cs="宋体"/>
              </w:rPr>
              <w:t>分。</w:t>
            </w:r>
          </w:p>
          <w:p w14:paraId="3F0A0EF6">
            <w:pPr>
              <w:jc w:val="left"/>
              <w:rPr>
                <w:szCs w:val="21"/>
              </w:rPr>
            </w:pPr>
            <w:r>
              <w:rPr>
                <w:rFonts w:hint="eastAsia"/>
                <w:szCs w:val="21"/>
              </w:rPr>
              <w:t>2、</w:t>
            </w:r>
            <w:r>
              <w:rPr>
                <w:rFonts w:hint="eastAsia" w:ascii="宋体" w:hAnsi="宋体" w:cs="宋体"/>
              </w:rPr>
              <w:t>根据响应产品</w:t>
            </w:r>
            <w:r>
              <w:rPr>
                <w:rFonts w:ascii="宋体" w:hAnsi="宋体" w:cs="宋体"/>
              </w:rPr>
              <w:t>自202</w:t>
            </w:r>
            <w:r>
              <w:rPr>
                <w:rFonts w:hint="eastAsia" w:ascii="宋体" w:hAnsi="宋体" w:cs="宋体"/>
              </w:rPr>
              <w:t>2年</w:t>
            </w:r>
            <w:r>
              <w:rPr>
                <w:rFonts w:ascii="宋体" w:hAnsi="宋体" w:cs="宋体"/>
              </w:rPr>
              <w:t>1月1日以来（以合同签订时间为准</w:t>
            </w:r>
            <w:r>
              <w:rPr>
                <w:rFonts w:hint="eastAsia" w:ascii="宋体" w:hAnsi="宋体" w:cs="宋体"/>
              </w:rPr>
              <w:t>）在中国大陆地区类似项目（合同内容需包含“防火墙”等关键字）的销售合同累计金额打分。</w:t>
            </w:r>
          </w:p>
          <w:p w14:paraId="7FECB693">
            <w:pPr>
              <w:widowControl/>
              <w:jc w:val="left"/>
              <w:rPr>
                <w:rFonts w:hint="eastAsia" w:ascii="宋体" w:hAnsi="宋体" w:cs="宋体"/>
              </w:rPr>
            </w:pPr>
            <w:r>
              <w:rPr>
                <w:rFonts w:hint="eastAsia"/>
                <w:szCs w:val="21"/>
              </w:rPr>
              <w:t>（1）</w:t>
            </w:r>
            <w:r>
              <w:rPr>
                <w:rFonts w:hint="eastAsia" w:ascii="宋体" w:hAnsi="宋体" w:cs="宋体"/>
              </w:rPr>
              <w:t>合同累计金额＞</w:t>
            </w:r>
            <w:r>
              <w:rPr>
                <w:rFonts w:ascii="宋体" w:hAnsi="宋体" w:cs="宋体"/>
              </w:rPr>
              <w:t>60</w:t>
            </w:r>
            <w:r>
              <w:rPr>
                <w:rFonts w:hint="eastAsia" w:ascii="宋体" w:hAnsi="宋体" w:cs="宋体"/>
              </w:rPr>
              <w:t>万元的，得</w:t>
            </w:r>
            <w:r>
              <w:rPr>
                <w:rFonts w:ascii="宋体" w:hAnsi="宋体" w:cs="宋体"/>
              </w:rPr>
              <w:t>4</w:t>
            </w:r>
            <w:r>
              <w:rPr>
                <w:rFonts w:hint="eastAsia" w:ascii="宋体" w:hAnsi="宋体" w:cs="宋体"/>
              </w:rPr>
              <w:t>分；</w:t>
            </w:r>
          </w:p>
          <w:p w14:paraId="372522FC">
            <w:pPr>
              <w:widowControl/>
              <w:jc w:val="left"/>
              <w:rPr>
                <w:rFonts w:hint="eastAsia" w:ascii="宋体" w:hAnsi="宋体" w:cs="宋体"/>
              </w:rPr>
            </w:pPr>
            <w:r>
              <w:rPr>
                <w:rFonts w:hint="eastAsia" w:ascii="宋体" w:hAnsi="宋体" w:cs="宋体"/>
              </w:rPr>
              <w:t>（2）</w:t>
            </w:r>
            <w:r>
              <w:rPr>
                <w:rFonts w:ascii="宋体" w:hAnsi="宋体" w:cs="宋体"/>
              </w:rPr>
              <w:t>3</w:t>
            </w:r>
            <w:r>
              <w:rPr>
                <w:rFonts w:hint="eastAsia" w:ascii="宋体" w:hAnsi="宋体" w:cs="宋体"/>
              </w:rPr>
              <w:t>0万元＜合同累计金额≤</w:t>
            </w:r>
            <w:r>
              <w:rPr>
                <w:rFonts w:ascii="宋体" w:hAnsi="宋体" w:cs="宋体"/>
              </w:rPr>
              <w:t>60</w:t>
            </w:r>
            <w:r>
              <w:rPr>
                <w:rFonts w:hint="eastAsia" w:ascii="宋体" w:hAnsi="宋体" w:cs="宋体"/>
              </w:rPr>
              <w:t>万元，得</w:t>
            </w:r>
            <w:r>
              <w:rPr>
                <w:rFonts w:ascii="宋体" w:hAnsi="宋体" w:cs="宋体"/>
              </w:rPr>
              <w:t>2</w:t>
            </w:r>
            <w:r>
              <w:rPr>
                <w:rFonts w:hint="eastAsia" w:ascii="宋体" w:hAnsi="宋体" w:cs="宋体"/>
              </w:rPr>
              <w:t>分；</w:t>
            </w:r>
          </w:p>
          <w:p w14:paraId="26BBE182">
            <w:pPr>
              <w:widowControl/>
              <w:jc w:val="left"/>
              <w:rPr>
                <w:rFonts w:hint="eastAsia" w:ascii="宋体" w:hAnsi="宋体" w:cs="宋体"/>
              </w:rPr>
            </w:pPr>
            <w:r>
              <w:rPr>
                <w:rFonts w:hint="eastAsia" w:ascii="宋体" w:hAnsi="宋体" w:cs="宋体"/>
              </w:rPr>
              <w:t>（3）合同累计金额≤</w:t>
            </w:r>
            <w:r>
              <w:rPr>
                <w:rFonts w:ascii="宋体" w:hAnsi="宋体" w:cs="宋体"/>
              </w:rPr>
              <w:t>3</w:t>
            </w:r>
            <w:r>
              <w:rPr>
                <w:rFonts w:hint="eastAsia" w:ascii="宋体" w:hAnsi="宋体" w:cs="宋体"/>
              </w:rPr>
              <w:t>0万元的，不得分。</w:t>
            </w:r>
          </w:p>
          <w:p w14:paraId="10C70867">
            <w:pPr>
              <w:jc w:val="left"/>
              <w:rPr>
                <w:szCs w:val="21"/>
              </w:rPr>
            </w:pPr>
            <w:r>
              <w:rPr>
                <w:szCs w:val="21"/>
              </w:rPr>
              <w:t>需提供</w:t>
            </w:r>
            <w:r>
              <w:rPr>
                <w:rFonts w:hint="eastAsia"/>
                <w:szCs w:val="21"/>
              </w:rPr>
              <w:t>：</w:t>
            </w:r>
          </w:p>
          <w:p w14:paraId="3E9A1888">
            <w:pPr>
              <w:jc w:val="left"/>
              <w:rPr>
                <w:szCs w:val="21"/>
              </w:rPr>
            </w:pPr>
            <w:r>
              <w:rPr>
                <w:szCs w:val="21"/>
              </w:rPr>
              <w:t>（1）</w:t>
            </w:r>
            <w:r>
              <w:rPr>
                <w:rFonts w:hint="eastAsia"/>
                <w:szCs w:val="21"/>
              </w:rPr>
              <w:t>销售</w:t>
            </w:r>
            <w:r>
              <w:rPr>
                <w:szCs w:val="21"/>
              </w:rPr>
              <w:t>合同关键页扫描件（至少包含合同封面、内容、金额、货物名称、签字盖章页；或能体现前述内容的合同关键页）；</w:t>
            </w:r>
          </w:p>
          <w:p w14:paraId="38ABED54">
            <w:pPr>
              <w:jc w:val="left"/>
              <w:rPr>
                <w:color w:val="000000"/>
                <w:kern w:val="0"/>
                <w:szCs w:val="21"/>
              </w:rPr>
            </w:pPr>
            <w:r>
              <w:rPr>
                <w:szCs w:val="21"/>
              </w:rPr>
              <w:t>（2）如提供的合同为框架合同且不能体现具体金额的，须另附该合同项下的结算单或订单，该框架合同金额以结算单或订单累计金额为准，仅有订单未有对应合同的，该份业绩不予认可</w:t>
            </w:r>
            <w:r>
              <w:rPr>
                <w:rFonts w:hint="eastAsia"/>
                <w:szCs w:val="21"/>
              </w:rPr>
              <w:t>。</w:t>
            </w:r>
          </w:p>
        </w:tc>
      </w:tr>
      <w:tr w14:paraId="70DB17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continue"/>
            <w:vAlign w:val="center"/>
          </w:tcPr>
          <w:p w14:paraId="76B25EF9">
            <w:pPr>
              <w:adjustRightInd w:val="0"/>
              <w:snapToGrid w:val="0"/>
              <w:jc w:val="center"/>
              <w:rPr>
                <w:b/>
                <w:bCs/>
                <w:color w:val="000000"/>
                <w:kern w:val="0"/>
                <w:szCs w:val="21"/>
              </w:rPr>
            </w:pPr>
          </w:p>
        </w:tc>
        <w:tc>
          <w:tcPr>
            <w:tcW w:w="631" w:type="pct"/>
            <w:vAlign w:val="center"/>
          </w:tcPr>
          <w:p w14:paraId="33F273D0">
            <w:pPr>
              <w:jc w:val="center"/>
              <w:rPr>
                <w:color w:val="000000"/>
                <w:kern w:val="0"/>
                <w:szCs w:val="21"/>
              </w:rPr>
            </w:pPr>
            <w:r>
              <w:rPr>
                <w:rFonts w:hint="eastAsia" w:ascii="宋体" w:hAnsi="宋体" w:cs="宋体"/>
                <w:b/>
                <w:bCs/>
                <w:kern w:val="0"/>
                <w:szCs w:val="21"/>
              </w:rPr>
              <w:t>投标文件有效性</w:t>
            </w:r>
          </w:p>
        </w:tc>
        <w:tc>
          <w:tcPr>
            <w:tcW w:w="463" w:type="pct"/>
            <w:vAlign w:val="center"/>
          </w:tcPr>
          <w:p w14:paraId="7751C80D">
            <w:pPr>
              <w:adjustRightInd w:val="0"/>
              <w:snapToGrid w:val="0"/>
              <w:jc w:val="center"/>
              <w:rPr>
                <w:color w:val="000000"/>
                <w:kern w:val="0"/>
                <w:szCs w:val="21"/>
              </w:rPr>
            </w:pPr>
            <w:r>
              <w:rPr>
                <w:color w:val="000000"/>
                <w:kern w:val="0"/>
                <w:szCs w:val="21"/>
              </w:rPr>
              <w:t>2</w:t>
            </w:r>
          </w:p>
        </w:tc>
        <w:tc>
          <w:tcPr>
            <w:tcW w:w="3218" w:type="pct"/>
            <w:vAlign w:val="center"/>
          </w:tcPr>
          <w:p w14:paraId="1774A498">
            <w:pPr>
              <w:jc w:val="left"/>
              <w:rPr>
                <w:color w:val="000000"/>
                <w:kern w:val="0"/>
                <w:szCs w:val="21"/>
              </w:rPr>
            </w:pPr>
            <w:r>
              <w:rPr>
                <w:rFonts w:hint="eastAsia"/>
                <w:color w:val="000000"/>
                <w:kern w:val="0"/>
                <w:szCs w:val="21"/>
              </w:rPr>
              <w:t>供应商响应</w:t>
            </w:r>
            <w:r>
              <w:rPr>
                <w:color w:val="000000"/>
                <w:kern w:val="0"/>
                <w:szCs w:val="21"/>
              </w:rPr>
              <w:t>文件完全符合</w:t>
            </w:r>
            <w:r>
              <w:rPr>
                <w:rFonts w:hint="eastAsia"/>
                <w:color w:val="000000"/>
                <w:kern w:val="0"/>
                <w:szCs w:val="21"/>
              </w:rPr>
              <w:t>谈判</w:t>
            </w:r>
            <w:r>
              <w:rPr>
                <w:color w:val="000000"/>
                <w:kern w:val="0"/>
                <w:szCs w:val="21"/>
              </w:rPr>
              <w:t>文件的形式要求，无缺、漏项；文字清晰、描述清楚得2分；如果发现严重缺漏、负偏离或任何弄虚作假的行为，则直接取消参评资格。</w:t>
            </w:r>
          </w:p>
        </w:tc>
      </w:tr>
      <w:tr w14:paraId="04E53C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688" w:type="pct"/>
            <w:vMerge w:val="restart"/>
            <w:vAlign w:val="center"/>
          </w:tcPr>
          <w:p w14:paraId="201185DB">
            <w:pPr>
              <w:adjustRightInd w:val="0"/>
              <w:snapToGrid w:val="0"/>
              <w:jc w:val="center"/>
              <w:rPr>
                <w:b/>
                <w:bCs/>
                <w:color w:val="000000"/>
                <w:kern w:val="0"/>
                <w:szCs w:val="21"/>
              </w:rPr>
            </w:pPr>
            <w:r>
              <w:rPr>
                <w:b/>
                <w:bCs/>
                <w:color w:val="000000"/>
                <w:kern w:val="0"/>
                <w:szCs w:val="21"/>
              </w:rPr>
              <w:t>技术</w:t>
            </w:r>
          </w:p>
          <w:p w14:paraId="5B48D489">
            <w:pPr>
              <w:adjustRightInd w:val="0"/>
              <w:snapToGrid w:val="0"/>
              <w:jc w:val="center"/>
              <w:rPr>
                <w:b/>
                <w:bCs/>
                <w:color w:val="000000"/>
                <w:kern w:val="0"/>
                <w:szCs w:val="21"/>
              </w:rPr>
            </w:pPr>
            <w:r>
              <w:rPr>
                <w:b/>
                <w:bCs/>
                <w:color w:val="000000"/>
                <w:kern w:val="0"/>
                <w:szCs w:val="21"/>
              </w:rPr>
              <w:t>部分</w:t>
            </w:r>
          </w:p>
          <w:p w14:paraId="140E6B88">
            <w:pPr>
              <w:adjustRightInd w:val="0"/>
              <w:snapToGrid w:val="0"/>
              <w:jc w:val="center"/>
              <w:rPr>
                <w:b/>
                <w:bCs/>
                <w:color w:val="000000"/>
                <w:kern w:val="0"/>
                <w:szCs w:val="21"/>
              </w:rPr>
            </w:pPr>
            <w:r>
              <w:rPr>
                <w:b/>
                <w:bCs/>
                <w:color w:val="000000"/>
                <w:kern w:val="0"/>
                <w:szCs w:val="21"/>
              </w:rPr>
              <w:t>（27</w:t>
            </w:r>
            <w:r>
              <w:rPr>
                <w:rFonts w:hint="eastAsia"/>
                <w:b/>
                <w:bCs/>
                <w:color w:val="000000"/>
                <w:kern w:val="0"/>
                <w:szCs w:val="21"/>
              </w:rPr>
              <w:t>分</w:t>
            </w:r>
            <w:r>
              <w:rPr>
                <w:b/>
                <w:bCs/>
                <w:color w:val="000000"/>
                <w:kern w:val="0"/>
                <w:szCs w:val="21"/>
              </w:rPr>
              <w:t>）</w:t>
            </w:r>
          </w:p>
        </w:tc>
        <w:tc>
          <w:tcPr>
            <w:tcW w:w="631" w:type="pct"/>
            <w:vAlign w:val="center"/>
          </w:tcPr>
          <w:p w14:paraId="083FF921">
            <w:pPr>
              <w:jc w:val="center"/>
              <w:rPr>
                <w:rFonts w:hint="eastAsia" w:ascii="宋体" w:hAnsi="宋体" w:cs="宋体"/>
                <w:b/>
                <w:bCs/>
                <w:kern w:val="0"/>
                <w:szCs w:val="21"/>
              </w:rPr>
            </w:pPr>
            <w:r>
              <w:rPr>
                <w:rFonts w:hint="eastAsia" w:ascii="宋体" w:hAnsi="宋体" w:cs="宋体"/>
                <w:b/>
                <w:bCs/>
                <w:kern w:val="0"/>
                <w:szCs w:val="21"/>
              </w:rPr>
              <w:t>技术响应</w:t>
            </w:r>
          </w:p>
        </w:tc>
        <w:tc>
          <w:tcPr>
            <w:tcW w:w="463" w:type="pct"/>
            <w:vAlign w:val="center"/>
          </w:tcPr>
          <w:p w14:paraId="19452DB9">
            <w:pPr>
              <w:jc w:val="center"/>
              <w:rPr>
                <w:color w:val="000000"/>
                <w:kern w:val="0"/>
                <w:szCs w:val="21"/>
              </w:rPr>
            </w:pPr>
            <w:r>
              <w:rPr>
                <w:color w:val="000000"/>
                <w:kern w:val="0"/>
                <w:szCs w:val="21"/>
              </w:rPr>
              <w:t>15</w:t>
            </w:r>
          </w:p>
        </w:tc>
        <w:tc>
          <w:tcPr>
            <w:tcW w:w="3218" w:type="pct"/>
            <w:vAlign w:val="center"/>
          </w:tcPr>
          <w:p w14:paraId="0DF7D7AB">
            <w:pPr>
              <w:widowControl/>
              <w:spacing w:line="290" w:lineRule="exact"/>
              <w:jc w:val="left"/>
              <w:rPr>
                <w:kern w:val="0"/>
                <w:szCs w:val="21"/>
              </w:rPr>
            </w:pPr>
            <w:r>
              <w:rPr>
                <w:kern w:val="0"/>
                <w:szCs w:val="21"/>
              </w:rPr>
              <w:t>根据</w:t>
            </w:r>
            <w:r>
              <w:rPr>
                <w:rFonts w:hint="eastAsia"/>
                <w:kern w:val="0"/>
                <w:szCs w:val="21"/>
              </w:rPr>
              <w:t>响应</w:t>
            </w:r>
            <w:r>
              <w:rPr>
                <w:kern w:val="0"/>
                <w:szCs w:val="21"/>
              </w:rPr>
              <w:t>产品对</w:t>
            </w:r>
            <w:r>
              <w:rPr>
                <w:rFonts w:hint="eastAsia"/>
                <w:kern w:val="0"/>
                <w:szCs w:val="21"/>
              </w:rPr>
              <w:t>谈判</w:t>
            </w:r>
            <w:r>
              <w:rPr>
                <w:kern w:val="0"/>
                <w:szCs w:val="21"/>
              </w:rPr>
              <w:t>文件第五章《技术需求书》的偏离情况打分，基本分15分。</w:t>
            </w:r>
          </w:p>
          <w:p w14:paraId="78197D34">
            <w:pPr>
              <w:rPr>
                <w:color w:val="000000"/>
                <w:kern w:val="0"/>
                <w:szCs w:val="21"/>
              </w:rPr>
            </w:pPr>
            <w:r>
              <w:rPr>
                <w:color w:val="010101"/>
                <w:kern w:val="0"/>
                <w:szCs w:val="21"/>
              </w:rPr>
              <w:t>关键条款（</w:t>
            </w:r>
            <w:r>
              <w:rPr>
                <w:rFonts w:hint="eastAsia"/>
                <w:color w:val="010101"/>
                <w:kern w:val="0"/>
                <w:szCs w:val="21"/>
              </w:rPr>
              <w:t>“</w:t>
            </w:r>
            <w:r>
              <w:rPr>
                <w:rFonts w:ascii="宋体" w:hAnsi="宋体" w:cs="宋体"/>
                <w:color w:val="010101"/>
                <w:kern w:val="0"/>
                <w:szCs w:val="21"/>
              </w:rPr>
              <w:t>★</w:t>
            </w:r>
            <w:r>
              <w:rPr>
                <w:rFonts w:hint="eastAsia"/>
                <w:color w:val="010101"/>
                <w:kern w:val="0"/>
                <w:szCs w:val="21"/>
              </w:rPr>
              <w:t>”</w:t>
            </w:r>
            <w:r>
              <w:rPr>
                <w:color w:val="010101"/>
                <w:kern w:val="0"/>
                <w:szCs w:val="21"/>
              </w:rPr>
              <w:t>号条款）不满</w:t>
            </w:r>
            <w:r>
              <w:rPr>
                <w:kern w:val="0"/>
                <w:szCs w:val="21"/>
              </w:rPr>
              <w:t>足的直接否决投标</w:t>
            </w:r>
            <w:r>
              <w:rPr>
                <w:rFonts w:hint="eastAsia"/>
                <w:kern w:val="0"/>
                <w:szCs w:val="21"/>
              </w:rPr>
              <w:t>；非关键条款每项不满足扣3分，基本分扣完为止。</w:t>
            </w:r>
          </w:p>
        </w:tc>
      </w:tr>
      <w:tr w14:paraId="4FFE71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pct"/>
            <w:vMerge w:val="continue"/>
            <w:vAlign w:val="center"/>
          </w:tcPr>
          <w:p w14:paraId="693D00C1">
            <w:pPr>
              <w:adjustRightInd w:val="0"/>
              <w:snapToGrid w:val="0"/>
              <w:jc w:val="center"/>
              <w:rPr>
                <w:b/>
                <w:bCs/>
                <w:color w:val="000000"/>
                <w:kern w:val="0"/>
                <w:szCs w:val="21"/>
              </w:rPr>
            </w:pPr>
          </w:p>
        </w:tc>
        <w:tc>
          <w:tcPr>
            <w:tcW w:w="631" w:type="pct"/>
            <w:vMerge w:val="restart"/>
            <w:vAlign w:val="center"/>
          </w:tcPr>
          <w:p w14:paraId="6452E3FF">
            <w:pPr>
              <w:jc w:val="center"/>
              <w:rPr>
                <w:rFonts w:hint="eastAsia" w:ascii="宋体" w:hAnsi="宋体" w:cs="宋体"/>
                <w:b/>
                <w:bCs/>
                <w:kern w:val="0"/>
                <w:szCs w:val="21"/>
              </w:rPr>
            </w:pPr>
            <w:r>
              <w:rPr>
                <w:rFonts w:hint="eastAsia" w:ascii="宋体" w:hAnsi="宋体" w:cs="宋体"/>
                <w:b/>
                <w:bCs/>
                <w:kern w:val="0"/>
                <w:szCs w:val="21"/>
              </w:rPr>
              <w:t>项目实施方案和要求</w:t>
            </w:r>
          </w:p>
        </w:tc>
        <w:tc>
          <w:tcPr>
            <w:tcW w:w="463" w:type="pct"/>
            <w:vMerge w:val="restart"/>
            <w:vAlign w:val="center"/>
          </w:tcPr>
          <w:p w14:paraId="5B019F74">
            <w:pPr>
              <w:jc w:val="center"/>
              <w:rPr>
                <w:color w:val="000000"/>
                <w:kern w:val="0"/>
                <w:szCs w:val="21"/>
              </w:rPr>
            </w:pPr>
            <w:r>
              <w:rPr>
                <w:rFonts w:ascii="宋体" w:hAnsi="宋体"/>
                <w:bCs/>
                <w:szCs w:val="21"/>
              </w:rPr>
              <w:t>10</w:t>
            </w:r>
          </w:p>
        </w:tc>
        <w:tc>
          <w:tcPr>
            <w:tcW w:w="3218" w:type="pct"/>
            <w:vAlign w:val="center"/>
          </w:tcPr>
          <w:p w14:paraId="684EFB9B">
            <w:pPr>
              <w:widowControl/>
              <w:spacing w:line="290" w:lineRule="exact"/>
              <w:jc w:val="left"/>
              <w:rPr>
                <w:szCs w:val="21"/>
              </w:rPr>
            </w:pPr>
            <w:r>
              <w:t>根据</w:t>
            </w:r>
            <w:r>
              <w:rPr>
                <w:rFonts w:hint="eastAsia"/>
              </w:rPr>
              <w:t>供应商</w:t>
            </w:r>
            <w:r>
              <w:t>提供的“割接方案”，包括</w:t>
            </w:r>
            <w:r>
              <w:rPr>
                <w:szCs w:val="21"/>
              </w:rPr>
              <w:t>割接实施计划、业务计划中断时长、割接前后所需的配合工作（包括但不限于其它厂商人员、设备工具及外围对接系统等内容）等方面</w:t>
            </w:r>
            <w:r>
              <w:t>进行评分。</w:t>
            </w:r>
          </w:p>
          <w:p w14:paraId="39175AAD">
            <w:pPr>
              <w:tabs>
                <w:tab w:val="left" w:pos="0"/>
                <w:tab w:val="left" w:pos="402"/>
              </w:tabs>
            </w:pPr>
            <w:r>
              <w:rPr>
                <w:kern w:val="0"/>
                <w:szCs w:val="21"/>
              </w:rPr>
              <w:t>优</w:t>
            </w:r>
            <w:r>
              <w:rPr>
                <w:rStyle w:val="27"/>
                <w:rFonts w:hint="default"/>
                <w:color w:val="000000"/>
                <w:szCs w:val="21"/>
              </w:rPr>
              <w:t>良（2，3]分；较好</w:t>
            </w:r>
            <w:r>
              <w:rPr>
                <w:rStyle w:val="27"/>
                <w:rFonts w:hint="default"/>
                <w:color w:val="000000"/>
                <w:kern w:val="0"/>
                <w:szCs w:val="21"/>
              </w:rPr>
              <w:t>[1，2]</w:t>
            </w:r>
            <w:r>
              <w:rPr>
                <w:rStyle w:val="27"/>
                <w:rFonts w:hint="default"/>
                <w:color w:val="000000"/>
                <w:szCs w:val="21"/>
              </w:rPr>
              <w:t>分</w:t>
            </w:r>
            <w:r>
              <w:rPr>
                <w:rStyle w:val="27"/>
                <w:rFonts w:hint="default"/>
                <w:color w:val="000000"/>
                <w:kern w:val="0"/>
                <w:szCs w:val="21"/>
              </w:rPr>
              <w:t>；</w:t>
            </w:r>
            <w:r>
              <w:rPr>
                <w:rStyle w:val="27"/>
                <w:rFonts w:hint="default"/>
                <w:color w:val="000000"/>
                <w:szCs w:val="21"/>
              </w:rPr>
              <w:t>一般[0，1)分</w:t>
            </w:r>
            <w:r>
              <w:rPr>
                <w:kern w:val="0"/>
                <w:szCs w:val="21"/>
              </w:rPr>
              <w:t>。</w:t>
            </w:r>
          </w:p>
        </w:tc>
      </w:tr>
      <w:tr w14:paraId="1FE001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pct"/>
            <w:vMerge w:val="continue"/>
            <w:vAlign w:val="center"/>
          </w:tcPr>
          <w:p w14:paraId="6F633560">
            <w:pPr>
              <w:adjustRightInd w:val="0"/>
              <w:snapToGrid w:val="0"/>
              <w:jc w:val="center"/>
              <w:rPr>
                <w:b/>
                <w:bCs/>
                <w:color w:val="000000"/>
                <w:kern w:val="0"/>
                <w:szCs w:val="21"/>
              </w:rPr>
            </w:pPr>
          </w:p>
        </w:tc>
        <w:tc>
          <w:tcPr>
            <w:tcW w:w="631" w:type="pct"/>
            <w:vMerge w:val="continue"/>
            <w:vAlign w:val="center"/>
          </w:tcPr>
          <w:p w14:paraId="4C039B03">
            <w:pPr>
              <w:jc w:val="center"/>
              <w:rPr>
                <w:rFonts w:hint="eastAsia" w:ascii="宋体" w:hAnsi="宋体" w:cs="宋体"/>
                <w:b/>
                <w:bCs/>
                <w:kern w:val="0"/>
                <w:szCs w:val="21"/>
              </w:rPr>
            </w:pPr>
          </w:p>
        </w:tc>
        <w:tc>
          <w:tcPr>
            <w:tcW w:w="463" w:type="pct"/>
            <w:vMerge w:val="continue"/>
            <w:vAlign w:val="center"/>
          </w:tcPr>
          <w:p w14:paraId="415E94BC">
            <w:pPr>
              <w:jc w:val="center"/>
              <w:rPr>
                <w:rFonts w:hint="eastAsia" w:ascii="宋体" w:hAnsi="宋体"/>
                <w:bCs/>
                <w:szCs w:val="21"/>
              </w:rPr>
            </w:pPr>
          </w:p>
        </w:tc>
        <w:tc>
          <w:tcPr>
            <w:tcW w:w="3218" w:type="pct"/>
            <w:vAlign w:val="center"/>
          </w:tcPr>
          <w:p w14:paraId="647CD78C">
            <w:pPr>
              <w:numPr>
                <w:ilvl w:val="255"/>
                <w:numId w:val="0"/>
              </w:numPr>
            </w:pPr>
            <w:r>
              <w:t>根据投标人响应的割接时间窗口进行打分。</w:t>
            </w:r>
          </w:p>
          <w:p w14:paraId="2465FB3D">
            <w:pPr>
              <w:numPr>
                <w:ilvl w:val="0"/>
                <w:numId w:val="1"/>
              </w:numPr>
            </w:pPr>
            <w:r>
              <w:t>时间窗口≤1分钟，得4分。</w:t>
            </w:r>
          </w:p>
          <w:p w14:paraId="776423C8">
            <w:pPr>
              <w:numPr>
                <w:ilvl w:val="0"/>
                <w:numId w:val="1"/>
              </w:numPr>
            </w:pPr>
            <w:r>
              <w:t>1分钟＜时间窗口≤3分钟，得1分。</w:t>
            </w:r>
          </w:p>
          <w:p w14:paraId="57BD9A94">
            <w:pPr>
              <w:widowControl/>
              <w:jc w:val="left"/>
              <w:rPr>
                <w:rFonts w:hint="eastAsia" w:ascii="宋体" w:hAnsi="宋体"/>
              </w:rPr>
            </w:pPr>
            <w:r>
              <w:rPr>
                <w:rFonts w:hint="eastAsia"/>
              </w:rPr>
              <w:t>3、</w:t>
            </w:r>
            <w:r>
              <w:t>时间窗口＞3分钟，不得分。</w:t>
            </w:r>
          </w:p>
        </w:tc>
      </w:tr>
      <w:tr w14:paraId="78C1B8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pct"/>
            <w:vMerge w:val="continue"/>
            <w:vAlign w:val="center"/>
          </w:tcPr>
          <w:p w14:paraId="6FA27387">
            <w:pPr>
              <w:adjustRightInd w:val="0"/>
              <w:snapToGrid w:val="0"/>
              <w:jc w:val="center"/>
              <w:rPr>
                <w:b/>
                <w:bCs/>
                <w:color w:val="000000"/>
                <w:kern w:val="0"/>
                <w:szCs w:val="21"/>
              </w:rPr>
            </w:pPr>
          </w:p>
        </w:tc>
        <w:tc>
          <w:tcPr>
            <w:tcW w:w="631" w:type="pct"/>
            <w:vMerge w:val="continue"/>
            <w:vAlign w:val="center"/>
          </w:tcPr>
          <w:p w14:paraId="4636FB34">
            <w:pPr>
              <w:jc w:val="center"/>
              <w:rPr>
                <w:rFonts w:hint="eastAsia" w:ascii="宋体" w:hAnsi="宋体" w:cs="宋体"/>
                <w:b/>
                <w:bCs/>
                <w:kern w:val="0"/>
                <w:szCs w:val="21"/>
              </w:rPr>
            </w:pPr>
          </w:p>
        </w:tc>
        <w:tc>
          <w:tcPr>
            <w:tcW w:w="463" w:type="pct"/>
            <w:vMerge w:val="continue"/>
            <w:vAlign w:val="center"/>
          </w:tcPr>
          <w:p w14:paraId="464FC8CA">
            <w:pPr>
              <w:jc w:val="center"/>
              <w:rPr>
                <w:rFonts w:hint="eastAsia" w:ascii="宋体" w:hAnsi="宋体"/>
                <w:bCs/>
                <w:szCs w:val="21"/>
              </w:rPr>
            </w:pPr>
          </w:p>
        </w:tc>
        <w:tc>
          <w:tcPr>
            <w:tcW w:w="3218" w:type="pct"/>
            <w:vAlign w:val="center"/>
          </w:tcPr>
          <w:p w14:paraId="7DD6D17C">
            <w:pPr>
              <w:widowControl/>
              <w:jc w:val="left"/>
              <w:rPr>
                <w:rFonts w:hint="eastAsia" w:ascii="宋体" w:hAnsi="宋体"/>
                <w:szCs w:val="21"/>
              </w:rPr>
            </w:pPr>
            <w:r>
              <w:rPr>
                <w:rFonts w:hint="eastAsia" w:ascii="宋体" w:hAnsi="宋体"/>
              </w:rPr>
              <w:t>根据供应商提供的针对本项目的实施方案和</w:t>
            </w:r>
            <w:r>
              <w:rPr>
                <w:rFonts w:ascii="宋体" w:hAnsi="宋体"/>
              </w:rPr>
              <w:t>实施要求</w:t>
            </w:r>
            <w:r>
              <w:rPr>
                <w:rFonts w:hint="eastAsia" w:ascii="宋体" w:hAnsi="宋体"/>
              </w:rPr>
              <w:t>，包括计划完成时间（具体到货、安装、调试、运行等工程进度表和分工界面）、质量管控措施、</w:t>
            </w:r>
            <w:r>
              <w:rPr>
                <w:rFonts w:hint="eastAsia" w:ascii="宋体" w:hAnsi="宋体"/>
                <w:color w:val="000000"/>
              </w:rPr>
              <w:t>实施计划清晰、相关资源配置到位、项目团队配置</w:t>
            </w:r>
            <w:r>
              <w:rPr>
                <w:rFonts w:hint="eastAsia" w:ascii="宋体" w:hAnsi="宋体"/>
              </w:rPr>
              <w:t>等进行评分。</w:t>
            </w:r>
          </w:p>
          <w:p w14:paraId="352F75AA">
            <w:pPr>
              <w:widowControl/>
              <w:jc w:val="left"/>
              <w:rPr>
                <w:rFonts w:hint="eastAsia" w:ascii="宋体" w:hAnsi="宋体"/>
              </w:rPr>
            </w:pPr>
            <w:r>
              <w:rPr>
                <w:rFonts w:hint="eastAsia" w:ascii="宋体" w:hAnsi="宋体"/>
                <w:kern w:val="0"/>
                <w:szCs w:val="21"/>
              </w:rPr>
              <w:t>优</w:t>
            </w:r>
            <w:r>
              <w:rPr>
                <w:rStyle w:val="27"/>
                <w:rFonts w:hint="default" w:cs="Times New Roman"/>
                <w:color w:val="000000"/>
                <w:sz w:val="21"/>
                <w:szCs w:val="21"/>
              </w:rPr>
              <w:t>良(2，3]分；较好</w:t>
            </w:r>
            <w:r>
              <w:rPr>
                <w:rStyle w:val="27"/>
                <w:rFonts w:hint="default" w:cs="Times New Roman"/>
                <w:color w:val="000000"/>
                <w:kern w:val="0"/>
                <w:sz w:val="21"/>
                <w:szCs w:val="21"/>
              </w:rPr>
              <w:t>[1，2]</w:t>
            </w:r>
            <w:r>
              <w:rPr>
                <w:rStyle w:val="27"/>
                <w:rFonts w:hint="default" w:cs="Times New Roman"/>
                <w:color w:val="000000"/>
                <w:sz w:val="21"/>
                <w:szCs w:val="21"/>
              </w:rPr>
              <w:t>分</w:t>
            </w:r>
            <w:r>
              <w:rPr>
                <w:rStyle w:val="27"/>
                <w:rFonts w:hint="default" w:cs="Times New Roman"/>
                <w:color w:val="000000"/>
                <w:kern w:val="0"/>
                <w:sz w:val="21"/>
                <w:szCs w:val="21"/>
              </w:rPr>
              <w:t>；</w:t>
            </w:r>
            <w:r>
              <w:rPr>
                <w:rStyle w:val="27"/>
                <w:rFonts w:hint="default" w:cs="Times New Roman"/>
                <w:color w:val="000000"/>
                <w:sz w:val="21"/>
                <w:szCs w:val="21"/>
              </w:rPr>
              <w:t>一般[0，1)分</w:t>
            </w:r>
            <w:r>
              <w:rPr>
                <w:rFonts w:hint="eastAsia" w:ascii="宋体" w:hAnsi="宋体"/>
                <w:kern w:val="0"/>
                <w:szCs w:val="21"/>
              </w:rPr>
              <w:t>。</w:t>
            </w:r>
          </w:p>
        </w:tc>
      </w:tr>
      <w:tr w14:paraId="061490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688" w:type="pct"/>
            <w:vMerge w:val="continue"/>
            <w:vAlign w:val="center"/>
          </w:tcPr>
          <w:p w14:paraId="3AD8735D">
            <w:pPr>
              <w:adjustRightInd w:val="0"/>
              <w:snapToGrid w:val="0"/>
              <w:jc w:val="center"/>
              <w:rPr>
                <w:b/>
                <w:bCs/>
                <w:color w:val="000000"/>
                <w:kern w:val="0"/>
                <w:szCs w:val="21"/>
              </w:rPr>
            </w:pPr>
          </w:p>
        </w:tc>
        <w:tc>
          <w:tcPr>
            <w:tcW w:w="631" w:type="pct"/>
            <w:vAlign w:val="center"/>
          </w:tcPr>
          <w:p w14:paraId="1CCE8ED4">
            <w:pPr>
              <w:jc w:val="center"/>
              <w:rPr>
                <w:rFonts w:hint="eastAsia" w:ascii="宋体" w:hAnsi="宋体" w:cs="宋体"/>
                <w:b/>
                <w:bCs/>
                <w:kern w:val="0"/>
                <w:szCs w:val="21"/>
              </w:rPr>
            </w:pPr>
            <w:r>
              <w:rPr>
                <w:rFonts w:hint="eastAsia" w:ascii="宋体" w:hAnsi="宋体" w:cs="宋体"/>
                <w:b/>
                <w:bCs/>
                <w:kern w:val="0"/>
                <w:szCs w:val="21"/>
              </w:rPr>
              <w:t>服务能力</w:t>
            </w:r>
          </w:p>
        </w:tc>
        <w:tc>
          <w:tcPr>
            <w:tcW w:w="463" w:type="pct"/>
            <w:vAlign w:val="center"/>
          </w:tcPr>
          <w:p w14:paraId="3B4A1EE7">
            <w:pPr>
              <w:jc w:val="center"/>
              <w:rPr>
                <w:rFonts w:hint="eastAsia" w:ascii="宋体" w:hAnsi="宋体"/>
                <w:bCs/>
                <w:szCs w:val="21"/>
              </w:rPr>
            </w:pPr>
            <w:r>
              <w:rPr>
                <w:rFonts w:ascii="宋体" w:hAnsi="宋体"/>
                <w:bCs/>
                <w:szCs w:val="21"/>
              </w:rPr>
              <w:t>2</w:t>
            </w:r>
          </w:p>
        </w:tc>
        <w:tc>
          <w:tcPr>
            <w:tcW w:w="3218" w:type="pct"/>
            <w:vAlign w:val="center"/>
          </w:tcPr>
          <w:p w14:paraId="25904D20">
            <w:pPr>
              <w:widowControl/>
              <w:ind w:left="1" w:firstLine="18" w:firstLineChars="9"/>
              <w:textAlignment w:val="center"/>
            </w:pPr>
            <w:r>
              <w:rPr>
                <w:rFonts w:hint="eastAsia" w:ascii="宋体" w:hAnsi="宋体" w:cs="宋体"/>
                <w:kern w:val="0"/>
                <w:szCs w:val="21"/>
              </w:rPr>
              <w:t>根据供应商产品运维服务方案</w:t>
            </w:r>
            <w:r>
              <w:rPr>
                <w:rFonts w:hint="eastAsia"/>
                <w:szCs w:val="21"/>
              </w:rPr>
              <w:t>（</w:t>
            </w:r>
            <w:r>
              <w:rPr>
                <w:rFonts w:hint="eastAsia" w:ascii="宋体" w:hAnsi="宋体" w:cs="宋体"/>
                <w:kern w:val="0"/>
                <w:szCs w:val="21"/>
              </w:rPr>
              <w:t>包括但不限于售后服务成员安排、维护方案、服务响应、应急方案、应急维护响应时间、故障响应支持、产品升级及维护服务）打分。</w:t>
            </w:r>
          </w:p>
          <w:p w14:paraId="2BEB89DC">
            <w:pPr>
              <w:widowControl/>
              <w:numPr>
                <w:ilvl w:val="255"/>
                <w:numId w:val="0"/>
              </w:numPr>
              <w:jc w:val="left"/>
              <w:rPr>
                <w:szCs w:val="21"/>
              </w:rPr>
            </w:pPr>
            <w:r>
              <w:rPr>
                <w:rFonts w:hint="eastAsia" w:ascii="宋体" w:hAnsi="宋体"/>
              </w:rPr>
              <w:t>优良(1，2]</w:t>
            </w:r>
            <w:r>
              <w:rPr>
                <w:rFonts w:hint="eastAsia" w:ascii="宋体" w:hAnsi="宋体"/>
                <w:szCs w:val="21"/>
              </w:rPr>
              <w:t>分；一般</w:t>
            </w:r>
            <w:r>
              <w:rPr>
                <w:rFonts w:ascii="宋体" w:hAnsi="宋体"/>
                <w:szCs w:val="21"/>
              </w:rPr>
              <w:t>[0，1]分。</w:t>
            </w:r>
          </w:p>
        </w:tc>
      </w:tr>
    </w:tbl>
    <w:p w14:paraId="5DF71360">
      <w:pPr>
        <w:pStyle w:val="3"/>
        <w:spacing w:before="0" w:after="0" w:line="360" w:lineRule="auto"/>
        <w:rPr>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bookmarkStart w:id="17" w:name="_Toc22799"/>
      <w:r>
        <w:rPr>
          <w:rFonts w:hint="eastAsia"/>
          <w:b/>
          <w:color w:val="000000" w:themeColor="text1"/>
          <w:sz w:val="36"/>
          <w:szCs w:val="36"/>
          <w14:textFill>
            <w14:solidFill>
              <w14:schemeClr w14:val="tx1"/>
            </w14:solidFill>
          </w14:textFill>
        </w:rPr>
        <w:t>第四章</w:t>
      </w:r>
      <w:r>
        <w:rPr>
          <w:b/>
          <w:color w:val="000000" w:themeColor="text1"/>
          <w:sz w:val="36"/>
          <w:szCs w:val="36"/>
          <w14:textFill>
            <w14:solidFill>
              <w14:schemeClr w14:val="tx1"/>
            </w14:solidFill>
          </w14:textFill>
        </w:rPr>
        <w:t>合同格式</w:t>
      </w:r>
      <w:bookmarkEnd w:id="17"/>
    </w:p>
    <w:p w14:paraId="6AAF2429">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除了对</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章《合同格式》内容的逐项应答外，供应商还应提供一份完整的合同文本，作为</w:t>
      </w:r>
      <w:r>
        <w:rPr>
          <w:rFonts w:hint="eastAsia"/>
          <w:color w:val="000000" w:themeColor="text1"/>
          <w:sz w:val="24"/>
          <w14:textFill>
            <w14:solidFill>
              <w14:schemeClr w14:val="tx1"/>
            </w14:solidFill>
          </w14:textFill>
        </w:rPr>
        <w:t>响应</w:t>
      </w:r>
      <w:r>
        <w:rPr>
          <w:color w:val="000000" w:themeColor="text1"/>
          <w:sz w:val="24"/>
          <w14:textFill>
            <w14:solidFill>
              <w14:schemeClr w14:val="tx1"/>
            </w14:solidFill>
          </w14:textFill>
        </w:rPr>
        <w:t>文件的一部分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对于</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章《合同格式》内容的任何负偏离均将导致废标。</w:t>
      </w:r>
    </w:p>
    <w:p w14:paraId="5C0B3460">
      <w:pPr>
        <w:widowControl/>
        <w:spacing w:before="312" w:after="312" w:line="300" w:lineRule="auto"/>
        <w:ind w:firstLine="1040"/>
        <w:jc w:val="left"/>
        <w:rPr>
          <w:b/>
          <w:color w:val="000000" w:themeColor="text1"/>
          <w14:textFill>
            <w14:solidFill>
              <w14:schemeClr w14:val="tx1"/>
            </w14:solidFill>
          </w14:textFill>
        </w:rPr>
      </w:pPr>
      <w:r>
        <w:rPr>
          <w:rFonts w:eastAsia="黑体"/>
          <w:bCs/>
          <w:color w:val="000000" w:themeColor="text1"/>
          <w:sz w:val="52"/>
          <w:szCs w:val="52"/>
          <w14:textFill>
            <w14:solidFill>
              <w14:schemeClr w14:val="tx1"/>
            </w14:solidFill>
          </w14:textFill>
        </w:rPr>
        <w:br w:type="page"/>
      </w:r>
    </w:p>
    <w:p w14:paraId="34E52DE7">
      <w:pPr>
        <w:spacing w:line="360" w:lineRule="auto"/>
        <w:jc w:val="center"/>
        <w:rPr>
          <w:rFonts w:eastAsia="黑体"/>
          <w:color w:val="000000"/>
          <w:sz w:val="37"/>
          <w:szCs w:val="37"/>
        </w:rPr>
      </w:pPr>
      <w:bookmarkStart w:id="18" w:name="_Toc69378621"/>
      <w:r>
        <w:rPr>
          <w:rFonts w:eastAsia="黑体"/>
          <w:color w:val="000000"/>
          <w:sz w:val="37"/>
        </w:rPr>
        <w:t>合同格式</w:t>
      </w:r>
    </w:p>
    <w:p w14:paraId="571EC764">
      <w:pPr>
        <w:widowControl/>
        <w:adjustRightInd w:val="0"/>
        <w:spacing w:line="360" w:lineRule="auto"/>
        <w:ind w:firstLine="422" w:firstLineChars="200"/>
        <w:jc w:val="left"/>
        <w:rPr>
          <w:color w:val="262626"/>
          <w:szCs w:val="21"/>
        </w:rPr>
      </w:pPr>
      <w:r>
        <w:rPr>
          <w:b/>
          <w:color w:val="000000"/>
          <w:szCs w:val="21"/>
          <w:u w:val="single"/>
        </w:rPr>
        <w:t>江苏省广电有线信息网络股份有限公司（以下简称“</w:t>
      </w:r>
      <w:r>
        <w:rPr>
          <w:rFonts w:hint="eastAsia"/>
          <w:b/>
          <w:color w:val="000000"/>
          <w:szCs w:val="21"/>
          <w:u w:val="single"/>
        </w:rPr>
        <w:t>甲</w:t>
      </w:r>
      <w:r>
        <w:rPr>
          <w:b/>
          <w:color w:val="000000"/>
          <w:szCs w:val="21"/>
          <w:u w:val="single"/>
        </w:rPr>
        <w:t>方”）</w:t>
      </w:r>
      <w:r>
        <w:rPr>
          <w:color w:val="000000"/>
          <w:szCs w:val="21"/>
        </w:rPr>
        <w:t>就</w:t>
      </w:r>
      <w:r>
        <w:rPr>
          <w:rFonts w:hint="eastAsia"/>
          <w:b/>
          <w:bCs/>
          <w:color w:val="262626"/>
          <w:szCs w:val="21"/>
          <w:u w:val="single"/>
        </w:rPr>
        <w:t>防火墙</w:t>
      </w:r>
      <w:r>
        <w:rPr>
          <w:b/>
          <w:bCs/>
          <w:color w:val="262626"/>
          <w:szCs w:val="21"/>
          <w:u w:val="single"/>
        </w:rPr>
        <w:t>采购</w:t>
      </w:r>
      <w:r>
        <w:rPr>
          <w:color w:val="262626"/>
          <w:szCs w:val="21"/>
        </w:rPr>
        <w:t>及相关服务</w:t>
      </w:r>
      <w:r>
        <w:rPr>
          <w:rFonts w:hint="eastAsia"/>
          <w:color w:val="262626"/>
          <w:szCs w:val="21"/>
        </w:rPr>
        <w:t>组织</w:t>
      </w:r>
      <w:r>
        <w:rPr>
          <w:color w:val="262626"/>
          <w:szCs w:val="21"/>
        </w:rPr>
        <w:t>了</w:t>
      </w:r>
      <w:r>
        <w:rPr>
          <w:rFonts w:hint="eastAsia"/>
          <w:color w:val="262626"/>
          <w:szCs w:val="21"/>
        </w:rPr>
        <w:t>谈判</w:t>
      </w:r>
      <w:r>
        <w:rPr>
          <w:color w:val="262626"/>
          <w:szCs w:val="21"/>
        </w:rPr>
        <w:t>，</w:t>
      </w:r>
      <w:r>
        <w:rPr>
          <w:rFonts w:hint="eastAsia"/>
          <w:color w:val="262626"/>
          <w:szCs w:val="21"/>
        </w:rPr>
        <w:t>经</w:t>
      </w:r>
      <w:r>
        <w:rPr>
          <w:color w:val="262626"/>
          <w:szCs w:val="21"/>
        </w:rPr>
        <w:t>评委会严格评审，本项目由</w:t>
      </w:r>
      <w:r>
        <w:rPr>
          <w:b/>
          <w:color w:val="262626"/>
          <w:szCs w:val="21"/>
          <w:u w:val="single"/>
        </w:rPr>
        <w:t>公司</w:t>
      </w:r>
      <w:r>
        <w:rPr>
          <w:b/>
          <w:color w:val="262626"/>
          <w:szCs w:val="21"/>
        </w:rPr>
        <w:t>（以下简称“</w:t>
      </w:r>
      <w:r>
        <w:rPr>
          <w:rFonts w:hint="eastAsia"/>
          <w:b/>
          <w:color w:val="262626"/>
          <w:szCs w:val="21"/>
        </w:rPr>
        <w:t>乙</w:t>
      </w:r>
      <w:r>
        <w:rPr>
          <w:b/>
          <w:color w:val="262626"/>
          <w:szCs w:val="21"/>
        </w:rPr>
        <w:t>方”）</w:t>
      </w:r>
      <w:r>
        <w:rPr>
          <w:color w:val="262626"/>
          <w:szCs w:val="21"/>
        </w:rPr>
        <w:t>中标。</w:t>
      </w:r>
    </w:p>
    <w:p w14:paraId="52D42450">
      <w:pPr>
        <w:spacing w:line="360" w:lineRule="auto"/>
        <w:ind w:firstLine="420" w:firstLineChars="200"/>
        <w:rPr>
          <w:color w:val="262626"/>
          <w:szCs w:val="21"/>
        </w:rPr>
      </w:pPr>
      <w:r>
        <w:rPr>
          <w:bCs/>
          <w:color w:val="262626"/>
          <w:szCs w:val="21"/>
        </w:rPr>
        <w:t>甲、乙双方根据</w:t>
      </w:r>
      <w:r>
        <w:rPr>
          <w:rFonts w:hint="eastAsia"/>
          <w:color w:val="262626"/>
          <w:szCs w:val="21"/>
          <w:u w:val="single"/>
        </w:rPr>
        <w:t>防火墙</w:t>
      </w:r>
      <w:r>
        <w:rPr>
          <w:color w:val="262626"/>
          <w:szCs w:val="21"/>
          <w:u w:val="single"/>
        </w:rPr>
        <w:t>采购</w:t>
      </w:r>
      <w:r>
        <w:rPr>
          <w:rFonts w:hint="eastAsia"/>
          <w:bCs/>
          <w:color w:val="262626"/>
          <w:szCs w:val="21"/>
        </w:rPr>
        <w:t>谈判</w:t>
      </w:r>
      <w:r>
        <w:rPr>
          <w:color w:val="262626"/>
          <w:szCs w:val="21"/>
        </w:rPr>
        <w:t>文件的规定、乙方响应文件及谈判时乙方做出的书面承诺，依法签订本合同。</w:t>
      </w:r>
    </w:p>
    <w:p w14:paraId="2F81FADD">
      <w:pPr>
        <w:spacing w:line="360" w:lineRule="auto"/>
        <w:rPr>
          <w:b/>
          <w:color w:val="262626"/>
          <w:szCs w:val="21"/>
        </w:rPr>
      </w:pPr>
      <w:bookmarkStart w:id="19" w:name="_Toc47617106"/>
      <w:r>
        <w:rPr>
          <w:b/>
          <w:color w:val="262626"/>
          <w:szCs w:val="21"/>
        </w:rPr>
        <w:t>一、项目标的和内容</w:t>
      </w:r>
      <w:bookmarkEnd w:id="19"/>
    </w:p>
    <w:p w14:paraId="2881B60C">
      <w:pPr>
        <w:spacing w:line="360" w:lineRule="auto"/>
        <w:ind w:firstLine="420" w:firstLineChars="200"/>
        <w:rPr>
          <w:color w:val="000000"/>
          <w:szCs w:val="21"/>
        </w:rPr>
      </w:pPr>
      <w:r>
        <w:rPr>
          <w:color w:val="262626"/>
          <w:szCs w:val="21"/>
        </w:rPr>
        <w:t>项目标的内容包括乙方按照甲方具体要求供应相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，并完成所有软、硬件的安装、调试及操作培训工作，同时乙方承诺配合甲方及甲方指定的厂商完成相关的系统集成。具体设备名称、规格型号、配置、数量、价格明细及总价等详见附件一：</w:t>
      </w:r>
      <w:r>
        <w:rPr>
          <w:rFonts w:hint="eastAsia"/>
          <w:color w:val="000000"/>
          <w:szCs w:val="21"/>
        </w:rPr>
        <w:t>价格表</w:t>
      </w:r>
      <w:r>
        <w:rPr>
          <w:color w:val="000000"/>
          <w:szCs w:val="21"/>
        </w:rPr>
        <w:t>。</w:t>
      </w:r>
    </w:p>
    <w:p w14:paraId="1331A1F6">
      <w:pPr>
        <w:spacing w:line="360" w:lineRule="auto"/>
        <w:rPr>
          <w:b/>
          <w:color w:val="000000"/>
          <w:szCs w:val="21"/>
        </w:rPr>
      </w:pPr>
      <w:bookmarkStart w:id="20" w:name="_Toc47617107"/>
      <w:r>
        <w:rPr>
          <w:b/>
          <w:color w:val="000000"/>
          <w:szCs w:val="21"/>
        </w:rPr>
        <w:t>二、合同总价</w:t>
      </w:r>
      <w:bookmarkEnd w:id="20"/>
    </w:p>
    <w:p w14:paraId="721F054C">
      <w:pPr>
        <w:numPr>
          <w:ilvl w:val="1"/>
          <w:numId w:val="2"/>
        </w:numPr>
        <w:tabs>
          <w:tab w:val="left" w:pos="0"/>
          <w:tab w:val="clear" w:pos="1155"/>
        </w:tabs>
        <w:spacing w:line="360" w:lineRule="auto"/>
        <w:ind w:left="0" w:firstLine="0"/>
        <w:rPr>
          <w:color w:val="000000"/>
          <w:szCs w:val="21"/>
        </w:rPr>
      </w:pPr>
      <w:r>
        <w:rPr>
          <w:color w:val="000000"/>
          <w:szCs w:val="21"/>
        </w:rPr>
        <w:t>合同总价</w:t>
      </w:r>
      <w:r>
        <w:rPr>
          <w:b/>
          <w:color w:val="000000"/>
          <w:szCs w:val="21"/>
        </w:rPr>
        <w:t>（人民币大写）：</w:t>
      </w:r>
      <w:r>
        <w:rPr>
          <w:color w:val="000000"/>
          <w:szCs w:val="21"/>
        </w:rPr>
        <w:t>。</w:t>
      </w:r>
    </w:p>
    <w:p w14:paraId="2B1B37E3">
      <w:pPr>
        <w:spacing w:line="360" w:lineRule="auto"/>
        <w:ind w:firstLine="1265" w:firstLineChars="600"/>
        <w:rPr>
          <w:color w:val="000000"/>
          <w:szCs w:val="21"/>
        </w:rPr>
      </w:pPr>
      <w:r>
        <w:rPr>
          <w:b/>
          <w:color w:val="000000"/>
          <w:szCs w:val="21"/>
        </w:rPr>
        <w:t>（人民币小写）：</w:t>
      </w:r>
      <w:r>
        <w:rPr>
          <w:b/>
          <w:color w:val="000000"/>
          <w:szCs w:val="21"/>
          <w:u w:val="single"/>
        </w:rPr>
        <w:t>￥：</w:t>
      </w:r>
      <w:r>
        <w:rPr>
          <w:color w:val="000000"/>
          <w:szCs w:val="21"/>
        </w:rPr>
        <w:t>。</w:t>
      </w:r>
    </w:p>
    <w:p w14:paraId="4E3BBBEE">
      <w:pPr>
        <w:numPr>
          <w:ilvl w:val="1"/>
          <w:numId w:val="2"/>
        </w:numPr>
        <w:tabs>
          <w:tab w:val="left" w:pos="0"/>
          <w:tab w:val="clear" w:pos="1155"/>
        </w:tabs>
        <w:spacing w:line="360" w:lineRule="auto"/>
        <w:ind w:left="0" w:firstLine="0"/>
        <w:rPr>
          <w:color w:val="000000"/>
          <w:szCs w:val="21"/>
        </w:rPr>
      </w:pPr>
      <w:r>
        <w:rPr>
          <w:color w:val="000000"/>
          <w:szCs w:val="21"/>
        </w:rPr>
        <w:t>合同总价系指按本合同的规定，乙方在完全履行了合同的义务后，甲方支付给乙方的总价款，包括但不限于软、硬件系统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14:paraId="64A589B4">
      <w:pPr>
        <w:numPr>
          <w:ilvl w:val="1"/>
          <w:numId w:val="2"/>
        </w:numPr>
        <w:tabs>
          <w:tab w:val="left" w:pos="0"/>
          <w:tab w:val="clear" w:pos="1155"/>
        </w:tabs>
        <w:spacing w:line="360" w:lineRule="auto"/>
        <w:ind w:left="0" w:firstLine="0"/>
        <w:rPr>
          <w:color w:val="000000"/>
          <w:szCs w:val="21"/>
        </w:rPr>
      </w:pPr>
      <w:r>
        <w:rPr>
          <w:color w:val="000000"/>
          <w:szCs w:val="21"/>
        </w:rPr>
        <w:t>当国家法定增值税税率发生变更，甲乙双方约定以含税价格不变作为基准，调整增值税税额。</w:t>
      </w:r>
    </w:p>
    <w:p w14:paraId="3DA09BFA">
      <w:pPr>
        <w:spacing w:line="360" w:lineRule="auto"/>
        <w:rPr>
          <w:b/>
          <w:color w:val="000000"/>
        </w:rPr>
      </w:pPr>
      <w:r>
        <w:rPr>
          <w:rFonts w:hint="eastAsia"/>
          <w:b/>
          <w:color w:val="000000"/>
          <w:kern w:val="44"/>
          <w:szCs w:val="21"/>
        </w:rPr>
        <w:t>三</w:t>
      </w:r>
      <w:r>
        <w:rPr>
          <w:b/>
          <w:color w:val="000000"/>
          <w:kern w:val="44"/>
          <w:szCs w:val="21"/>
        </w:rPr>
        <w:t>、</w:t>
      </w:r>
      <w:r>
        <w:rPr>
          <w:b/>
          <w:color w:val="000000"/>
        </w:rPr>
        <w:t>付款方式及期限</w:t>
      </w:r>
    </w:p>
    <w:p w14:paraId="558C9AA3">
      <w:pPr>
        <w:tabs>
          <w:tab w:val="left" w:pos="0"/>
        </w:tabs>
        <w:spacing w:line="360" w:lineRule="auto"/>
        <w:rPr>
          <w:color w:val="000000"/>
          <w:szCs w:val="21"/>
        </w:rPr>
      </w:pPr>
      <w:r>
        <w:rPr>
          <w:rFonts w:hint="eastAsia"/>
          <w:color w:val="000000"/>
          <w:szCs w:val="21"/>
        </w:rPr>
        <w:t>1、</w:t>
      </w:r>
      <w:r>
        <w:rPr>
          <w:color w:val="000000"/>
          <w:szCs w:val="21"/>
        </w:rPr>
        <w:t>付款方式：全部货款</w:t>
      </w:r>
      <w:r>
        <w:rPr>
          <w:rFonts w:hint="eastAsia"/>
          <w:color w:val="000000"/>
          <w:szCs w:val="21"/>
        </w:rPr>
        <w:t>的40</w:t>
      </w:r>
      <w:r>
        <w:rPr>
          <w:color w:val="000000"/>
          <w:szCs w:val="21"/>
        </w:rPr>
        <w:t>%以电汇方式汇入乙方账号，</w:t>
      </w:r>
      <w:r>
        <w:rPr>
          <w:rFonts w:hint="eastAsia"/>
          <w:color w:val="000000"/>
          <w:szCs w:val="21"/>
        </w:rPr>
        <w:t>6</w:t>
      </w:r>
      <w:r>
        <w:rPr>
          <w:color w:val="000000"/>
          <w:szCs w:val="21"/>
        </w:rPr>
        <w:t>0%以半年期银行承兑汇票</w:t>
      </w:r>
      <w:r>
        <w:rPr>
          <w:rFonts w:hint="eastAsia"/>
          <w:color w:val="000000"/>
          <w:szCs w:val="21"/>
        </w:rPr>
        <w:t>或半年期供应链金融</w:t>
      </w:r>
      <w:r>
        <w:rPr>
          <w:color w:val="000000"/>
          <w:szCs w:val="21"/>
        </w:rPr>
        <w:t>支付。禁止将货款划入其他账号或支付现金。如乙方的收款账号和开户行变更，须及时以书面形式通知甲方，通知须盖有乙方的合同章和财务章。</w:t>
      </w:r>
    </w:p>
    <w:p w14:paraId="0E1550BC">
      <w:pPr>
        <w:tabs>
          <w:tab w:val="left" w:pos="0"/>
          <w:tab w:val="left" w:pos="420"/>
        </w:tabs>
        <w:spacing w:line="360" w:lineRule="auto"/>
        <w:rPr>
          <w:color w:val="000000"/>
          <w:szCs w:val="21"/>
        </w:rPr>
      </w:pPr>
      <w:r>
        <w:rPr>
          <w:rFonts w:hint="eastAsia"/>
          <w:color w:val="000000"/>
          <w:szCs w:val="21"/>
        </w:rPr>
        <w:t>2、</w:t>
      </w:r>
      <w:r>
        <w:rPr>
          <w:color w:val="000000"/>
          <w:szCs w:val="21"/>
        </w:rPr>
        <w:t>付款期限：设备到货</w:t>
      </w:r>
      <w:r>
        <w:rPr>
          <w:rFonts w:hint="eastAsia"/>
          <w:color w:val="000000"/>
          <w:szCs w:val="21"/>
        </w:rPr>
        <w:t>验收合格后</w:t>
      </w:r>
      <w:r>
        <w:rPr>
          <w:color w:val="000000"/>
          <w:szCs w:val="21"/>
        </w:rPr>
        <w:t>1个月内</w:t>
      </w:r>
      <w:r>
        <w:rPr>
          <w:rFonts w:hint="eastAsia"/>
          <w:color w:val="000000"/>
          <w:szCs w:val="21"/>
        </w:rPr>
        <w:t>电汇支</w:t>
      </w:r>
      <w:r>
        <w:rPr>
          <w:color w:val="000000"/>
          <w:szCs w:val="21"/>
        </w:rPr>
        <w:t>付合同总额的30%</w:t>
      </w:r>
      <w:r>
        <w:rPr>
          <w:rFonts w:hint="eastAsia"/>
          <w:color w:val="000000"/>
          <w:szCs w:val="21"/>
        </w:rPr>
        <w:t>，即人民币</w:t>
      </w:r>
      <w:r>
        <w:rPr>
          <w:rFonts w:hint="eastAsia"/>
          <w:color w:val="000000"/>
          <w:szCs w:val="21"/>
          <w:u w:val="single"/>
        </w:rPr>
        <w:t>；</w:t>
      </w:r>
      <w:r>
        <w:rPr>
          <w:rFonts w:hint="eastAsia"/>
          <w:szCs w:val="21"/>
        </w:rPr>
        <w:t>项目通过终验后1个月内，甲方</w:t>
      </w:r>
      <w:r>
        <w:t>以半年期银行承兑汇票</w:t>
      </w:r>
      <w:r>
        <w:rPr>
          <w:rFonts w:hint="eastAsia"/>
        </w:rPr>
        <w:t>或半年期供应链金融支付乙方合同总额的6</w:t>
      </w:r>
      <w:r>
        <w:t>0%</w:t>
      </w:r>
      <w:r>
        <w:rPr>
          <w:rFonts w:hint="eastAsia"/>
        </w:rPr>
        <w:t>，即人民币</w:t>
      </w:r>
      <w:r>
        <w:rPr>
          <w:rFonts w:hint="eastAsia"/>
          <w:color w:val="000000"/>
          <w:szCs w:val="21"/>
          <w:u w:val="single"/>
        </w:rPr>
        <w:t>；</w:t>
      </w:r>
      <w:r>
        <w:rPr>
          <w:rFonts w:hint="eastAsia"/>
          <w:color w:val="000000"/>
          <w:szCs w:val="21"/>
        </w:rPr>
        <w:t>10%余款即人民币</w:t>
      </w:r>
      <w:r>
        <w:rPr>
          <w:rFonts w:hint="eastAsia"/>
          <w:color w:val="000000"/>
          <w:szCs w:val="21"/>
          <w:u w:val="single"/>
        </w:rPr>
        <w:t>，</w:t>
      </w:r>
      <w:r>
        <w:rPr>
          <w:rFonts w:hint="eastAsia"/>
          <w:color w:val="000000"/>
          <w:szCs w:val="21"/>
        </w:rPr>
        <w:t>作为质量保证金，在终验合格一年后的10个工作日之内电汇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w:t>
      </w:r>
      <w:r>
        <w:rPr>
          <w:rFonts w:hint="eastAsia" w:ascii="宋体" w:hAnsi="宋体" w:cs="宋体"/>
          <w:color w:val="000000"/>
          <w:kern w:val="0"/>
          <w:szCs w:val="21"/>
        </w:rPr>
        <w:t>此合同向乙方进一步追诉。</w:t>
      </w:r>
    </w:p>
    <w:p w14:paraId="62C6F6E4">
      <w:pPr>
        <w:spacing w:line="360" w:lineRule="auto"/>
        <w:rPr>
          <w:color w:val="000000"/>
          <w:szCs w:val="21"/>
        </w:rPr>
      </w:pPr>
      <w:r>
        <w:rPr>
          <w:rFonts w:hint="eastAsia"/>
          <w:color w:val="000000"/>
        </w:rPr>
        <w:t>3、</w:t>
      </w:r>
      <w:r>
        <w:rPr>
          <w:color w:val="000000"/>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14:paraId="05FA6452">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，由甲方审核认为无误后再支付货款，否则甲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14:paraId="71E748F2">
      <w:pPr>
        <w:spacing w:line="360" w:lineRule="auto"/>
        <w:rPr>
          <w:b/>
          <w:color w:val="000000"/>
          <w:szCs w:val="21"/>
        </w:rPr>
      </w:pPr>
      <w:bookmarkStart w:id="21" w:name="_Toc47617108"/>
      <w:r>
        <w:rPr>
          <w:rFonts w:hint="eastAsia"/>
          <w:b/>
          <w:color w:val="000000"/>
          <w:szCs w:val="21"/>
        </w:rPr>
        <w:t>四</w:t>
      </w:r>
      <w:r>
        <w:rPr>
          <w:b/>
          <w:color w:val="000000"/>
          <w:szCs w:val="21"/>
        </w:rPr>
        <w:t>、产品的质量要求</w:t>
      </w:r>
      <w:bookmarkEnd w:id="21"/>
    </w:p>
    <w:p w14:paraId="50E65DBB">
      <w:pPr>
        <w:spacing w:line="360" w:lineRule="auto"/>
        <w:ind w:firstLine="420" w:firstLineChars="200"/>
        <w:rPr>
          <w:rFonts w:hint="eastAsia" w:ascii="宋体" w:hAnsi="宋体" w:cs="宋体"/>
          <w:b/>
          <w:kern w:val="0"/>
          <w:sz w:val="24"/>
          <w:u w:val="single"/>
        </w:rPr>
      </w:pPr>
      <w:r>
        <w:rPr>
          <w:color w:val="262626"/>
          <w:szCs w:val="21"/>
        </w:rPr>
        <w:t>乙方所提供产品的技术指标和生产工艺必须完全满足甲方在</w:t>
      </w:r>
      <w:r>
        <w:rPr>
          <w:rFonts w:hint="eastAsia"/>
          <w:b/>
          <w:bCs/>
          <w:color w:val="262626"/>
          <w:szCs w:val="21"/>
          <w:u w:val="single"/>
        </w:rPr>
        <w:t>“防火墙</w:t>
      </w:r>
      <w:r>
        <w:rPr>
          <w:b/>
          <w:bCs/>
          <w:color w:val="262626"/>
          <w:szCs w:val="21"/>
          <w:u w:val="single"/>
        </w:rPr>
        <w:t>采购</w:t>
      </w:r>
      <w:r>
        <w:rPr>
          <w:rFonts w:hint="eastAsia"/>
          <w:b/>
          <w:bCs/>
          <w:color w:val="262626"/>
          <w:szCs w:val="21"/>
          <w:u w:val="single"/>
        </w:rPr>
        <w:t>”</w:t>
      </w:r>
      <w:r>
        <w:rPr>
          <w:color w:val="262626"/>
          <w:szCs w:val="21"/>
        </w:rPr>
        <w:t>谈判文件中提出的技术要求，乙方所提供产品的功能与服务实现必须完全遵守响应文件和谈判</w:t>
      </w:r>
      <w:r>
        <w:rPr>
          <w:color w:val="000000"/>
          <w:szCs w:val="21"/>
        </w:rPr>
        <w:t>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14:paraId="30A6A57A">
      <w:pPr>
        <w:spacing w:line="360" w:lineRule="auto"/>
        <w:rPr>
          <w:b/>
          <w:color w:val="000000"/>
          <w:szCs w:val="21"/>
        </w:rPr>
      </w:pPr>
      <w:bookmarkStart w:id="22" w:name="_Toc47617109"/>
      <w:r>
        <w:rPr>
          <w:rFonts w:hint="eastAsia"/>
          <w:b/>
          <w:color w:val="000000"/>
          <w:szCs w:val="21"/>
        </w:rPr>
        <w:t>五</w:t>
      </w:r>
      <w:r>
        <w:rPr>
          <w:b/>
          <w:color w:val="000000"/>
          <w:szCs w:val="21"/>
        </w:rPr>
        <w:t>、产品的包装</w:t>
      </w:r>
      <w:bookmarkEnd w:id="22"/>
    </w:p>
    <w:p w14:paraId="04270B4C">
      <w:pPr>
        <w:numPr>
          <w:ilvl w:val="0"/>
          <w:numId w:val="3"/>
        </w:numPr>
        <w:tabs>
          <w:tab w:val="left" w:pos="0"/>
          <w:tab w:val="clear" w:pos="1155"/>
        </w:tabs>
        <w:spacing w:line="360" w:lineRule="auto"/>
        <w:ind w:left="0" w:firstLine="0"/>
        <w:rPr>
          <w:color w:val="000000"/>
          <w:szCs w:val="21"/>
        </w:rPr>
      </w:pPr>
      <w:r>
        <w:rPr>
          <w:color w:val="000000"/>
          <w:szCs w:val="21"/>
        </w:rPr>
        <w:t>所有产品由乙方负责妥善包装，附件、清单完整齐全，注明储运标志，并适合于长途运输。</w:t>
      </w:r>
      <w:r>
        <w:rPr>
          <w:rStyle w:val="28"/>
          <w:rFonts w:hint="eastAsia" w:ascii="宋体" w:hAnsi="宋体"/>
          <w:szCs w:val="21"/>
        </w:rPr>
        <w:t>否则，由此不当</w:t>
      </w:r>
      <w:r>
        <w:rPr>
          <w:rStyle w:val="28"/>
          <w:rFonts w:hint="eastAsia" w:ascii="宋体" w:hAnsi="宋体"/>
        </w:rPr>
        <w:t>引起的所有损失和责任由乙方承担</w:t>
      </w:r>
      <w:r>
        <w:rPr>
          <w:color w:val="000000"/>
          <w:szCs w:val="21"/>
        </w:rPr>
        <w:t>。</w:t>
      </w:r>
    </w:p>
    <w:p w14:paraId="68E90B25">
      <w:pPr>
        <w:numPr>
          <w:ilvl w:val="0"/>
          <w:numId w:val="3"/>
        </w:numPr>
        <w:tabs>
          <w:tab w:val="left" w:pos="0"/>
          <w:tab w:val="clear" w:pos="1155"/>
        </w:tabs>
        <w:spacing w:line="360" w:lineRule="auto"/>
        <w:ind w:left="0" w:firstLine="0"/>
        <w:rPr>
          <w:color w:val="000000"/>
          <w:szCs w:val="21"/>
        </w:rPr>
      </w:pPr>
      <w:r>
        <w:rPr>
          <w:color w:val="000000"/>
          <w:szCs w:val="21"/>
        </w:rPr>
        <w:t>每件包装外面应清楚地打上记号，这些记号或标志应在运单上说明。</w:t>
      </w:r>
    </w:p>
    <w:p w14:paraId="4F5D6E8C">
      <w:pPr>
        <w:numPr>
          <w:ilvl w:val="0"/>
          <w:numId w:val="3"/>
        </w:numPr>
        <w:tabs>
          <w:tab w:val="left" w:pos="0"/>
          <w:tab w:val="clear" w:pos="1155"/>
        </w:tabs>
        <w:spacing w:line="360" w:lineRule="auto"/>
        <w:ind w:left="0" w:firstLine="0"/>
        <w:rPr>
          <w:color w:val="000000"/>
          <w:szCs w:val="21"/>
        </w:rPr>
      </w:pPr>
      <w:r>
        <w:rPr>
          <w:color w:val="000000"/>
          <w:szCs w:val="21"/>
        </w:rPr>
        <w:t>备品备件及专用工具应在箱内运送并与产品分别包装，这些包装应适合储存，在它们的整个储存年限内不会损坏，储存年限应在包装上说明，所有备件应加上标签，以示区别。</w:t>
      </w:r>
    </w:p>
    <w:p w14:paraId="4E66BE1C">
      <w:pPr>
        <w:numPr>
          <w:ilvl w:val="0"/>
          <w:numId w:val="3"/>
        </w:numPr>
        <w:tabs>
          <w:tab w:val="left" w:pos="0"/>
          <w:tab w:val="clear" w:pos="1155"/>
        </w:tabs>
        <w:spacing w:line="360" w:lineRule="auto"/>
        <w:ind w:left="0" w:firstLine="0"/>
        <w:rPr>
          <w:color w:val="000000"/>
          <w:szCs w:val="21"/>
        </w:rPr>
      </w:pPr>
      <w:r>
        <w:rPr>
          <w:color w:val="000000"/>
          <w:szCs w:val="21"/>
        </w:rPr>
        <w:t>乙方应提前3天通知甲方负责收货的联系人，告知产品运送到项目现场的具体日期。</w:t>
      </w:r>
    </w:p>
    <w:p w14:paraId="56981C6D">
      <w:pPr>
        <w:spacing w:line="360" w:lineRule="auto"/>
        <w:rPr>
          <w:b/>
          <w:color w:val="000000"/>
          <w:szCs w:val="21"/>
        </w:rPr>
      </w:pPr>
      <w:bookmarkStart w:id="23" w:name="_Toc47617110"/>
      <w:r>
        <w:rPr>
          <w:rFonts w:hint="eastAsia"/>
          <w:b/>
          <w:color w:val="000000"/>
          <w:szCs w:val="21"/>
        </w:rPr>
        <w:t>六</w:t>
      </w:r>
      <w:r>
        <w:rPr>
          <w:b/>
          <w:color w:val="000000"/>
          <w:szCs w:val="21"/>
        </w:rPr>
        <w:t>、产品交付</w:t>
      </w:r>
      <w:bookmarkEnd w:id="23"/>
    </w:p>
    <w:p w14:paraId="24875CCA">
      <w:pPr>
        <w:numPr>
          <w:ilvl w:val="0"/>
          <w:numId w:val="4"/>
        </w:numPr>
        <w:tabs>
          <w:tab w:val="left" w:pos="0"/>
          <w:tab w:val="clear" w:pos="1155"/>
        </w:tabs>
        <w:spacing w:line="360" w:lineRule="auto"/>
        <w:ind w:left="0" w:firstLine="0"/>
        <w:rPr>
          <w:color w:val="000000"/>
          <w:szCs w:val="21"/>
        </w:rPr>
      </w:pPr>
      <w:r>
        <w:rPr>
          <w:color w:val="000000"/>
          <w:szCs w:val="21"/>
        </w:rPr>
        <w:t>产品的交货地点为甲方指定地点、指定楼层。</w:t>
      </w:r>
    </w:p>
    <w:p w14:paraId="77FF6707">
      <w:pPr>
        <w:numPr>
          <w:ilvl w:val="0"/>
          <w:numId w:val="4"/>
        </w:numPr>
        <w:tabs>
          <w:tab w:val="left" w:pos="0"/>
          <w:tab w:val="clear" w:pos="1155"/>
        </w:tabs>
        <w:spacing w:line="360" w:lineRule="auto"/>
        <w:ind w:left="0" w:firstLine="0"/>
        <w:rPr>
          <w:color w:val="000000"/>
          <w:szCs w:val="21"/>
        </w:rPr>
      </w:pPr>
      <w:r>
        <w:rPr>
          <w:color w:val="000000"/>
          <w:szCs w:val="21"/>
        </w:rPr>
        <w:t>乙方交货时应提供下列技术资料：</w:t>
      </w:r>
    </w:p>
    <w:p w14:paraId="1C2079D9">
      <w:pPr>
        <w:spacing w:line="360" w:lineRule="auto"/>
        <w:rPr>
          <w:color w:val="000000"/>
          <w:szCs w:val="21"/>
        </w:rPr>
      </w:pPr>
      <w:r>
        <w:rPr>
          <w:color w:val="000000"/>
          <w:szCs w:val="21"/>
        </w:rPr>
        <w:t>（1）产品原厂或原产地证明；</w:t>
      </w:r>
    </w:p>
    <w:p w14:paraId="24EF2884">
      <w:pPr>
        <w:spacing w:line="360" w:lineRule="auto"/>
        <w:rPr>
          <w:color w:val="000000"/>
          <w:szCs w:val="21"/>
        </w:rPr>
      </w:pPr>
      <w:r>
        <w:rPr>
          <w:color w:val="000000"/>
          <w:szCs w:val="21"/>
        </w:rPr>
        <w:t>（2）产品出厂检验报告和产品合格证；</w:t>
      </w:r>
    </w:p>
    <w:p w14:paraId="05F209A7">
      <w:pPr>
        <w:spacing w:line="360" w:lineRule="auto"/>
        <w:rPr>
          <w:color w:val="000000"/>
          <w:szCs w:val="21"/>
        </w:rPr>
      </w:pPr>
      <w:r>
        <w:rPr>
          <w:color w:val="000000"/>
          <w:szCs w:val="21"/>
        </w:rPr>
        <w:t>（3）谈判文件中所要求提交的资料。</w:t>
      </w:r>
    </w:p>
    <w:p w14:paraId="3168F9E6">
      <w:pPr>
        <w:numPr>
          <w:ilvl w:val="0"/>
          <w:numId w:val="4"/>
        </w:numPr>
        <w:tabs>
          <w:tab w:val="left" w:pos="0"/>
          <w:tab w:val="clear" w:pos="1155"/>
        </w:tabs>
        <w:spacing w:line="360" w:lineRule="auto"/>
        <w:ind w:left="0" w:firstLine="0"/>
        <w:rPr>
          <w:color w:val="000000"/>
          <w:szCs w:val="21"/>
        </w:rPr>
      </w:pPr>
      <w:r>
        <w:rPr>
          <w:color w:val="000000"/>
          <w:szCs w:val="21"/>
        </w:rPr>
        <w:t>设备到货后，甲方负责清点货物包装箱件数。在设备安装调试前，</w:t>
      </w:r>
      <w:r>
        <w:rPr>
          <w:rFonts w:hint="eastAsia"/>
          <w:color w:val="000000"/>
          <w:szCs w:val="21"/>
        </w:rPr>
        <w:t>甲乙</w:t>
      </w:r>
      <w:r>
        <w:rPr>
          <w:color w:val="000000"/>
          <w:szCs w:val="21"/>
        </w:rPr>
        <w:t>双方代表在施工现场共同开箱清点验收货物。若一方因故无法抵达施工现场，则无条件接受另一方开箱清点验收结果。</w:t>
      </w:r>
    </w:p>
    <w:p w14:paraId="2347C92B">
      <w:pPr>
        <w:numPr>
          <w:ilvl w:val="0"/>
          <w:numId w:val="4"/>
        </w:numPr>
        <w:tabs>
          <w:tab w:val="left" w:pos="0"/>
          <w:tab w:val="clear" w:pos="1155"/>
        </w:tabs>
        <w:spacing w:line="360" w:lineRule="auto"/>
        <w:ind w:left="0" w:firstLine="0"/>
        <w:rPr>
          <w:color w:val="000000"/>
          <w:szCs w:val="21"/>
        </w:rPr>
      </w:pPr>
      <w:r>
        <w:rPr>
          <w:color w:val="000000"/>
          <w:szCs w:val="21"/>
        </w:rPr>
        <w:t>甲方有权拒收运抵现场的被损坏或有缺陷的或不符合谈判文件、乙方响应文件和谈判时乙方做出的书面承诺的任何产品。</w:t>
      </w:r>
    </w:p>
    <w:p w14:paraId="13FD3D95">
      <w:pPr>
        <w:spacing w:line="360" w:lineRule="auto"/>
        <w:rPr>
          <w:b/>
          <w:color w:val="000000"/>
          <w:szCs w:val="21"/>
        </w:rPr>
      </w:pPr>
      <w:bookmarkStart w:id="24" w:name="_Toc47617111"/>
      <w:r>
        <w:rPr>
          <w:rFonts w:hint="eastAsia"/>
          <w:b/>
          <w:color w:val="000000"/>
          <w:szCs w:val="21"/>
        </w:rPr>
        <w:t>七</w:t>
      </w:r>
      <w:r>
        <w:rPr>
          <w:b/>
          <w:color w:val="000000"/>
          <w:szCs w:val="21"/>
        </w:rPr>
        <w:t>、运输费用</w:t>
      </w:r>
      <w:bookmarkEnd w:id="24"/>
    </w:p>
    <w:p w14:paraId="75303120">
      <w:pPr>
        <w:spacing w:line="360" w:lineRule="auto"/>
        <w:ind w:firstLine="420" w:firstLineChars="200"/>
        <w:rPr>
          <w:color w:val="000000"/>
          <w:szCs w:val="21"/>
        </w:rPr>
      </w:pPr>
      <w:r>
        <w:rPr>
          <w:color w:val="000000"/>
          <w:szCs w:val="21"/>
        </w:rPr>
        <w:t>乙方承担所有产品的运输、装卸和保险等费用。</w:t>
      </w:r>
    </w:p>
    <w:p w14:paraId="54D99B13">
      <w:pPr>
        <w:spacing w:line="360" w:lineRule="auto"/>
        <w:rPr>
          <w:b/>
          <w:color w:val="000000"/>
          <w:szCs w:val="21"/>
        </w:rPr>
      </w:pPr>
      <w:bookmarkStart w:id="25" w:name="_Toc47617112"/>
      <w:r>
        <w:rPr>
          <w:rFonts w:hint="eastAsia"/>
          <w:b/>
          <w:color w:val="000000"/>
          <w:szCs w:val="21"/>
        </w:rPr>
        <w:t>八</w:t>
      </w:r>
      <w:r>
        <w:rPr>
          <w:b/>
          <w:color w:val="000000"/>
          <w:szCs w:val="21"/>
        </w:rPr>
        <w:t>、供货周期</w:t>
      </w:r>
      <w:bookmarkEnd w:id="25"/>
    </w:p>
    <w:p w14:paraId="3B1F0AE2">
      <w:pPr>
        <w:spacing w:line="360" w:lineRule="auto"/>
        <w:ind w:firstLine="420" w:firstLineChars="200"/>
        <w:rPr>
          <w:color w:val="000000"/>
          <w:szCs w:val="21"/>
        </w:rPr>
      </w:pPr>
      <w:r>
        <w:rPr>
          <w:color w:val="000000"/>
          <w:szCs w:val="21"/>
        </w:rPr>
        <w:t>所有货物在合同生效后天内运抵甲方工地现场并</w:t>
      </w:r>
      <w:r>
        <w:rPr>
          <w:rFonts w:hint="eastAsia"/>
          <w:color w:val="000000"/>
          <w:szCs w:val="21"/>
        </w:rPr>
        <w:t>完成</w:t>
      </w:r>
      <w:r>
        <w:rPr>
          <w:color w:val="000000"/>
          <w:szCs w:val="21"/>
        </w:rPr>
        <w:t>设备上架安装、</w:t>
      </w:r>
      <w:r>
        <w:rPr>
          <w:rFonts w:hint="eastAsia"/>
          <w:color w:val="000000"/>
          <w:szCs w:val="21"/>
        </w:rPr>
        <w:t>调试、</w:t>
      </w:r>
      <w:r>
        <w:rPr>
          <w:color w:val="000000"/>
          <w:szCs w:val="21"/>
        </w:rPr>
        <w:t>开机试运行及配置验证。乙方每逾期一</w:t>
      </w:r>
      <w:r>
        <w:rPr>
          <w:rFonts w:hint="eastAsia"/>
          <w:color w:val="000000"/>
          <w:szCs w:val="21"/>
        </w:rPr>
        <w:t>天</w:t>
      </w:r>
      <w:r>
        <w:rPr>
          <w:color w:val="000000"/>
          <w:szCs w:val="21"/>
        </w:rPr>
        <w:t>交货，按设备总价的5‰收取滞纳金，滞纳金从合同款中扣除。如逾期时间超过4周仍未能交付全部或部分设备（软件），在不妨碍甲方其他救济手段的情况下，甲方可以向乙方发出书面违约通知从而全部或部分地终止合同，并向乙方索赔。</w:t>
      </w:r>
    </w:p>
    <w:p w14:paraId="30F157EB">
      <w:pPr>
        <w:spacing w:line="360" w:lineRule="auto"/>
        <w:ind w:firstLine="420" w:firstLineChars="200"/>
        <w:rPr>
          <w:i/>
          <w:color w:val="000000"/>
          <w:szCs w:val="21"/>
        </w:rPr>
      </w:pPr>
      <w:r>
        <w:rPr>
          <w:color w:val="000000"/>
          <w:szCs w:val="21"/>
        </w:rPr>
        <w:t>乙方逾期交货，甲方接受的，不影响甲方追究乙方逾期交货的违约责任。</w:t>
      </w:r>
    </w:p>
    <w:p w14:paraId="35C6A7B7">
      <w:pPr>
        <w:spacing w:line="360" w:lineRule="auto"/>
        <w:rPr>
          <w:b/>
          <w:color w:val="000000"/>
          <w:szCs w:val="21"/>
        </w:rPr>
      </w:pPr>
      <w:bookmarkStart w:id="26" w:name="_Toc47617113"/>
      <w:r>
        <w:rPr>
          <w:rFonts w:hint="eastAsia"/>
          <w:b/>
          <w:color w:val="000000"/>
          <w:szCs w:val="21"/>
        </w:rPr>
        <w:t>九</w:t>
      </w:r>
      <w:r>
        <w:rPr>
          <w:b/>
          <w:color w:val="000000"/>
          <w:szCs w:val="21"/>
        </w:rPr>
        <w:t>、验收标准</w:t>
      </w:r>
      <w:bookmarkEnd w:id="26"/>
    </w:p>
    <w:p w14:paraId="211CED0D">
      <w:pPr>
        <w:numPr>
          <w:ilvl w:val="0"/>
          <w:numId w:val="5"/>
        </w:numPr>
        <w:tabs>
          <w:tab w:val="left" w:pos="0"/>
          <w:tab w:val="clear" w:pos="1155"/>
        </w:tabs>
        <w:spacing w:line="360" w:lineRule="auto"/>
        <w:ind w:left="0" w:firstLine="0"/>
        <w:rPr>
          <w:color w:val="000000"/>
          <w:szCs w:val="21"/>
        </w:rPr>
      </w:pPr>
      <w:r>
        <w:rPr>
          <w:color w:val="000000"/>
          <w:szCs w:val="21"/>
        </w:rPr>
        <w:t>设备到货后，甲方对设备数量进行核对，并进行设备上架安装、</w:t>
      </w:r>
      <w:r>
        <w:rPr>
          <w:rFonts w:hint="eastAsia"/>
          <w:color w:val="000000"/>
          <w:szCs w:val="21"/>
        </w:rPr>
        <w:t>调试、</w:t>
      </w:r>
      <w:r>
        <w:rPr>
          <w:color w:val="000000"/>
          <w:szCs w:val="21"/>
        </w:rPr>
        <w:t>开机试运行及配置验证，确定设备与合同内容无误后视为货到验收合格。</w:t>
      </w:r>
    </w:p>
    <w:p w14:paraId="6DBECFD4">
      <w:pPr>
        <w:numPr>
          <w:ilvl w:val="0"/>
          <w:numId w:val="5"/>
        </w:numPr>
        <w:tabs>
          <w:tab w:val="left" w:pos="0"/>
          <w:tab w:val="clear" w:pos="1155"/>
        </w:tabs>
        <w:spacing w:line="360" w:lineRule="auto"/>
        <w:ind w:left="0" w:firstLine="0"/>
        <w:rPr>
          <w:color w:val="000000"/>
          <w:szCs w:val="21"/>
        </w:rPr>
      </w:pPr>
      <w:r>
        <w:rPr>
          <w:color w:val="000000"/>
          <w:szCs w:val="21"/>
        </w:rPr>
        <w:t>乙方需免费提供验收所需的测试工具、并搭建测试环境，按甲方谈判文件、乙方响应文件、谈判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10个工作日内组织有关部门进行初验。初验合格的，甲、乙双方确定系统试运行开始日期、试运行方案及终验方案。试运行期为初验通过后的3个月。在试运行期结束后，如系统的设备性能和业务功能满足谈判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4C37FC7D">
      <w:pPr>
        <w:numPr>
          <w:ilvl w:val="0"/>
          <w:numId w:val="5"/>
        </w:numPr>
        <w:tabs>
          <w:tab w:val="left" w:pos="0"/>
          <w:tab w:val="clear" w:pos="1155"/>
        </w:tabs>
        <w:spacing w:line="360" w:lineRule="auto"/>
        <w:ind w:left="0" w:firstLine="0"/>
        <w:rPr>
          <w:color w:val="000000"/>
          <w:szCs w:val="21"/>
        </w:rPr>
      </w:pPr>
      <w:r>
        <w:rPr>
          <w:color w:val="000000"/>
          <w:szCs w:val="21"/>
        </w:rPr>
        <w:t>如第一次初验或终验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w:t>
      </w:r>
      <w:r>
        <w:rPr>
          <w:szCs w:val="21"/>
        </w:rPr>
        <w:t>甲方有权</w:t>
      </w:r>
      <w:r>
        <w:rPr>
          <w:rFonts w:hint="eastAsia"/>
          <w:szCs w:val="21"/>
        </w:rPr>
        <w:t>解除合同并</w:t>
      </w:r>
      <w:r>
        <w:rPr>
          <w:color w:val="000000"/>
          <w:szCs w:val="21"/>
        </w:rPr>
        <w:t>按照本合同的相关条款追究乙方的责任。</w:t>
      </w:r>
    </w:p>
    <w:p w14:paraId="1ADE26A6">
      <w:pPr>
        <w:numPr>
          <w:ilvl w:val="0"/>
          <w:numId w:val="5"/>
        </w:numPr>
        <w:tabs>
          <w:tab w:val="left" w:pos="0"/>
          <w:tab w:val="clear" w:pos="1155"/>
        </w:tabs>
        <w:spacing w:line="360" w:lineRule="auto"/>
        <w:ind w:left="0" w:firstLine="0"/>
        <w:rPr>
          <w:color w:val="000000"/>
          <w:szCs w:val="21"/>
        </w:rPr>
      </w:pPr>
      <w:bookmarkStart w:id="27" w:name="_Hlk74998701"/>
      <w:r>
        <w:rPr>
          <w:rFonts w:hint="eastAsia" w:ascii="宋体" w:hAnsi="宋体"/>
          <w:color w:val="000000"/>
          <w:szCs w:val="21"/>
        </w:rPr>
        <w:t>乙方满足验收条件、提交甲方验收的，甲方应及时组织验收</w:t>
      </w:r>
      <w:bookmarkEnd w:id="27"/>
      <w:r>
        <w:rPr>
          <w:color w:val="000000"/>
          <w:szCs w:val="21"/>
        </w:rPr>
        <w:t>。</w:t>
      </w:r>
    </w:p>
    <w:p w14:paraId="577D5C9C">
      <w:pPr>
        <w:numPr>
          <w:ilvl w:val="0"/>
          <w:numId w:val="5"/>
        </w:numPr>
        <w:tabs>
          <w:tab w:val="left" w:pos="0"/>
          <w:tab w:val="clear" w:pos="1155"/>
        </w:tabs>
        <w:spacing w:line="360" w:lineRule="auto"/>
        <w:ind w:left="0" w:firstLine="0"/>
        <w:rPr>
          <w:color w:val="000000"/>
          <w:szCs w:val="21"/>
        </w:rPr>
      </w:pPr>
      <w:r>
        <w:rPr>
          <w:color w:val="000000"/>
          <w:szCs w:val="21"/>
        </w:rPr>
        <w:t>甲、乙双方应按合同规定的时间进行初验和终验，验收时间因各种原因需要更改的，甲、乙双方应共同商定修改验收日期。</w:t>
      </w:r>
    </w:p>
    <w:p w14:paraId="7F56B03F">
      <w:pPr>
        <w:numPr>
          <w:ilvl w:val="0"/>
          <w:numId w:val="5"/>
        </w:numPr>
        <w:tabs>
          <w:tab w:val="left" w:pos="0"/>
          <w:tab w:val="clear" w:pos="1155"/>
        </w:tabs>
        <w:spacing w:line="360" w:lineRule="auto"/>
        <w:ind w:left="0" w:firstLine="0"/>
        <w:rPr>
          <w:color w:val="000000"/>
          <w:szCs w:val="21"/>
        </w:rPr>
      </w:pPr>
      <w:r>
        <w:rPr>
          <w:color w:val="000000"/>
          <w:szCs w:val="21"/>
        </w:rPr>
        <w:t>在初验和终验过程中，若一方对验收过程或结果提出质疑，且经协商不成的，可由甲方选择法定检验机构进行检验，检验费用由乙方承担。</w:t>
      </w:r>
    </w:p>
    <w:p w14:paraId="3BB47073">
      <w:pPr>
        <w:numPr>
          <w:ilvl w:val="0"/>
          <w:numId w:val="5"/>
        </w:numPr>
        <w:tabs>
          <w:tab w:val="left" w:pos="0"/>
          <w:tab w:val="clear" w:pos="1155"/>
        </w:tabs>
        <w:spacing w:line="360" w:lineRule="auto"/>
        <w:ind w:left="0" w:firstLine="0"/>
        <w:rPr>
          <w:color w:val="000000"/>
          <w:szCs w:val="21"/>
        </w:rPr>
      </w:pPr>
      <w:r>
        <w:rPr>
          <w:color w:val="000000"/>
          <w:szCs w:val="21"/>
        </w:rPr>
        <w:t>甲、乙双方约定合同产品检验期自交货日起至</w:t>
      </w:r>
      <w:r>
        <w:rPr>
          <w:rFonts w:hint="eastAsia"/>
          <w:color w:val="000000"/>
          <w:szCs w:val="21"/>
        </w:rPr>
        <w:t>初</w:t>
      </w:r>
      <w:r>
        <w:rPr>
          <w:color w:val="000000"/>
          <w:szCs w:val="21"/>
        </w:rPr>
        <w:t>验通过之日止。甲、乙双方约定合同产品免费包修期为</w:t>
      </w:r>
      <w:r>
        <w:rPr>
          <w:rFonts w:hint="eastAsia"/>
          <w:color w:val="000000"/>
          <w:szCs w:val="21"/>
        </w:rPr>
        <w:t>_</w:t>
      </w:r>
      <w:r>
        <w:rPr>
          <w:color w:val="000000"/>
          <w:szCs w:val="21"/>
        </w:rPr>
        <w:t>_年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w:t>
      </w:r>
    </w:p>
    <w:p w14:paraId="144AC685">
      <w:pPr>
        <w:spacing w:line="360" w:lineRule="auto"/>
        <w:rPr>
          <w:b/>
          <w:color w:val="000000"/>
          <w:szCs w:val="21"/>
        </w:rPr>
      </w:pPr>
      <w:bookmarkStart w:id="28" w:name="_Toc47617114"/>
      <w:r>
        <w:rPr>
          <w:rFonts w:hint="eastAsia"/>
          <w:b/>
          <w:color w:val="000000"/>
          <w:szCs w:val="21"/>
        </w:rPr>
        <w:t>十</w:t>
      </w:r>
      <w:r>
        <w:rPr>
          <w:b/>
          <w:color w:val="000000"/>
          <w:szCs w:val="21"/>
        </w:rPr>
        <w:t>、售后服务</w:t>
      </w:r>
      <w:bookmarkEnd w:id="28"/>
    </w:p>
    <w:p w14:paraId="13AE8E85">
      <w:pPr>
        <w:numPr>
          <w:ilvl w:val="0"/>
          <w:numId w:val="6"/>
        </w:numPr>
        <w:tabs>
          <w:tab w:val="left" w:pos="0"/>
          <w:tab w:val="clear" w:pos="1155"/>
        </w:tabs>
        <w:spacing w:line="360" w:lineRule="auto"/>
        <w:ind w:left="0" w:firstLine="0"/>
        <w:rPr>
          <w:color w:val="000000"/>
          <w:szCs w:val="21"/>
        </w:rPr>
      </w:pPr>
      <w:r>
        <w:rPr>
          <w:color w:val="000000"/>
          <w:szCs w:val="21"/>
        </w:rPr>
        <w:t>服务响应时间：乙方提供每周7天×24小时的技术支持和服务。如果出现技术问题或故障，乙方应按响应文件和谈判时做出的书面承诺提供相应的服务和技术支持。乙方需在南京设立产品备件库，保证硬件设备的及时维修和更换。</w:t>
      </w:r>
    </w:p>
    <w:p w14:paraId="2A9E529E">
      <w:pPr>
        <w:numPr>
          <w:ilvl w:val="0"/>
          <w:numId w:val="6"/>
        </w:numPr>
        <w:tabs>
          <w:tab w:val="left" w:pos="0"/>
          <w:tab w:val="clear" w:pos="1155"/>
        </w:tabs>
        <w:spacing w:line="360" w:lineRule="auto"/>
        <w:ind w:left="0" w:firstLine="0"/>
        <w:rPr>
          <w:color w:val="000000"/>
          <w:szCs w:val="21"/>
        </w:rPr>
      </w:pPr>
      <w:r>
        <w:rPr>
          <w:color w:val="000000"/>
          <w:szCs w:val="21"/>
        </w:rPr>
        <w:t>包修期：免费包修期</w:t>
      </w:r>
      <w:r>
        <w:rPr>
          <w:rFonts w:hint="eastAsia"/>
          <w:color w:val="000000"/>
          <w:szCs w:val="21"/>
        </w:rPr>
        <w:t>__</w:t>
      </w:r>
      <w:r>
        <w:rPr>
          <w:color w:val="000000"/>
          <w:szCs w:val="21"/>
        </w:rPr>
        <w:t>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之日起计算。超过免费包修期后，乙方对其提供的产品在设备寿命期内提供有偿保修服务。</w:t>
      </w:r>
      <w:r>
        <w:rPr>
          <w:rFonts w:hint="eastAsia"/>
          <w:kern w:val="0"/>
          <w:szCs w:val="21"/>
        </w:rPr>
        <w:t>每年有偿保修服务的价格不得高于需要保修设备</w:t>
      </w:r>
      <w:r>
        <w:rPr>
          <w:rFonts w:hint="eastAsia"/>
          <w:color w:val="000000"/>
          <w:szCs w:val="21"/>
        </w:rPr>
        <w:t>成交价的</w:t>
      </w:r>
      <w:r>
        <w:rPr>
          <w:color w:val="000000"/>
          <w:szCs w:val="21"/>
        </w:rPr>
        <w:t>__%</w:t>
      </w:r>
      <w:r>
        <w:rPr>
          <w:rFonts w:hint="eastAsia"/>
          <w:color w:val="000000"/>
          <w:szCs w:val="21"/>
        </w:rPr>
        <w:t>。有偿保修服务的内容应包含免费包修期内的所有服务内容。</w:t>
      </w:r>
    </w:p>
    <w:p w14:paraId="16D44A1F">
      <w:pPr>
        <w:numPr>
          <w:ilvl w:val="0"/>
          <w:numId w:val="6"/>
        </w:numPr>
        <w:tabs>
          <w:tab w:val="left" w:pos="0"/>
          <w:tab w:val="clear" w:pos="1155"/>
        </w:tabs>
        <w:spacing w:line="360" w:lineRule="auto"/>
        <w:ind w:left="0" w:firstLine="0"/>
        <w:rPr>
          <w:color w:val="000000"/>
          <w:szCs w:val="21"/>
        </w:rPr>
      </w:pPr>
      <w:bookmarkStart w:id="29" w:name="_Hlk74747665"/>
      <w:r>
        <w:rPr>
          <w:color w:val="000000"/>
          <w:szCs w:val="21"/>
        </w:rPr>
        <w:t>培训：包括响应文件和谈判时做出的书面承诺的培训。</w:t>
      </w:r>
      <w:r>
        <w:rPr>
          <w:rFonts w:hint="eastAsia" w:hAnsi="宋体"/>
          <w:szCs w:val="21"/>
        </w:rPr>
        <w:t>乙方</w:t>
      </w:r>
      <w:r>
        <w:rPr>
          <w:rFonts w:hAnsi="宋体"/>
          <w:szCs w:val="21"/>
        </w:rPr>
        <w:t>应对</w:t>
      </w:r>
      <w:r>
        <w:rPr>
          <w:rFonts w:hint="eastAsia" w:hAnsi="宋体"/>
          <w:szCs w:val="21"/>
        </w:rPr>
        <w:t>甲方</w:t>
      </w:r>
      <w:r>
        <w:rPr>
          <w:rFonts w:hAnsi="宋体"/>
          <w:szCs w:val="21"/>
        </w:rPr>
        <w:t>人员进行技术培训，使</w:t>
      </w:r>
      <w:r>
        <w:rPr>
          <w:rFonts w:hint="eastAsia" w:hAnsi="宋体"/>
          <w:szCs w:val="21"/>
        </w:rPr>
        <w:t>甲方</w:t>
      </w:r>
      <w:r>
        <w:rPr>
          <w:rFonts w:hAnsi="宋体"/>
          <w:szCs w:val="21"/>
        </w:rPr>
        <w:t>人员具备独立管理、维护测试和故障处理等工作的能力，培训内容包含但不限于</w:t>
      </w:r>
      <w:r>
        <w:rPr>
          <w:rFonts w:hint="eastAsia" w:hAnsi="宋体"/>
          <w:szCs w:val="21"/>
        </w:rPr>
        <w:t>系统的</w:t>
      </w:r>
      <w:r>
        <w:rPr>
          <w:rFonts w:hAnsi="宋体"/>
          <w:szCs w:val="21"/>
        </w:rPr>
        <w:t>相关技术原理、性能、操作使用方法、维护管理的技术、实际的操作练习等。</w:t>
      </w:r>
      <w:r>
        <w:rPr>
          <w:color w:val="000000"/>
          <w:szCs w:val="21"/>
        </w:rPr>
        <w:t>乙方另行提供的其它培训，往返路程费用、住宿及餐饮等费用由乙方承担。</w:t>
      </w:r>
    </w:p>
    <w:bookmarkEnd w:id="29"/>
    <w:p w14:paraId="692C4F1E">
      <w:pPr>
        <w:numPr>
          <w:ilvl w:val="0"/>
          <w:numId w:val="6"/>
        </w:numPr>
        <w:tabs>
          <w:tab w:val="left" w:pos="0"/>
          <w:tab w:val="clear" w:pos="1155"/>
        </w:tabs>
        <w:spacing w:line="360" w:lineRule="auto"/>
        <w:ind w:left="0" w:firstLine="0"/>
        <w:rPr>
          <w:color w:val="000000"/>
          <w:szCs w:val="21"/>
        </w:rPr>
      </w:pPr>
      <w:r>
        <w:rPr>
          <w:color w:val="000000"/>
          <w:szCs w:val="21"/>
        </w:rPr>
        <w:t>原厂服务：乙方所提供的技术服务由产品制造商原厂提供，所销售的产品均已包含年期每周7天×24小时原厂服务。如乙方停止代理销售本合同涉及的品牌产品，则乙方保证由产品制造商原厂继续提供所有的售后服务，且不免除乙方对此应承担的责任。</w:t>
      </w:r>
    </w:p>
    <w:p w14:paraId="63E41327">
      <w:pPr>
        <w:numPr>
          <w:ilvl w:val="0"/>
          <w:numId w:val="6"/>
        </w:numPr>
        <w:tabs>
          <w:tab w:val="left" w:pos="0"/>
          <w:tab w:val="clear" w:pos="1155"/>
        </w:tabs>
        <w:spacing w:line="360" w:lineRule="auto"/>
        <w:ind w:left="0" w:firstLine="0"/>
        <w:rPr>
          <w:color w:val="000000"/>
          <w:szCs w:val="21"/>
        </w:rPr>
      </w:pPr>
      <w:r>
        <w:t>现场服务：包修期（含系统软件维护服务）内提供免备件费、免人工费、免服务费的故障备件更换服务。由于乙方原因造成的各种硬件和软件故障（不论该硬件或软件是甲方通过本次直接购置、赠送还是随机附带方式获得），技术服务人员均须及时响应和解决。对于电话、邮件等各种渠道的技术咨询，要给予及时响应</w:t>
      </w:r>
      <w:r>
        <w:rPr>
          <w:rFonts w:hint="eastAsia"/>
        </w:rPr>
        <w:t>。</w:t>
      </w:r>
    </w:p>
    <w:p w14:paraId="3FBFB687">
      <w:pPr>
        <w:numPr>
          <w:ilvl w:val="0"/>
          <w:numId w:val="6"/>
        </w:numPr>
        <w:tabs>
          <w:tab w:val="left" w:pos="0"/>
          <w:tab w:val="clear" w:pos="1155"/>
        </w:tabs>
        <w:spacing w:line="360" w:lineRule="auto"/>
        <w:ind w:left="0" w:firstLine="0"/>
        <w:rPr>
          <w:color w:val="000000"/>
          <w:szCs w:val="21"/>
        </w:rPr>
      </w:pPr>
      <w:bookmarkStart w:id="30" w:name="_Hlk74747813"/>
      <w:r>
        <w:t>技术交流：乙方及原厂商应当针对本项目系统（软硬件）与甲方进行现场技术交流，以提高甲方操作和维护水平。</w:t>
      </w:r>
    </w:p>
    <w:bookmarkEnd w:id="30"/>
    <w:p w14:paraId="38CA4072">
      <w:pPr>
        <w:numPr>
          <w:ilvl w:val="0"/>
          <w:numId w:val="6"/>
        </w:numPr>
        <w:tabs>
          <w:tab w:val="left" w:pos="0"/>
          <w:tab w:val="clear" w:pos="1155"/>
        </w:tabs>
        <w:spacing w:line="360" w:lineRule="auto"/>
        <w:ind w:left="0" w:firstLine="0"/>
      </w:pPr>
      <w:bookmarkStart w:id="31" w:name="_Hlk74747839"/>
      <w:r>
        <w:t>软件支持：包修期内，原厂商免费为甲方提供软件维护和软件兼容性问题的技术支持服务，确保设备软件系统正常运行。乙方必须终身提供免费的软件维护和升级，对于不在此范围内的情况需列表说明。</w:t>
      </w:r>
    </w:p>
    <w:bookmarkEnd w:id="31"/>
    <w:p w14:paraId="4217225E">
      <w:pPr>
        <w:numPr>
          <w:ilvl w:val="0"/>
          <w:numId w:val="6"/>
        </w:numPr>
        <w:tabs>
          <w:tab w:val="left" w:pos="0"/>
          <w:tab w:val="clear" w:pos="1155"/>
        </w:tabs>
        <w:spacing w:line="360" w:lineRule="auto"/>
        <w:ind w:left="0" w:firstLine="0"/>
      </w:pPr>
      <w:r>
        <w:t>在甲方使用主流品牌的硬件、软件产品出现兼容性问题时，原厂商须积极配合，与有关硬件、软件厂商和甲方接洽，及时定位问题原因、寻求解决方案。</w:t>
      </w:r>
    </w:p>
    <w:p w14:paraId="0C8E3888">
      <w:pPr>
        <w:numPr>
          <w:ilvl w:val="0"/>
          <w:numId w:val="6"/>
        </w:numPr>
        <w:tabs>
          <w:tab w:val="left" w:pos="0"/>
          <w:tab w:val="clear" w:pos="1155"/>
        </w:tabs>
        <w:spacing w:line="360" w:lineRule="auto"/>
        <w:ind w:left="0" w:firstLine="0"/>
      </w:pPr>
      <w:r>
        <w:t>在包修期内及包修期后，甲方在使用乙方设备中不论何种原因造成的故障，乙方在接到甲方要求修复的通知后：</w:t>
      </w:r>
    </w:p>
    <w:p w14:paraId="471B7EB7">
      <w:pPr>
        <w:tabs>
          <w:tab w:val="left" w:pos="0"/>
          <w:tab w:val="left" w:pos="53"/>
        </w:tabs>
        <w:spacing w:line="360" w:lineRule="auto"/>
      </w:pPr>
      <w:r>
        <w:rPr>
          <w:rFonts w:hint="eastAsia"/>
        </w:rPr>
        <w:t>（1）</w:t>
      </w:r>
      <w:r>
        <w:t>电话支持：原厂商及</w:t>
      </w:r>
      <w:r>
        <w:rPr>
          <w:szCs w:val="21"/>
        </w:rPr>
        <w:t>乙方</w:t>
      </w:r>
      <w:r>
        <w:t>为甲方提供7</w:t>
      </w:r>
      <w:r>
        <w:rPr>
          <w:rFonts w:hint="eastAsia"/>
        </w:rPr>
        <w:t>×</w:t>
      </w:r>
      <w:r>
        <w:t>24（每周7天，每天24小时，下同）电话支持服务。</w:t>
      </w:r>
    </w:p>
    <w:p w14:paraId="04D90CFF">
      <w:pPr>
        <w:spacing w:line="360" w:lineRule="auto"/>
      </w:pPr>
      <w:r>
        <w:rPr>
          <w:szCs w:val="21"/>
        </w:rPr>
        <w:t>乙方</w:t>
      </w:r>
      <w:r>
        <w:t>24小时故障报修电话：</w:t>
      </w:r>
      <w:r>
        <w:rPr>
          <w:rFonts w:hint="eastAsia"/>
        </w:rPr>
        <w:t>__________</w:t>
      </w:r>
    </w:p>
    <w:p w14:paraId="15D4564D">
      <w:pPr>
        <w:spacing w:line="360" w:lineRule="auto"/>
      </w:pPr>
      <w:r>
        <w:t>原厂商24小时故障报修电话：</w:t>
      </w:r>
      <w:r>
        <w:rPr>
          <w:rFonts w:hint="eastAsia"/>
        </w:rPr>
        <w:t>_______________</w:t>
      </w:r>
    </w:p>
    <w:p w14:paraId="0DFF7C47">
      <w:pPr>
        <w:pStyle w:val="10"/>
        <w:tabs>
          <w:tab w:val="left" w:pos="417"/>
        </w:tabs>
        <w:spacing w:after="0" w:line="360" w:lineRule="auto"/>
        <w:ind w:left="10" w:hanging="10" w:hangingChars="5"/>
        <w:rPr>
          <w:szCs w:val="21"/>
        </w:rPr>
      </w:pPr>
      <w:r>
        <w:rPr>
          <w:rFonts w:asciiTheme="minorHAnsi" w:hAnsiTheme="minorHAnsi" w:eastAsiaTheme="minorEastAsia" w:cstheme="minorBidi"/>
          <w:kern w:val="2"/>
          <w:sz w:val="21"/>
          <w:szCs w:val="22"/>
        </w:rPr>
        <w:t>技术支持电话：</w:t>
      </w:r>
      <w:r>
        <w:rPr>
          <w:rFonts w:hint="eastAsia" w:asciiTheme="minorHAnsi" w:hAnsiTheme="minorHAnsi" w:eastAsiaTheme="minorEastAsia" w:cstheme="minorBidi"/>
          <w:kern w:val="2"/>
          <w:sz w:val="21"/>
          <w:szCs w:val="22"/>
        </w:rPr>
        <w:t>_________________</w:t>
      </w:r>
    </w:p>
    <w:p w14:paraId="1D4F5B07">
      <w:pPr>
        <w:tabs>
          <w:tab w:val="left" w:pos="0"/>
        </w:tabs>
        <w:spacing w:line="360" w:lineRule="auto"/>
        <w:rPr>
          <w:szCs w:val="21"/>
        </w:rPr>
      </w:pPr>
      <w:r>
        <w:rPr>
          <w:rFonts w:hint="eastAsia"/>
          <w:szCs w:val="21"/>
        </w:rPr>
        <w:t>（2）</w:t>
      </w:r>
      <w:r>
        <w:t>备件备品：原厂商及乙方保证所提供的设备的备件库可以满足甲方日常使用、排除硬件故障、升级的需求，</w:t>
      </w:r>
      <w:r>
        <w:rPr>
          <w:szCs w:val="21"/>
        </w:rPr>
        <w:t>在华东地区必须有常设维修机构，提供终身维保服务及配件</w:t>
      </w:r>
      <w:r>
        <w:rPr>
          <w:bCs/>
          <w:szCs w:val="21"/>
        </w:rPr>
        <w:t>；</w:t>
      </w:r>
      <w:r>
        <w:t>原厂商及乙方</w:t>
      </w:r>
      <w:r>
        <w:rPr>
          <w:bCs/>
          <w:szCs w:val="21"/>
        </w:rPr>
        <w:t>在国内应配备满足</w:t>
      </w:r>
      <w:r>
        <w:rPr>
          <w:szCs w:val="21"/>
        </w:rPr>
        <w:t>甲方</w:t>
      </w:r>
      <w:r>
        <w:rPr>
          <w:bCs/>
          <w:szCs w:val="21"/>
          <w:u w:val="single"/>
        </w:rPr>
        <w:t>5年</w:t>
      </w:r>
      <w:r>
        <w:rPr>
          <w:bCs/>
          <w:szCs w:val="21"/>
        </w:rPr>
        <w:t>正常使用的所有设备易损件和备件，</w:t>
      </w:r>
      <w:r>
        <w:rPr>
          <w:szCs w:val="21"/>
        </w:rPr>
        <w:t>用以保障甲方应急替换。</w:t>
      </w:r>
    </w:p>
    <w:tbl>
      <w:tblPr>
        <w:tblStyle w:val="19"/>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55"/>
        <w:gridCol w:w="1665"/>
        <w:gridCol w:w="931"/>
        <w:gridCol w:w="1272"/>
        <w:gridCol w:w="1179"/>
        <w:gridCol w:w="2098"/>
      </w:tblGrid>
      <w:tr w14:paraId="173A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0863EDF8">
            <w:pPr>
              <w:widowControl/>
              <w:jc w:val="center"/>
              <w:rPr>
                <w:b/>
                <w:kern w:val="0"/>
                <w:szCs w:val="21"/>
              </w:rPr>
            </w:pPr>
            <w:r>
              <w:rPr>
                <w:b/>
                <w:kern w:val="0"/>
                <w:szCs w:val="21"/>
              </w:rPr>
              <w:t>故障</w:t>
            </w:r>
          </w:p>
          <w:p w14:paraId="7CACEF13">
            <w:pPr>
              <w:widowControl/>
              <w:jc w:val="center"/>
              <w:rPr>
                <w:b/>
                <w:kern w:val="0"/>
                <w:szCs w:val="21"/>
              </w:rPr>
            </w:pPr>
            <w:r>
              <w:rPr>
                <w:b/>
                <w:kern w:val="0"/>
                <w:szCs w:val="21"/>
              </w:rPr>
              <w:t>级别</w:t>
            </w:r>
          </w:p>
        </w:tc>
        <w:tc>
          <w:tcPr>
            <w:tcW w:w="1355" w:type="dxa"/>
            <w:vAlign w:val="center"/>
          </w:tcPr>
          <w:p w14:paraId="115C9DA6">
            <w:pPr>
              <w:widowControl/>
              <w:jc w:val="center"/>
              <w:rPr>
                <w:b/>
                <w:kern w:val="0"/>
                <w:szCs w:val="21"/>
              </w:rPr>
            </w:pPr>
            <w:r>
              <w:rPr>
                <w:b/>
                <w:kern w:val="0"/>
                <w:szCs w:val="21"/>
              </w:rPr>
              <w:t>故障</w:t>
            </w:r>
          </w:p>
          <w:p w14:paraId="29189298">
            <w:pPr>
              <w:widowControl/>
              <w:jc w:val="center"/>
              <w:rPr>
                <w:b/>
                <w:kern w:val="0"/>
                <w:szCs w:val="21"/>
              </w:rPr>
            </w:pPr>
            <w:r>
              <w:rPr>
                <w:b/>
                <w:kern w:val="0"/>
                <w:szCs w:val="21"/>
              </w:rPr>
              <w:t>描述</w:t>
            </w:r>
          </w:p>
        </w:tc>
        <w:tc>
          <w:tcPr>
            <w:tcW w:w="1665" w:type="dxa"/>
            <w:vAlign w:val="center"/>
          </w:tcPr>
          <w:p w14:paraId="2EBC87EB">
            <w:pPr>
              <w:widowControl/>
              <w:jc w:val="center"/>
              <w:rPr>
                <w:b/>
                <w:kern w:val="0"/>
                <w:szCs w:val="21"/>
              </w:rPr>
            </w:pPr>
            <w:r>
              <w:rPr>
                <w:b/>
                <w:kern w:val="0"/>
                <w:szCs w:val="21"/>
              </w:rPr>
              <w:t>发生</w:t>
            </w:r>
          </w:p>
          <w:p w14:paraId="11B70CC7">
            <w:pPr>
              <w:widowControl/>
              <w:jc w:val="center"/>
              <w:rPr>
                <w:b/>
                <w:kern w:val="0"/>
                <w:szCs w:val="21"/>
              </w:rPr>
            </w:pPr>
            <w:r>
              <w:rPr>
                <w:b/>
                <w:kern w:val="0"/>
                <w:szCs w:val="21"/>
              </w:rPr>
              <w:t>时段</w:t>
            </w:r>
          </w:p>
        </w:tc>
        <w:tc>
          <w:tcPr>
            <w:tcW w:w="931" w:type="dxa"/>
            <w:vAlign w:val="center"/>
          </w:tcPr>
          <w:p w14:paraId="3671EFEE">
            <w:pPr>
              <w:widowControl/>
              <w:jc w:val="center"/>
              <w:rPr>
                <w:b/>
                <w:kern w:val="0"/>
                <w:szCs w:val="21"/>
              </w:rPr>
            </w:pPr>
            <w:r>
              <w:rPr>
                <w:b/>
                <w:kern w:val="0"/>
                <w:szCs w:val="21"/>
              </w:rPr>
              <w:t>电话</w:t>
            </w:r>
          </w:p>
          <w:p w14:paraId="4C0E5BCC">
            <w:pPr>
              <w:widowControl/>
              <w:jc w:val="center"/>
              <w:rPr>
                <w:b/>
                <w:kern w:val="0"/>
                <w:szCs w:val="21"/>
              </w:rPr>
            </w:pPr>
            <w:r>
              <w:rPr>
                <w:rFonts w:hint="eastAsia"/>
                <w:b/>
                <w:kern w:val="0"/>
                <w:szCs w:val="21"/>
              </w:rPr>
              <w:t>响应</w:t>
            </w:r>
          </w:p>
        </w:tc>
        <w:tc>
          <w:tcPr>
            <w:tcW w:w="1272" w:type="dxa"/>
            <w:vAlign w:val="center"/>
          </w:tcPr>
          <w:p w14:paraId="5DE46EE2">
            <w:pPr>
              <w:widowControl/>
              <w:jc w:val="center"/>
              <w:rPr>
                <w:b/>
                <w:kern w:val="0"/>
                <w:szCs w:val="21"/>
              </w:rPr>
            </w:pPr>
            <w:r>
              <w:rPr>
                <w:b/>
                <w:kern w:val="0"/>
                <w:szCs w:val="21"/>
              </w:rPr>
              <w:t>现场</w:t>
            </w:r>
          </w:p>
          <w:p w14:paraId="1F7EC2C6">
            <w:pPr>
              <w:widowControl/>
              <w:jc w:val="center"/>
              <w:rPr>
                <w:b/>
                <w:kern w:val="0"/>
                <w:szCs w:val="21"/>
              </w:rPr>
            </w:pPr>
            <w:r>
              <w:rPr>
                <w:b/>
                <w:kern w:val="0"/>
                <w:szCs w:val="21"/>
              </w:rPr>
              <w:t>响应</w:t>
            </w:r>
          </w:p>
        </w:tc>
        <w:tc>
          <w:tcPr>
            <w:tcW w:w="1179" w:type="dxa"/>
            <w:vAlign w:val="center"/>
          </w:tcPr>
          <w:p w14:paraId="5D02E445">
            <w:pPr>
              <w:widowControl/>
              <w:jc w:val="center"/>
              <w:rPr>
                <w:b/>
                <w:kern w:val="0"/>
                <w:szCs w:val="21"/>
              </w:rPr>
            </w:pPr>
            <w:r>
              <w:rPr>
                <w:b/>
                <w:kern w:val="0"/>
                <w:szCs w:val="21"/>
              </w:rPr>
              <w:t>解决</w:t>
            </w:r>
          </w:p>
          <w:p w14:paraId="52FC09B3">
            <w:pPr>
              <w:widowControl/>
              <w:jc w:val="center"/>
              <w:rPr>
                <w:b/>
                <w:kern w:val="0"/>
                <w:szCs w:val="21"/>
              </w:rPr>
            </w:pPr>
            <w:r>
              <w:rPr>
                <w:rFonts w:hint="eastAsia"/>
                <w:b/>
                <w:kern w:val="0"/>
                <w:szCs w:val="21"/>
              </w:rPr>
              <w:t>时间</w:t>
            </w:r>
          </w:p>
        </w:tc>
        <w:tc>
          <w:tcPr>
            <w:tcW w:w="2098" w:type="dxa"/>
          </w:tcPr>
          <w:p w14:paraId="2A0D01AE">
            <w:pPr>
              <w:widowControl/>
              <w:jc w:val="center"/>
              <w:rPr>
                <w:b/>
                <w:kern w:val="0"/>
                <w:szCs w:val="21"/>
              </w:rPr>
            </w:pPr>
            <w:r>
              <w:rPr>
                <w:rFonts w:hint="eastAsia"/>
                <w:b/>
                <w:kern w:val="0"/>
                <w:szCs w:val="21"/>
              </w:rPr>
              <w:t>结果</w:t>
            </w:r>
          </w:p>
          <w:p w14:paraId="50062808">
            <w:pPr>
              <w:widowControl/>
              <w:jc w:val="center"/>
              <w:rPr>
                <w:b/>
                <w:kern w:val="0"/>
                <w:szCs w:val="21"/>
              </w:rPr>
            </w:pPr>
            <w:r>
              <w:rPr>
                <w:b/>
                <w:kern w:val="0"/>
                <w:szCs w:val="21"/>
              </w:rPr>
              <w:t>要求</w:t>
            </w:r>
          </w:p>
        </w:tc>
      </w:tr>
      <w:tr w14:paraId="1D5B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restart"/>
            <w:vAlign w:val="center"/>
          </w:tcPr>
          <w:p w14:paraId="3F437FB8">
            <w:pPr>
              <w:widowControl/>
              <w:jc w:val="center"/>
              <w:rPr>
                <w:szCs w:val="21"/>
              </w:rPr>
            </w:pPr>
            <w:r>
              <w:rPr>
                <w:szCs w:val="21"/>
              </w:rPr>
              <w:t>紧急</w:t>
            </w:r>
          </w:p>
          <w:p w14:paraId="1B8799CD">
            <w:pPr>
              <w:widowControl/>
              <w:jc w:val="center"/>
              <w:rPr>
                <w:szCs w:val="21"/>
              </w:rPr>
            </w:pPr>
            <w:r>
              <w:rPr>
                <w:szCs w:val="21"/>
              </w:rPr>
              <w:t>故障</w:t>
            </w:r>
          </w:p>
        </w:tc>
        <w:tc>
          <w:tcPr>
            <w:tcW w:w="1355" w:type="dxa"/>
            <w:vMerge w:val="restart"/>
            <w:vAlign w:val="center"/>
          </w:tcPr>
          <w:p w14:paraId="3C240CCA">
            <w:pPr>
              <w:tabs>
                <w:tab w:val="left" w:pos="2412"/>
              </w:tabs>
              <w:ind w:firstLine="157" w:firstLineChars="75"/>
              <w:jc w:val="center"/>
              <w:rPr>
                <w:szCs w:val="21"/>
              </w:rPr>
            </w:pPr>
            <w:r>
              <w:rPr>
                <w:szCs w:val="21"/>
              </w:rPr>
              <w:t>服务中断</w:t>
            </w:r>
          </w:p>
        </w:tc>
        <w:tc>
          <w:tcPr>
            <w:tcW w:w="1665" w:type="dxa"/>
            <w:vAlign w:val="center"/>
          </w:tcPr>
          <w:p w14:paraId="4E0B6784">
            <w:pPr>
              <w:jc w:val="center"/>
              <w:rPr>
                <w:szCs w:val="21"/>
              </w:rPr>
            </w:pPr>
            <w:r>
              <w:rPr>
                <w:szCs w:val="21"/>
              </w:rPr>
              <w:t>正常工作时段</w:t>
            </w:r>
          </w:p>
        </w:tc>
        <w:tc>
          <w:tcPr>
            <w:tcW w:w="931" w:type="dxa"/>
            <w:vAlign w:val="center"/>
          </w:tcPr>
          <w:p w14:paraId="268F0D65">
            <w:pPr>
              <w:jc w:val="center"/>
              <w:rPr>
                <w:szCs w:val="21"/>
              </w:rPr>
            </w:pPr>
            <w:r>
              <w:rPr>
                <w:szCs w:val="21"/>
              </w:rPr>
              <w:t>/</w:t>
            </w:r>
          </w:p>
        </w:tc>
        <w:tc>
          <w:tcPr>
            <w:tcW w:w="1272" w:type="dxa"/>
            <w:vAlign w:val="center"/>
          </w:tcPr>
          <w:p w14:paraId="59019862">
            <w:pPr>
              <w:jc w:val="center"/>
              <w:rPr>
                <w:szCs w:val="21"/>
              </w:rPr>
            </w:pPr>
            <w:r>
              <w:rPr>
                <w:szCs w:val="21"/>
              </w:rPr>
              <w:t>现场解决</w:t>
            </w:r>
          </w:p>
        </w:tc>
        <w:tc>
          <w:tcPr>
            <w:tcW w:w="1179" w:type="dxa"/>
            <w:vAlign w:val="center"/>
          </w:tcPr>
          <w:p w14:paraId="2D3FC663">
            <w:pPr>
              <w:jc w:val="center"/>
              <w:rPr>
                <w:szCs w:val="21"/>
              </w:rPr>
            </w:pPr>
            <w:r>
              <w:rPr>
                <w:szCs w:val="21"/>
              </w:rPr>
              <w:t>10～15</w:t>
            </w:r>
          </w:p>
          <w:p w14:paraId="02AA9531">
            <w:pPr>
              <w:jc w:val="center"/>
              <w:rPr>
                <w:szCs w:val="21"/>
              </w:rPr>
            </w:pPr>
            <w:r>
              <w:rPr>
                <w:szCs w:val="21"/>
              </w:rPr>
              <w:t>分钟</w:t>
            </w:r>
          </w:p>
        </w:tc>
        <w:tc>
          <w:tcPr>
            <w:tcW w:w="2098" w:type="dxa"/>
            <w:vAlign w:val="center"/>
          </w:tcPr>
          <w:p w14:paraId="652A2861">
            <w:pPr>
              <w:jc w:val="center"/>
              <w:rPr>
                <w:szCs w:val="21"/>
              </w:rPr>
            </w:pPr>
            <w:r>
              <w:rPr>
                <w:rFonts w:hint="eastAsia"/>
                <w:szCs w:val="21"/>
              </w:rPr>
              <w:t>服务</w:t>
            </w:r>
            <w:r>
              <w:rPr>
                <w:szCs w:val="21"/>
              </w:rPr>
              <w:t>恢复</w:t>
            </w:r>
          </w:p>
        </w:tc>
      </w:tr>
      <w:tr w14:paraId="1A2F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continue"/>
            <w:vAlign w:val="center"/>
          </w:tcPr>
          <w:p w14:paraId="6C4D504E">
            <w:pPr>
              <w:widowControl/>
              <w:jc w:val="center"/>
              <w:rPr>
                <w:szCs w:val="21"/>
              </w:rPr>
            </w:pPr>
          </w:p>
        </w:tc>
        <w:tc>
          <w:tcPr>
            <w:tcW w:w="1355" w:type="dxa"/>
            <w:vMerge w:val="continue"/>
            <w:vAlign w:val="center"/>
          </w:tcPr>
          <w:p w14:paraId="6D0EBEBD">
            <w:pPr>
              <w:tabs>
                <w:tab w:val="left" w:pos="2412"/>
              </w:tabs>
              <w:ind w:firstLine="157" w:firstLineChars="75"/>
              <w:jc w:val="center"/>
              <w:rPr>
                <w:szCs w:val="21"/>
              </w:rPr>
            </w:pPr>
          </w:p>
        </w:tc>
        <w:tc>
          <w:tcPr>
            <w:tcW w:w="1665" w:type="dxa"/>
            <w:vAlign w:val="center"/>
          </w:tcPr>
          <w:p w14:paraId="69B842FB">
            <w:pPr>
              <w:jc w:val="center"/>
              <w:rPr>
                <w:szCs w:val="21"/>
              </w:rPr>
            </w:pPr>
            <w:r>
              <w:rPr>
                <w:szCs w:val="21"/>
              </w:rPr>
              <w:t>非正常</w:t>
            </w:r>
          </w:p>
          <w:p w14:paraId="5CEE8DCB">
            <w:pPr>
              <w:jc w:val="center"/>
              <w:rPr>
                <w:szCs w:val="21"/>
              </w:rPr>
            </w:pPr>
            <w:r>
              <w:rPr>
                <w:szCs w:val="21"/>
              </w:rPr>
              <w:t>工作时段</w:t>
            </w:r>
          </w:p>
        </w:tc>
        <w:tc>
          <w:tcPr>
            <w:tcW w:w="931" w:type="dxa"/>
            <w:vAlign w:val="center"/>
          </w:tcPr>
          <w:p w14:paraId="46C29331">
            <w:pPr>
              <w:jc w:val="center"/>
              <w:rPr>
                <w:szCs w:val="21"/>
              </w:rPr>
            </w:pPr>
            <w:r>
              <w:rPr>
                <w:szCs w:val="21"/>
              </w:rPr>
              <w:t>立即</w:t>
            </w:r>
          </w:p>
          <w:p w14:paraId="31958E9A">
            <w:pPr>
              <w:jc w:val="center"/>
              <w:rPr>
                <w:szCs w:val="21"/>
              </w:rPr>
            </w:pPr>
            <w:r>
              <w:rPr>
                <w:szCs w:val="21"/>
              </w:rPr>
              <w:t>响应</w:t>
            </w:r>
          </w:p>
        </w:tc>
        <w:tc>
          <w:tcPr>
            <w:tcW w:w="1272" w:type="dxa"/>
            <w:vAlign w:val="center"/>
          </w:tcPr>
          <w:p w14:paraId="518C6E94">
            <w:pPr>
              <w:jc w:val="center"/>
              <w:rPr>
                <w:szCs w:val="21"/>
              </w:rPr>
            </w:pPr>
            <w:r>
              <w:rPr>
                <w:szCs w:val="21"/>
              </w:rPr>
              <w:t>30分钟内</w:t>
            </w:r>
          </w:p>
        </w:tc>
        <w:tc>
          <w:tcPr>
            <w:tcW w:w="1179" w:type="dxa"/>
            <w:vAlign w:val="center"/>
          </w:tcPr>
          <w:p w14:paraId="137B0C4B">
            <w:pPr>
              <w:jc w:val="center"/>
              <w:rPr>
                <w:szCs w:val="21"/>
              </w:rPr>
            </w:pPr>
            <w:r>
              <w:rPr>
                <w:szCs w:val="21"/>
              </w:rPr>
              <w:t>30分钟内</w:t>
            </w:r>
          </w:p>
        </w:tc>
        <w:tc>
          <w:tcPr>
            <w:tcW w:w="2098" w:type="dxa"/>
            <w:vAlign w:val="center"/>
          </w:tcPr>
          <w:p w14:paraId="72935BA1">
            <w:pPr>
              <w:jc w:val="center"/>
              <w:rPr>
                <w:szCs w:val="21"/>
              </w:rPr>
            </w:pPr>
            <w:r>
              <w:rPr>
                <w:rFonts w:hint="eastAsia"/>
                <w:szCs w:val="21"/>
              </w:rPr>
              <w:t>服务</w:t>
            </w:r>
            <w:r>
              <w:rPr>
                <w:szCs w:val="21"/>
              </w:rPr>
              <w:t>恢复</w:t>
            </w:r>
          </w:p>
        </w:tc>
      </w:tr>
      <w:tr w14:paraId="2B64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30" w:type="dxa"/>
            <w:vMerge w:val="restart"/>
            <w:vAlign w:val="center"/>
          </w:tcPr>
          <w:p w14:paraId="1EE3AF72">
            <w:pPr>
              <w:widowControl/>
              <w:jc w:val="center"/>
              <w:rPr>
                <w:szCs w:val="21"/>
              </w:rPr>
            </w:pPr>
            <w:r>
              <w:rPr>
                <w:szCs w:val="21"/>
              </w:rPr>
              <w:t>严重</w:t>
            </w:r>
          </w:p>
          <w:p w14:paraId="1FCE7B70">
            <w:pPr>
              <w:widowControl/>
              <w:jc w:val="center"/>
              <w:rPr>
                <w:szCs w:val="21"/>
              </w:rPr>
            </w:pPr>
            <w:r>
              <w:rPr>
                <w:szCs w:val="21"/>
              </w:rPr>
              <w:t>故障</w:t>
            </w:r>
          </w:p>
        </w:tc>
        <w:tc>
          <w:tcPr>
            <w:tcW w:w="1355" w:type="dxa"/>
            <w:vMerge w:val="restart"/>
            <w:vAlign w:val="center"/>
          </w:tcPr>
          <w:p w14:paraId="4F62350E">
            <w:pPr>
              <w:ind w:firstLine="157" w:firstLineChars="75"/>
              <w:jc w:val="center"/>
              <w:rPr>
                <w:szCs w:val="21"/>
              </w:rPr>
            </w:pPr>
            <w:r>
              <w:rPr>
                <w:szCs w:val="21"/>
              </w:rPr>
              <w:t>系统缓慢</w:t>
            </w:r>
          </w:p>
        </w:tc>
        <w:tc>
          <w:tcPr>
            <w:tcW w:w="1665" w:type="dxa"/>
            <w:vAlign w:val="center"/>
          </w:tcPr>
          <w:p w14:paraId="059A2ADD">
            <w:pPr>
              <w:jc w:val="center"/>
              <w:rPr>
                <w:szCs w:val="21"/>
              </w:rPr>
            </w:pPr>
            <w:r>
              <w:rPr>
                <w:szCs w:val="21"/>
              </w:rPr>
              <w:t>正常工作时段</w:t>
            </w:r>
          </w:p>
        </w:tc>
        <w:tc>
          <w:tcPr>
            <w:tcW w:w="931" w:type="dxa"/>
            <w:vAlign w:val="center"/>
          </w:tcPr>
          <w:p w14:paraId="066B0C6C">
            <w:pPr>
              <w:jc w:val="center"/>
              <w:rPr>
                <w:szCs w:val="21"/>
              </w:rPr>
            </w:pPr>
          </w:p>
        </w:tc>
        <w:tc>
          <w:tcPr>
            <w:tcW w:w="1272" w:type="dxa"/>
            <w:vAlign w:val="center"/>
          </w:tcPr>
          <w:p w14:paraId="53C83E2F">
            <w:pPr>
              <w:jc w:val="center"/>
              <w:rPr>
                <w:szCs w:val="21"/>
              </w:rPr>
            </w:pPr>
            <w:r>
              <w:rPr>
                <w:szCs w:val="21"/>
              </w:rPr>
              <w:t>现场解决</w:t>
            </w:r>
          </w:p>
        </w:tc>
        <w:tc>
          <w:tcPr>
            <w:tcW w:w="1179" w:type="dxa"/>
            <w:vAlign w:val="center"/>
          </w:tcPr>
          <w:p w14:paraId="44067EB2">
            <w:pPr>
              <w:jc w:val="center"/>
              <w:rPr>
                <w:szCs w:val="21"/>
              </w:rPr>
            </w:pPr>
            <w:r>
              <w:rPr>
                <w:szCs w:val="21"/>
              </w:rPr>
              <w:t>10～15</w:t>
            </w:r>
          </w:p>
          <w:p w14:paraId="4837428A">
            <w:pPr>
              <w:jc w:val="center"/>
              <w:rPr>
                <w:szCs w:val="21"/>
              </w:rPr>
            </w:pPr>
            <w:r>
              <w:rPr>
                <w:szCs w:val="21"/>
              </w:rPr>
              <w:t>分钟</w:t>
            </w:r>
          </w:p>
        </w:tc>
        <w:tc>
          <w:tcPr>
            <w:tcW w:w="2098" w:type="dxa"/>
            <w:vAlign w:val="center"/>
          </w:tcPr>
          <w:p w14:paraId="0B0073BD">
            <w:pPr>
              <w:jc w:val="center"/>
              <w:rPr>
                <w:szCs w:val="21"/>
              </w:rPr>
            </w:pPr>
            <w:r>
              <w:rPr>
                <w:rFonts w:hint="eastAsia"/>
                <w:szCs w:val="21"/>
              </w:rPr>
              <w:t>系统</w:t>
            </w:r>
            <w:r>
              <w:rPr>
                <w:szCs w:val="21"/>
              </w:rPr>
              <w:t>恢复</w:t>
            </w:r>
          </w:p>
        </w:tc>
      </w:tr>
      <w:tr w14:paraId="40C3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30" w:type="dxa"/>
            <w:vMerge w:val="continue"/>
            <w:vAlign w:val="center"/>
          </w:tcPr>
          <w:p w14:paraId="56B3D727">
            <w:pPr>
              <w:widowControl/>
              <w:jc w:val="center"/>
              <w:rPr>
                <w:szCs w:val="21"/>
              </w:rPr>
            </w:pPr>
          </w:p>
        </w:tc>
        <w:tc>
          <w:tcPr>
            <w:tcW w:w="1355" w:type="dxa"/>
            <w:vMerge w:val="continue"/>
            <w:vAlign w:val="center"/>
          </w:tcPr>
          <w:p w14:paraId="4C51C6F0">
            <w:pPr>
              <w:ind w:firstLine="157" w:firstLineChars="75"/>
              <w:jc w:val="center"/>
              <w:rPr>
                <w:szCs w:val="21"/>
              </w:rPr>
            </w:pPr>
          </w:p>
        </w:tc>
        <w:tc>
          <w:tcPr>
            <w:tcW w:w="1665" w:type="dxa"/>
            <w:vAlign w:val="center"/>
          </w:tcPr>
          <w:p w14:paraId="7849C1DF">
            <w:pPr>
              <w:jc w:val="center"/>
              <w:rPr>
                <w:szCs w:val="21"/>
              </w:rPr>
            </w:pPr>
            <w:r>
              <w:rPr>
                <w:szCs w:val="21"/>
              </w:rPr>
              <w:t>非正常</w:t>
            </w:r>
          </w:p>
          <w:p w14:paraId="409F7C4D">
            <w:pPr>
              <w:jc w:val="center"/>
              <w:rPr>
                <w:szCs w:val="21"/>
              </w:rPr>
            </w:pPr>
            <w:r>
              <w:rPr>
                <w:szCs w:val="21"/>
              </w:rPr>
              <w:t>工作时段</w:t>
            </w:r>
          </w:p>
        </w:tc>
        <w:tc>
          <w:tcPr>
            <w:tcW w:w="931" w:type="dxa"/>
            <w:vAlign w:val="center"/>
          </w:tcPr>
          <w:p w14:paraId="41706C37">
            <w:pPr>
              <w:jc w:val="center"/>
              <w:rPr>
                <w:szCs w:val="21"/>
              </w:rPr>
            </w:pPr>
            <w:r>
              <w:rPr>
                <w:szCs w:val="21"/>
              </w:rPr>
              <w:t>立即</w:t>
            </w:r>
          </w:p>
          <w:p w14:paraId="10F45672">
            <w:pPr>
              <w:jc w:val="center"/>
              <w:rPr>
                <w:szCs w:val="21"/>
              </w:rPr>
            </w:pPr>
            <w:r>
              <w:rPr>
                <w:szCs w:val="21"/>
              </w:rPr>
              <w:t>响应</w:t>
            </w:r>
          </w:p>
        </w:tc>
        <w:tc>
          <w:tcPr>
            <w:tcW w:w="1272" w:type="dxa"/>
            <w:vAlign w:val="center"/>
          </w:tcPr>
          <w:p w14:paraId="08A50C70">
            <w:pPr>
              <w:jc w:val="center"/>
              <w:rPr>
                <w:szCs w:val="21"/>
              </w:rPr>
            </w:pPr>
            <w:r>
              <w:rPr>
                <w:szCs w:val="21"/>
              </w:rPr>
              <w:t>30分钟内</w:t>
            </w:r>
          </w:p>
        </w:tc>
        <w:tc>
          <w:tcPr>
            <w:tcW w:w="1179" w:type="dxa"/>
            <w:vAlign w:val="center"/>
          </w:tcPr>
          <w:p w14:paraId="3EDAE0EE">
            <w:pPr>
              <w:jc w:val="center"/>
              <w:rPr>
                <w:szCs w:val="21"/>
              </w:rPr>
            </w:pPr>
            <w:r>
              <w:rPr>
                <w:szCs w:val="21"/>
              </w:rPr>
              <w:t>1小时</w:t>
            </w:r>
          </w:p>
        </w:tc>
        <w:tc>
          <w:tcPr>
            <w:tcW w:w="2098" w:type="dxa"/>
            <w:vAlign w:val="center"/>
          </w:tcPr>
          <w:p w14:paraId="6DF3E5CC">
            <w:pPr>
              <w:jc w:val="center"/>
              <w:rPr>
                <w:szCs w:val="21"/>
              </w:rPr>
            </w:pPr>
            <w:r>
              <w:rPr>
                <w:rFonts w:hint="eastAsia"/>
                <w:szCs w:val="21"/>
              </w:rPr>
              <w:t>系统</w:t>
            </w:r>
            <w:r>
              <w:rPr>
                <w:szCs w:val="21"/>
              </w:rPr>
              <w:t>恢复</w:t>
            </w:r>
          </w:p>
        </w:tc>
      </w:tr>
      <w:tr w14:paraId="33F8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0" w:type="dxa"/>
            <w:vMerge w:val="restart"/>
            <w:vAlign w:val="center"/>
          </w:tcPr>
          <w:p w14:paraId="2DD2EC4C">
            <w:pPr>
              <w:widowControl/>
              <w:jc w:val="center"/>
              <w:rPr>
                <w:szCs w:val="21"/>
              </w:rPr>
            </w:pPr>
            <w:r>
              <w:rPr>
                <w:szCs w:val="21"/>
              </w:rPr>
              <w:t>中级</w:t>
            </w:r>
          </w:p>
          <w:p w14:paraId="0FBFDCE7">
            <w:pPr>
              <w:widowControl/>
              <w:jc w:val="center"/>
              <w:rPr>
                <w:szCs w:val="21"/>
              </w:rPr>
            </w:pPr>
            <w:r>
              <w:rPr>
                <w:szCs w:val="21"/>
              </w:rPr>
              <w:t>故障</w:t>
            </w:r>
          </w:p>
        </w:tc>
        <w:tc>
          <w:tcPr>
            <w:tcW w:w="1355" w:type="dxa"/>
            <w:vMerge w:val="restart"/>
            <w:vAlign w:val="center"/>
          </w:tcPr>
          <w:p w14:paraId="4E8A53B9">
            <w:pPr>
              <w:ind w:firstLine="157" w:firstLineChars="75"/>
              <w:jc w:val="center"/>
              <w:rPr>
                <w:szCs w:val="21"/>
              </w:rPr>
            </w:pPr>
            <w:r>
              <w:rPr>
                <w:szCs w:val="21"/>
              </w:rPr>
              <w:t>关键性bug</w:t>
            </w:r>
          </w:p>
        </w:tc>
        <w:tc>
          <w:tcPr>
            <w:tcW w:w="1665" w:type="dxa"/>
            <w:vAlign w:val="center"/>
          </w:tcPr>
          <w:p w14:paraId="2BBAB6D3">
            <w:pPr>
              <w:jc w:val="center"/>
              <w:rPr>
                <w:szCs w:val="21"/>
              </w:rPr>
            </w:pPr>
            <w:r>
              <w:rPr>
                <w:szCs w:val="21"/>
              </w:rPr>
              <w:t>正常工作时段</w:t>
            </w:r>
          </w:p>
        </w:tc>
        <w:tc>
          <w:tcPr>
            <w:tcW w:w="931" w:type="dxa"/>
            <w:vAlign w:val="center"/>
          </w:tcPr>
          <w:p w14:paraId="35049598">
            <w:pPr>
              <w:jc w:val="center"/>
              <w:rPr>
                <w:szCs w:val="21"/>
              </w:rPr>
            </w:pPr>
            <w:r>
              <w:rPr>
                <w:szCs w:val="21"/>
              </w:rPr>
              <w:t>/</w:t>
            </w:r>
          </w:p>
        </w:tc>
        <w:tc>
          <w:tcPr>
            <w:tcW w:w="1272" w:type="dxa"/>
            <w:vAlign w:val="center"/>
          </w:tcPr>
          <w:p w14:paraId="0BEBB300">
            <w:pPr>
              <w:jc w:val="center"/>
              <w:rPr>
                <w:szCs w:val="21"/>
              </w:rPr>
            </w:pPr>
            <w:r>
              <w:rPr>
                <w:szCs w:val="21"/>
              </w:rPr>
              <w:t>现场响应</w:t>
            </w:r>
          </w:p>
        </w:tc>
        <w:tc>
          <w:tcPr>
            <w:tcW w:w="1179" w:type="dxa"/>
            <w:vMerge w:val="restart"/>
            <w:vAlign w:val="center"/>
          </w:tcPr>
          <w:p w14:paraId="6C3EC51D">
            <w:pPr>
              <w:widowControl/>
              <w:jc w:val="center"/>
              <w:rPr>
                <w:szCs w:val="21"/>
              </w:rPr>
            </w:pPr>
            <w:r>
              <w:rPr>
                <w:szCs w:val="21"/>
              </w:rPr>
              <w:t>不超过</w:t>
            </w:r>
          </w:p>
          <w:p w14:paraId="3F1CD9A1">
            <w:pPr>
              <w:widowControl/>
              <w:jc w:val="center"/>
              <w:rPr>
                <w:szCs w:val="21"/>
              </w:rPr>
            </w:pPr>
            <w:r>
              <w:rPr>
                <w:szCs w:val="21"/>
              </w:rPr>
              <w:t>1周</w:t>
            </w:r>
          </w:p>
        </w:tc>
        <w:tc>
          <w:tcPr>
            <w:tcW w:w="2098" w:type="dxa"/>
            <w:vMerge w:val="restart"/>
            <w:vAlign w:val="center"/>
          </w:tcPr>
          <w:p w14:paraId="50D5C523">
            <w:pPr>
              <w:widowControl/>
              <w:jc w:val="center"/>
              <w:rPr>
                <w:szCs w:val="21"/>
              </w:rPr>
            </w:pPr>
            <w:r>
              <w:rPr>
                <w:szCs w:val="21"/>
              </w:rPr>
              <w:t>B</w:t>
            </w:r>
            <w:r>
              <w:rPr>
                <w:rFonts w:hint="eastAsia"/>
                <w:szCs w:val="21"/>
              </w:rPr>
              <w:t>ug</w:t>
            </w:r>
            <w:r>
              <w:rPr>
                <w:szCs w:val="21"/>
              </w:rPr>
              <w:t>修复</w:t>
            </w:r>
            <w:r>
              <w:rPr>
                <w:rFonts w:hint="eastAsia"/>
                <w:szCs w:val="21"/>
              </w:rPr>
              <w:t>完成</w:t>
            </w:r>
            <w:r>
              <w:rPr>
                <w:szCs w:val="21"/>
              </w:rPr>
              <w:t>且B</w:t>
            </w:r>
            <w:r>
              <w:rPr>
                <w:rFonts w:hint="eastAsia"/>
                <w:szCs w:val="21"/>
              </w:rPr>
              <w:t>ug</w:t>
            </w:r>
            <w:r>
              <w:rPr>
                <w:szCs w:val="21"/>
              </w:rPr>
              <w:t>修复前</w:t>
            </w:r>
            <w:r>
              <w:rPr>
                <w:rFonts w:hint="eastAsia"/>
                <w:szCs w:val="21"/>
              </w:rPr>
              <w:t>服务</w:t>
            </w:r>
            <w:r>
              <w:rPr>
                <w:szCs w:val="21"/>
              </w:rPr>
              <w:t>厂商</w:t>
            </w:r>
            <w:r>
              <w:rPr>
                <w:rFonts w:hint="eastAsia"/>
                <w:szCs w:val="21"/>
              </w:rPr>
              <w:t>安排</w:t>
            </w:r>
            <w:r>
              <w:rPr>
                <w:szCs w:val="21"/>
              </w:rPr>
              <w:t>专人重点保障</w:t>
            </w:r>
            <w:r>
              <w:rPr>
                <w:rFonts w:hint="eastAsia"/>
                <w:szCs w:val="21"/>
              </w:rPr>
              <w:t>以</w:t>
            </w:r>
            <w:r>
              <w:rPr>
                <w:szCs w:val="21"/>
              </w:rPr>
              <w:t>确保系统稳定运行</w:t>
            </w:r>
          </w:p>
        </w:tc>
      </w:tr>
      <w:tr w14:paraId="0BFB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0" w:type="dxa"/>
            <w:vMerge w:val="continue"/>
            <w:vAlign w:val="center"/>
          </w:tcPr>
          <w:p w14:paraId="660918B2">
            <w:pPr>
              <w:widowControl/>
              <w:jc w:val="center"/>
              <w:rPr>
                <w:szCs w:val="21"/>
              </w:rPr>
            </w:pPr>
          </w:p>
        </w:tc>
        <w:tc>
          <w:tcPr>
            <w:tcW w:w="1355" w:type="dxa"/>
            <w:vMerge w:val="continue"/>
            <w:vAlign w:val="center"/>
          </w:tcPr>
          <w:p w14:paraId="06054CAB">
            <w:pPr>
              <w:ind w:firstLine="157" w:firstLineChars="75"/>
              <w:jc w:val="center"/>
              <w:rPr>
                <w:szCs w:val="21"/>
              </w:rPr>
            </w:pPr>
          </w:p>
        </w:tc>
        <w:tc>
          <w:tcPr>
            <w:tcW w:w="1665" w:type="dxa"/>
            <w:vAlign w:val="center"/>
          </w:tcPr>
          <w:p w14:paraId="145AF418">
            <w:pPr>
              <w:jc w:val="center"/>
              <w:rPr>
                <w:szCs w:val="21"/>
              </w:rPr>
            </w:pPr>
            <w:r>
              <w:rPr>
                <w:szCs w:val="21"/>
              </w:rPr>
              <w:t>非正常</w:t>
            </w:r>
          </w:p>
          <w:p w14:paraId="00530A80">
            <w:pPr>
              <w:jc w:val="center"/>
              <w:rPr>
                <w:szCs w:val="21"/>
              </w:rPr>
            </w:pPr>
            <w:r>
              <w:rPr>
                <w:szCs w:val="21"/>
              </w:rPr>
              <w:t>工作时段</w:t>
            </w:r>
          </w:p>
        </w:tc>
        <w:tc>
          <w:tcPr>
            <w:tcW w:w="931" w:type="dxa"/>
            <w:vAlign w:val="center"/>
          </w:tcPr>
          <w:p w14:paraId="0CC67272">
            <w:pPr>
              <w:jc w:val="center"/>
              <w:rPr>
                <w:szCs w:val="21"/>
              </w:rPr>
            </w:pPr>
            <w:r>
              <w:rPr>
                <w:szCs w:val="21"/>
              </w:rPr>
              <w:t>立即</w:t>
            </w:r>
          </w:p>
          <w:p w14:paraId="34213DC2">
            <w:pPr>
              <w:jc w:val="center"/>
              <w:rPr>
                <w:szCs w:val="21"/>
              </w:rPr>
            </w:pPr>
            <w:r>
              <w:rPr>
                <w:szCs w:val="21"/>
              </w:rPr>
              <w:t>响应</w:t>
            </w:r>
          </w:p>
        </w:tc>
        <w:tc>
          <w:tcPr>
            <w:tcW w:w="1272" w:type="dxa"/>
            <w:vAlign w:val="center"/>
          </w:tcPr>
          <w:p w14:paraId="7A4B021F">
            <w:pPr>
              <w:jc w:val="center"/>
              <w:rPr>
                <w:szCs w:val="21"/>
              </w:rPr>
            </w:pPr>
            <w:r>
              <w:rPr>
                <w:szCs w:val="21"/>
              </w:rPr>
              <w:t>一个</w:t>
            </w:r>
          </w:p>
          <w:p w14:paraId="2A9D5B3B">
            <w:pPr>
              <w:jc w:val="center"/>
              <w:rPr>
                <w:szCs w:val="21"/>
              </w:rPr>
            </w:pPr>
            <w:r>
              <w:rPr>
                <w:szCs w:val="21"/>
              </w:rPr>
              <w:t>工作日内</w:t>
            </w:r>
          </w:p>
        </w:tc>
        <w:tc>
          <w:tcPr>
            <w:tcW w:w="1179" w:type="dxa"/>
            <w:vMerge w:val="continue"/>
            <w:vAlign w:val="center"/>
          </w:tcPr>
          <w:p w14:paraId="71C1C152">
            <w:pPr>
              <w:widowControl/>
              <w:ind w:firstLine="425"/>
              <w:jc w:val="center"/>
              <w:rPr>
                <w:szCs w:val="21"/>
              </w:rPr>
            </w:pPr>
          </w:p>
        </w:tc>
        <w:tc>
          <w:tcPr>
            <w:tcW w:w="2098" w:type="dxa"/>
            <w:vMerge w:val="continue"/>
            <w:vAlign w:val="center"/>
          </w:tcPr>
          <w:p w14:paraId="31224D4B">
            <w:pPr>
              <w:widowControl/>
              <w:ind w:firstLine="425"/>
              <w:jc w:val="center"/>
              <w:rPr>
                <w:szCs w:val="21"/>
              </w:rPr>
            </w:pPr>
          </w:p>
        </w:tc>
      </w:tr>
      <w:tr w14:paraId="67B3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30" w:type="dxa"/>
            <w:vMerge w:val="restart"/>
            <w:vAlign w:val="center"/>
          </w:tcPr>
          <w:p w14:paraId="5D0B0FCE">
            <w:pPr>
              <w:jc w:val="center"/>
              <w:rPr>
                <w:szCs w:val="21"/>
              </w:rPr>
            </w:pPr>
            <w:r>
              <w:rPr>
                <w:szCs w:val="21"/>
              </w:rPr>
              <w:t>低级</w:t>
            </w:r>
          </w:p>
          <w:p w14:paraId="0C6A3904">
            <w:pPr>
              <w:jc w:val="center"/>
              <w:rPr>
                <w:szCs w:val="21"/>
              </w:rPr>
            </w:pPr>
            <w:r>
              <w:rPr>
                <w:szCs w:val="21"/>
              </w:rPr>
              <w:t>故障</w:t>
            </w:r>
          </w:p>
        </w:tc>
        <w:tc>
          <w:tcPr>
            <w:tcW w:w="1355" w:type="dxa"/>
            <w:vMerge w:val="restart"/>
            <w:vAlign w:val="center"/>
          </w:tcPr>
          <w:p w14:paraId="621A067F">
            <w:pPr>
              <w:jc w:val="center"/>
              <w:rPr>
                <w:szCs w:val="21"/>
              </w:rPr>
            </w:pPr>
            <w:r>
              <w:rPr>
                <w:szCs w:val="21"/>
              </w:rPr>
              <w:t>非关键性bug</w:t>
            </w:r>
          </w:p>
        </w:tc>
        <w:tc>
          <w:tcPr>
            <w:tcW w:w="1665" w:type="dxa"/>
            <w:vAlign w:val="center"/>
          </w:tcPr>
          <w:p w14:paraId="1B78313F">
            <w:pPr>
              <w:jc w:val="center"/>
              <w:rPr>
                <w:szCs w:val="21"/>
              </w:rPr>
            </w:pPr>
            <w:r>
              <w:rPr>
                <w:szCs w:val="21"/>
              </w:rPr>
              <w:t>正常工作时</w:t>
            </w:r>
            <w:r>
              <w:rPr>
                <w:rFonts w:hint="eastAsia"/>
                <w:szCs w:val="21"/>
              </w:rPr>
              <w:t>段</w:t>
            </w:r>
          </w:p>
        </w:tc>
        <w:tc>
          <w:tcPr>
            <w:tcW w:w="931" w:type="dxa"/>
            <w:vAlign w:val="center"/>
          </w:tcPr>
          <w:p w14:paraId="6D060212">
            <w:pPr>
              <w:jc w:val="center"/>
              <w:rPr>
                <w:szCs w:val="21"/>
              </w:rPr>
            </w:pPr>
            <w:r>
              <w:rPr>
                <w:szCs w:val="21"/>
              </w:rPr>
              <w:t>/</w:t>
            </w:r>
          </w:p>
        </w:tc>
        <w:tc>
          <w:tcPr>
            <w:tcW w:w="1272" w:type="dxa"/>
            <w:vAlign w:val="center"/>
          </w:tcPr>
          <w:p w14:paraId="1A8A519F">
            <w:pPr>
              <w:jc w:val="center"/>
              <w:rPr>
                <w:szCs w:val="21"/>
              </w:rPr>
            </w:pPr>
            <w:r>
              <w:rPr>
                <w:szCs w:val="21"/>
              </w:rPr>
              <w:t>现场解决</w:t>
            </w:r>
          </w:p>
        </w:tc>
        <w:tc>
          <w:tcPr>
            <w:tcW w:w="1179" w:type="dxa"/>
            <w:vMerge w:val="restart"/>
            <w:vAlign w:val="center"/>
          </w:tcPr>
          <w:p w14:paraId="4769F596">
            <w:pPr>
              <w:widowControl/>
              <w:jc w:val="center"/>
              <w:rPr>
                <w:szCs w:val="21"/>
              </w:rPr>
            </w:pPr>
            <w:r>
              <w:rPr>
                <w:szCs w:val="21"/>
              </w:rPr>
              <w:t>不超过</w:t>
            </w:r>
          </w:p>
          <w:p w14:paraId="46FF5781">
            <w:pPr>
              <w:widowControl/>
              <w:jc w:val="center"/>
              <w:rPr>
                <w:szCs w:val="21"/>
              </w:rPr>
            </w:pPr>
            <w:r>
              <w:rPr>
                <w:szCs w:val="21"/>
              </w:rPr>
              <w:t>2周</w:t>
            </w:r>
          </w:p>
        </w:tc>
        <w:tc>
          <w:tcPr>
            <w:tcW w:w="2098" w:type="dxa"/>
            <w:vMerge w:val="restart"/>
            <w:vAlign w:val="center"/>
          </w:tcPr>
          <w:p w14:paraId="4CCCCBCD">
            <w:pPr>
              <w:widowControl/>
              <w:jc w:val="center"/>
              <w:rPr>
                <w:szCs w:val="21"/>
              </w:rPr>
            </w:pPr>
            <w:r>
              <w:rPr>
                <w:szCs w:val="21"/>
              </w:rPr>
              <w:t>B</w:t>
            </w:r>
            <w:r>
              <w:rPr>
                <w:rFonts w:hint="eastAsia"/>
                <w:szCs w:val="21"/>
              </w:rPr>
              <w:t>ug</w:t>
            </w:r>
            <w:r>
              <w:rPr>
                <w:szCs w:val="21"/>
              </w:rPr>
              <w:t>修复</w:t>
            </w:r>
            <w:r>
              <w:rPr>
                <w:rFonts w:hint="eastAsia"/>
                <w:szCs w:val="21"/>
              </w:rPr>
              <w:t>完成</w:t>
            </w:r>
          </w:p>
        </w:tc>
      </w:tr>
      <w:tr w14:paraId="6BB7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0" w:type="dxa"/>
            <w:vMerge w:val="continue"/>
            <w:vAlign w:val="center"/>
          </w:tcPr>
          <w:p w14:paraId="64886423">
            <w:pPr>
              <w:jc w:val="center"/>
              <w:rPr>
                <w:szCs w:val="21"/>
              </w:rPr>
            </w:pPr>
          </w:p>
        </w:tc>
        <w:tc>
          <w:tcPr>
            <w:tcW w:w="1355" w:type="dxa"/>
            <w:vMerge w:val="continue"/>
            <w:vAlign w:val="center"/>
          </w:tcPr>
          <w:p w14:paraId="5F7691CB">
            <w:pPr>
              <w:jc w:val="center"/>
              <w:rPr>
                <w:szCs w:val="21"/>
              </w:rPr>
            </w:pPr>
          </w:p>
        </w:tc>
        <w:tc>
          <w:tcPr>
            <w:tcW w:w="1665" w:type="dxa"/>
            <w:vAlign w:val="center"/>
          </w:tcPr>
          <w:p w14:paraId="62C3F4FB">
            <w:pPr>
              <w:jc w:val="center"/>
              <w:rPr>
                <w:szCs w:val="21"/>
              </w:rPr>
            </w:pPr>
            <w:r>
              <w:rPr>
                <w:szCs w:val="21"/>
              </w:rPr>
              <w:t>非正常</w:t>
            </w:r>
          </w:p>
          <w:p w14:paraId="129A3207">
            <w:pPr>
              <w:jc w:val="center"/>
              <w:rPr>
                <w:szCs w:val="21"/>
              </w:rPr>
            </w:pPr>
            <w:r>
              <w:rPr>
                <w:szCs w:val="21"/>
              </w:rPr>
              <w:t>工作时段</w:t>
            </w:r>
          </w:p>
        </w:tc>
        <w:tc>
          <w:tcPr>
            <w:tcW w:w="931" w:type="dxa"/>
            <w:vAlign w:val="center"/>
          </w:tcPr>
          <w:p w14:paraId="407DFF26">
            <w:pPr>
              <w:jc w:val="center"/>
              <w:rPr>
                <w:szCs w:val="21"/>
              </w:rPr>
            </w:pPr>
            <w:r>
              <w:rPr>
                <w:szCs w:val="21"/>
              </w:rPr>
              <w:t>立即</w:t>
            </w:r>
          </w:p>
          <w:p w14:paraId="3CB22F05">
            <w:pPr>
              <w:jc w:val="center"/>
              <w:rPr>
                <w:szCs w:val="21"/>
              </w:rPr>
            </w:pPr>
            <w:r>
              <w:rPr>
                <w:szCs w:val="21"/>
              </w:rPr>
              <w:t>响应</w:t>
            </w:r>
          </w:p>
        </w:tc>
        <w:tc>
          <w:tcPr>
            <w:tcW w:w="1272" w:type="dxa"/>
            <w:vAlign w:val="center"/>
          </w:tcPr>
          <w:p w14:paraId="1AC2A0F8">
            <w:pPr>
              <w:jc w:val="center"/>
              <w:rPr>
                <w:szCs w:val="21"/>
              </w:rPr>
            </w:pPr>
            <w:r>
              <w:rPr>
                <w:szCs w:val="21"/>
              </w:rPr>
              <w:t>一个</w:t>
            </w:r>
          </w:p>
          <w:p w14:paraId="37A60EE1">
            <w:pPr>
              <w:jc w:val="center"/>
              <w:rPr>
                <w:szCs w:val="21"/>
              </w:rPr>
            </w:pPr>
            <w:r>
              <w:rPr>
                <w:szCs w:val="21"/>
              </w:rPr>
              <w:t>工作日内</w:t>
            </w:r>
          </w:p>
        </w:tc>
        <w:tc>
          <w:tcPr>
            <w:tcW w:w="1179" w:type="dxa"/>
            <w:vMerge w:val="continue"/>
            <w:vAlign w:val="center"/>
          </w:tcPr>
          <w:p w14:paraId="78959DD5">
            <w:pPr>
              <w:widowControl/>
              <w:ind w:firstLine="425"/>
              <w:jc w:val="center"/>
              <w:rPr>
                <w:szCs w:val="21"/>
              </w:rPr>
            </w:pPr>
          </w:p>
        </w:tc>
        <w:tc>
          <w:tcPr>
            <w:tcW w:w="2098" w:type="dxa"/>
            <w:vMerge w:val="continue"/>
            <w:vAlign w:val="center"/>
          </w:tcPr>
          <w:p w14:paraId="1ED4FB41">
            <w:pPr>
              <w:widowControl/>
              <w:ind w:firstLine="425"/>
              <w:jc w:val="center"/>
              <w:rPr>
                <w:szCs w:val="21"/>
              </w:rPr>
            </w:pPr>
          </w:p>
        </w:tc>
      </w:tr>
    </w:tbl>
    <w:p w14:paraId="7E406721">
      <w:pPr>
        <w:ind w:firstLine="420" w:firstLineChars="200"/>
        <w:rPr>
          <w:szCs w:val="21"/>
        </w:rPr>
      </w:pPr>
      <w:r>
        <w:rPr>
          <w:szCs w:val="21"/>
        </w:rPr>
        <w:t>注：</w:t>
      </w:r>
      <w:r>
        <w:rPr>
          <w:rFonts w:hint="eastAsia"/>
          <w:szCs w:val="21"/>
        </w:rPr>
        <w:t>（1）</w:t>
      </w:r>
      <w:r>
        <w:rPr>
          <w:szCs w:val="21"/>
        </w:rPr>
        <w:t>正常工作时段是指营业厅营业期间（8:00～17：30），如有变更以实际营业时间为准。</w:t>
      </w:r>
    </w:p>
    <w:p w14:paraId="07C14CB6">
      <w:pPr>
        <w:tabs>
          <w:tab w:val="left" w:pos="0"/>
        </w:tabs>
        <w:spacing w:line="360" w:lineRule="auto"/>
        <w:rPr>
          <w:szCs w:val="21"/>
        </w:rPr>
      </w:pPr>
      <w:r>
        <w:rPr>
          <w:rFonts w:hint="eastAsia"/>
          <w:szCs w:val="21"/>
        </w:rPr>
        <w:t>（2）故障发生后，乙方除按上表要求实施故障处理及恢复外，</w:t>
      </w:r>
      <w:r>
        <w:rPr>
          <w:szCs w:val="21"/>
        </w:rPr>
        <w:t>中级故障和低级故障发生</w:t>
      </w:r>
      <w:r>
        <w:rPr>
          <w:rFonts w:hint="eastAsia"/>
          <w:szCs w:val="21"/>
        </w:rPr>
        <w:t>后</w:t>
      </w:r>
      <w:r>
        <w:rPr>
          <w:szCs w:val="21"/>
        </w:rPr>
        <w:t>，甲方出具书面的故障情况通知单，双方技术人员签字确认</w:t>
      </w:r>
      <w:r>
        <w:rPr>
          <w:rFonts w:hint="eastAsia"/>
          <w:szCs w:val="21"/>
        </w:rPr>
        <w:t>；</w:t>
      </w:r>
      <w:r>
        <w:rPr>
          <w:szCs w:val="21"/>
        </w:rPr>
        <w:t>对于紧急故障和严重故障，甲方</w:t>
      </w:r>
      <w:r>
        <w:rPr>
          <w:rFonts w:hint="eastAsia"/>
          <w:szCs w:val="21"/>
        </w:rPr>
        <w:t>会</w:t>
      </w:r>
      <w:r>
        <w:rPr>
          <w:szCs w:val="21"/>
        </w:rPr>
        <w:t>以</w:t>
      </w:r>
      <w:r>
        <w:rPr>
          <w:rFonts w:hint="eastAsia"/>
          <w:szCs w:val="21"/>
        </w:rPr>
        <w:t>书面</w:t>
      </w:r>
      <w:r>
        <w:rPr>
          <w:szCs w:val="21"/>
        </w:rPr>
        <w:t>形式通知乙方，乙方在接收到</w:t>
      </w:r>
      <w:r>
        <w:rPr>
          <w:rFonts w:hint="eastAsia"/>
          <w:szCs w:val="21"/>
        </w:rPr>
        <w:t>书面通知</w:t>
      </w:r>
      <w:r>
        <w:rPr>
          <w:szCs w:val="21"/>
        </w:rPr>
        <w:t>后3日内给予甲方书面确认，并详述故障原因和解决办法。</w:t>
      </w:r>
    </w:p>
    <w:p w14:paraId="1DA88F00">
      <w:pPr>
        <w:numPr>
          <w:ilvl w:val="0"/>
          <w:numId w:val="6"/>
        </w:numPr>
        <w:tabs>
          <w:tab w:val="left" w:pos="0"/>
          <w:tab w:val="clear" w:pos="1155"/>
        </w:tabs>
        <w:spacing w:line="360" w:lineRule="auto"/>
        <w:ind w:left="0" w:firstLine="0"/>
      </w:pPr>
      <w:bookmarkStart w:id="32" w:name="_Hlk74747953"/>
      <w:r>
        <w:t>定期巡访：乙方每月到甲方现场对机器进行检查，并在检测后两周内向甲方提供检测报告，乙方必须承诺升级后的软件没有版权及使用的其它问题，并且到下次升级时可保证正常使用。</w:t>
      </w:r>
    </w:p>
    <w:p w14:paraId="6682C545">
      <w:pPr>
        <w:numPr>
          <w:ilvl w:val="0"/>
          <w:numId w:val="6"/>
        </w:numPr>
        <w:tabs>
          <w:tab w:val="left" w:pos="0"/>
          <w:tab w:val="clear" w:pos="1155"/>
        </w:tabs>
        <w:spacing w:line="360" w:lineRule="auto"/>
        <w:ind w:left="0" w:firstLine="0"/>
      </w:pPr>
      <w:r>
        <w:t>特殊时段现场支持服务：乙方及原厂商提供特殊时段(两会期间、法定节假日、系统停机服务等甲方认为必须的重要时段)的现场服务，包括产品安装和客户化，系统变更、系统升级。每次现场服务后乙方均须向甲方提交《维护技术服务工作报告》。现场技术支持服务后，对未完全解决的问题，乙方工程师须至少每周与甲方工程师联系，跟踪问题，分析协商处理方案，直至问题解决。</w:t>
      </w:r>
      <w:bookmarkEnd w:id="32"/>
    </w:p>
    <w:p w14:paraId="41D6D2D7">
      <w:pPr>
        <w:numPr>
          <w:ilvl w:val="0"/>
          <w:numId w:val="6"/>
        </w:numPr>
        <w:tabs>
          <w:tab w:val="left" w:pos="0"/>
          <w:tab w:val="clear" w:pos="1155"/>
        </w:tabs>
        <w:spacing w:line="360" w:lineRule="auto"/>
        <w:ind w:left="0" w:firstLine="0"/>
      </w:pPr>
      <w:r>
        <w:t>如果在</w:t>
      </w:r>
      <w:bookmarkStart w:id="33" w:name="_Hlk74747969"/>
      <w:r>
        <w:t>系统</w:t>
      </w:r>
      <w:bookmarkEnd w:id="33"/>
      <w:r>
        <w:t>发生故障后，乙方未能按合同要求时间到达用户现场排除故障，甲方有权请第三方解决问题，由此产生的费用由乙方承担。造成甲方业务损失的，由乙方承担相应责任。</w:t>
      </w:r>
    </w:p>
    <w:p w14:paraId="696355B9">
      <w:pPr>
        <w:numPr>
          <w:ilvl w:val="0"/>
          <w:numId w:val="6"/>
        </w:numPr>
        <w:tabs>
          <w:tab w:val="left" w:pos="0"/>
          <w:tab w:val="clear" w:pos="1155"/>
        </w:tabs>
        <w:spacing w:line="360" w:lineRule="auto"/>
        <w:ind w:left="0" w:firstLine="0"/>
      </w:pPr>
      <w:bookmarkStart w:id="34" w:name="_Hlk74747998"/>
      <w:r>
        <w:t>用户档案：自系统安装之日起，乙方及原厂商共同为甲方建立档案，并由维护工程师更新、完善数据记录。在设备安装后和每一次故障排除之后，乙方都应做详细地记载，对每一次故障均做出详细故障原因分析报告，并由维护工程师更新、完善数据记录，以此为甲方提供设备维护资料和数据，及时给出适当的建议，使甲方通过档案可以有效地进行系统分析、追踪处理，安排预防维护计划。</w:t>
      </w:r>
    </w:p>
    <w:bookmarkEnd w:id="34"/>
    <w:p w14:paraId="22DC8F52">
      <w:pPr>
        <w:numPr>
          <w:ilvl w:val="0"/>
          <w:numId w:val="6"/>
        </w:numPr>
        <w:tabs>
          <w:tab w:val="left" w:pos="0"/>
          <w:tab w:val="clear" w:pos="1155"/>
        </w:tabs>
        <w:spacing w:line="360" w:lineRule="auto"/>
        <w:ind w:left="0" w:firstLine="0"/>
        <w:rPr>
          <w:color w:val="000000"/>
          <w:szCs w:val="21"/>
        </w:rPr>
      </w:pPr>
      <w:r>
        <w:rPr>
          <w:rFonts w:hint="eastAsia"/>
          <w:color w:val="000000"/>
          <w:szCs w:val="21"/>
        </w:rPr>
        <w:t>包修期内，乙方及原</w:t>
      </w:r>
      <w:r>
        <w:rPr>
          <w:color w:val="000000"/>
          <w:szCs w:val="21"/>
        </w:rPr>
        <w:t>厂商的现场施工人员需服从</w:t>
      </w:r>
      <w:r>
        <w:rPr>
          <w:rFonts w:hint="eastAsia"/>
          <w:color w:val="000000"/>
          <w:szCs w:val="21"/>
        </w:rPr>
        <w:t>甲方</w:t>
      </w:r>
      <w:r>
        <w:rPr>
          <w:color w:val="000000"/>
          <w:szCs w:val="21"/>
        </w:rPr>
        <w:t>的</w:t>
      </w:r>
      <w:r>
        <w:rPr>
          <w:rFonts w:hint="eastAsia"/>
          <w:color w:val="000000"/>
          <w:szCs w:val="21"/>
        </w:rPr>
        <w:t>机房</w:t>
      </w:r>
      <w:r>
        <w:rPr>
          <w:color w:val="000000"/>
          <w:szCs w:val="21"/>
        </w:rPr>
        <w:t>管理要求，</w:t>
      </w:r>
      <w:r>
        <w:rPr>
          <w:rFonts w:hint="eastAsia"/>
          <w:color w:val="000000"/>
          <w:szCs w:val="21"/>
        </w:rPr>
        <w:t>仅</w:t>
      </w:r>
      <w:r>
        <w:rPr>
          <w:color w:val="000000"/>
          <w:szCs w:val="21"/>
        </w:rPr>
        <w:t>能在指定区域内进行维护。</w:t>
      </w:r>
    </w:p>
    <w:p w14:paraId="027312F6">
      <w:pPr>
        <w:numPr>
          <w:ilvl w:val="0"/>
          <w:numId w:val="6"/>
        </w:numPr>
        <w:tabs>
          <w:tab w:val="left" w:pos="0"/>
          <w:tab w:val="clear" w:pos="1155"/>
        </w:tabs>
        <w:spacing w:line="360" w:lineRule="auto"/>
        <w:ind w:left="0" w:firstLine="0"/>
      </w:pPr>
      <w:r>
        <w:t>包修期后服务：包修期满后，如设备出现故障，乙方应负责及时维修，若维修时间超过半个月，乙方应负责免费提供代替设备，保证系统正常运行。</w:t>
      </w:r>
    </w:p>
    <w:p w14:paraId="13AB1680">
      <w:pPr>
        <w:numPr>
          <w:ilvl w:val="0"/>
          <w:numId w:val="6"/>
        </w:numPr>
        <w:tabs>
          <w:tab w:val="left" w:pos="0"/>
          <w:tab w:val="clear" w:pos="1155"/>
        </w:tabs>
        <w:spacing w:line="360" w:lineRule="auto"/>
        <w:ind w:left="0" w:firstLine="0"/>
      </w:pPr>
      <w:r>
        <w:t>本售后服务要求必须视为保证系统运行所需的基本要求，如有遗漏，乙方应予以补充，否则将认为乙方认同遗漏部分并免费提供</w:t>
      </w:r>
      <w:r>
        <w:rPr>
          <w:rFonts w:hint="eastAsia"/>
        </w:rPr>
        <w:t>。</w:t>
      </w:r>
    </w:p>
    <w:p w14:paraId="258AE9A5">
      <w:pPr>
        <w:spacing w:line="360" w:lineRule="auto"/>
        <w:rPr>
          <w:b/>
          <w:color w:val="000000"/>
          <w:szCs w:val="21"/>
        </w:rPr>
      </w:pPr>
      <w:bookmarkStart w:id="35" w:name="_Toc47617115"/>
      <w:r>
        <w:rPr>
          <w:b/>
          <w:color w:val="000000"/>
          <w:szCs w:val="21"/>
        </w:rPr>
        <w:t>十</w:t>
      </w:r>
      <w:r>
        <w:rPr>
          <w:rFonts w:hint="eastAsia"/>
          <w:b/>
          <w:color w:val="000000"/>
          <w:szCs w:val="21"/>
        </w:rPr>
        <w:t>一</w:t>
      </w:r>
      <w:r>
        <w:rPr>
          <w:b/>
          <w:color w:val="000000"/>
          <w:szCs w:val="21"/>
        </w:rPr>
        <w:t>、技术升级和优惠条件</w:t>
      </w:r>
      <w:bookmarkEnd w:id="35"/>
    </w:p>
    <w:p w14:paraId="5D3231D0">
      <w:pPr>
        <w:numPr>
          <w:ilvl w:val="0"/>
          <w:numId w:val="7"/>
        </w:numPr>
        <w:tabs>
          <w:tab w:val="left" w:pos="0"/>
          <w:tab w:val="clear" w:pos="840"/>
        </w:tabs>
        <w:spacing w:line="360" w:lineRule="auto"/>
        <w:ind w:left="0" w:firstLine="0"/>
        <w:rPr>
          <w:color w:val="000000"/>
          <w:szCs w:val="21"/>
        </w:rPr>
      </w:pPr>
      <w:r>
        <w:rPr>
          <w:color w:val="000000"/>
          <w:szCs w:val="21"/>
        </w:rPr>
        <w:t>乙方对所供硬件及第三方软件在设备寿命期内提供免费的软件升级服务（包括设备模板），并在升级后为甲方提供免费的培训。</w:t>
      </w:r>
    </w:p>
    <w:p w14:paraId="69ADCE5A">
      <w:pPr>
        <w:numPr>
          <w:ilvl w:val="0"/>
          <w:numId w:val="7"/>
        </w:numPr>
        <w:tabs>
          <w:tab w:val="left" w:pos="0"/>
          <w:tab w:val="clear" w:pos="840"/>
        </w:tabs>
        <w:spacing w:line="360" w:lineRule="auto"/>
        <w:ind w:left="0" w:firstLine="0"/>
        <w:rPr>
          <w:color w:val="000000"/>
          <w:szCs w:val="21"/>
        </w:rPr>
      </w:pPr>
      <w:r>
        <w:rPr>
          <w:color w:val="000000"/>
          <w:szCs w:val="21"/>
        </w:rPr>
        <w:t>乙方承诺升级后的软件没有版权及权属争议等其它问题，并且保证到下次升级时可正常使用。</w:t>
      </w:r>
    </w:p>
    <w:p w14:paraId="4BD25213">
      <w:pPr>
        <w:numPr>
          <w:ilvl w:val="0"/>
          <w:numId w:val="7"/>
        </w:numPr>
        <w:tabs>
          <w:tab w:val="left" w:pos="0"/>
          <w:tab w:val="clear" w:pos="840"/>
        </w:tabs>
        <w:spacing w:line="360" w:lineRule="auto"/>
        <w:ind w:left="0" w:firstLine="0"/>
        <w:rPr>
          <w:color w:val="262626"/>
          <w:szCs w:val="21"/>
        </w:rPr>
      </w:pPr>
      <w:r>
        <w:rPr>
          <w:color w:val="000000"/>
          <w:szCs w:val="21"/>
        </w:rPr>
        <w:t>本次合同范围</w:t>
      </w:r>
      <w:r>
        <w:rPr>
          <w:color w:val="262626"/>
          <w:szCs w:val="21"/>
        </w:rPr>
        <w:t>，即</w:t>
      </w:r>
      <w:r>
        <w:rPr>
          <w:rFonts w:hint="eastAsia"/>
          <w:bCs/>
          <w:szCs w:val="21"/>
          <w:u w:val="single"/>
        </w:rPr>
        <w:t>“防火墙采购</w:t>
      </w:r>
      <w:r>
        <w:rPr>
          <w:rFonts w:hint="eastAsia"/>
          <w:bCs/>
          <w:color w:val="262626"/>
          <w:szCs w:val="21"/>
          <w:u w:val="single"/>
        </w:rPr>
        <w:t>”</w:t>
      </w:r>
      <w:r>
        <w:rPr>
          <w:color w:val="262626"/>
          <w:szCs w:val="21"/>
        </w:rPr>
        <w:t>项目范围，对于系统今后新增设备和软件的所有集成，乙方全部免收集成费。</w:t>
      </w:r>
    </w:p>
    <w:p w14:paraId="5EA374A6">
      <w:pPr>
        <w:numPr>
          <w:ilvl w:val="0"/>
          <w:numId w:val="7"/>
        </w:numPr>
        <w:tabs>
          <w:tab w:val="left" w:pos="0"/>
          <w:tab w:val="clear" w:pos="840"/>
        </w:tabs>
        <w:spacing w:line="360" w:lineRule="auto"/>
        <w:ind w:left="0" w:firstLine="0"/>
        <w:rPr>
          <w:szCs w:val="21"/>
        </w:rPr>
      </w:pPr>
      <w:r>
        <w:rPr>
          <w:color w:val="262626"/>
          <w:szCs w:val="21"/>
        </w:rPr>
        <w:t>甲方在本系统扩容时，乙方提供的同类设备、配件、软件及相关服务等报价应不高于本</w:t>
      </w:r>
      <w:r>
        <w:rPr>
          <w:rFonts w:hint="eastAsia"/>
          <w:bCs/>
          <w:szCs w:val="21"/>
          <w:u w:val="single"/>
        </w:rPr>
        <w:t>“防火墙采购”</w:t>
      </w:r>
      <w:r>
        <w:rPr>
          <w:szCs w:val="21"/>
        </w:rPr>
        <w:t>项目的中标价格、折扣，且不高于当时市场价格。</w:t>
      </w:r>
    </w:p>
    <w:p w14:paraId="3FBEE4AA">
      <w:pPr>
        <w:spacing w:line="360" w:lineRule="auto"/>
        <w:rPr>
          <w:b/>
          <w:color w:val="262626"/>
          <w:szCs w:val="21"/>
        </w:rPr>
      </w:pPr>
      <w:bookmarkStart w:id="36" w:name="_Toc47617116"/>
      <w:r>
        <w:rPr>
          <w:b/>
          <w:color w:val="262626"/>
          <w:szCs w:val="21"/>
        </w:rPr>
        <w:t>十</w:t>
      </w:r>
      <w:r>
        <w:rPr>
          <w:rFonts w:hint="eastAsia"/>
          <w:b/>
          <w:color w:val="262626"/>
          <w:szCs w:val="21"/>
        </w:rPr>
        <w:t>二</w:t>
      </w:r>
      <w:r>
        <w:rPr>
          <w:b/>
          <w:color w:val="262626"/>
          <w:szCs w:val="21"/>
        </w:rPr>
        <w:t>、技术和资料的保密事项</w:t>
      </w:r>
      <w:bookmarkEnd w:id="36"/>
    </w:p>
    <w:p w14:paraId="195717DD">
      <w:pPr>
        <w:numPr>
          <w:ilvl w:val="0"/>
          <w:numId w:val="8"/>
        </w:numPr>
        <w:tabs>
          <w:tab w:val="left" w:pos="0"/>
          <w:tab w:val="clear" w:pos="1155"/>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14:paraId="3D3B456A">
      <w:pPr>
        <w:numPr>
          <w:ilvl w:val="0"/>
          <w:numId w:val="8"/>
        </w:numPr>
        <w:tabs>
          <w:tab w:val="left" w:pos="0"/>
          <w:tab w:val="clear" w:pos="1155"/>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14:paraId="25E2BBF7">
      <w:pPr>
        <w:numPr>
          <w:ilvl w:val="0"/>
          <w:numId w:val="8"/>
        </w:numPr>
        <w:tabs>
          <w:tab w:val="left" w:pos="0"/>
          <w:tab w:val="clear" w:pos="1155"/>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0651BF03">
      <w:pPr>
        <w:spacing w:line="360" w:lineRule="auto"/>
        <w:rPr>
          <w:b/>
          <w:color w:val="000000"/>
          <w:szCs w:val="21"/>
        </w:rPr>
      </w:pPr>
      <w:bookmarkStart w:id="37" w:name="_Toc47617117"/>
      <w:r>
        <w:rPr>
          <w:b/>
          <w:color w:val="000000"/>
          <w:szCs w:val="21"/>
        </w:rPr>
        <w:t>十</w:t>
      </w:r>
      <w:r>
        <w:rPr>
          <w:rFonts w:hint="eastAsia"/>
          <w:b/>
          <w:color w:val="000000"/>
          <w:szCs w:val="21"/>
        </w:rPr>
        <w:t>三</w:t>
      </w:r>
      <w:r>
        <w:rPr>
          <w:b/>
          <w:color w:val="000000"/>
          <w:szCs w:val="21"/>
        </w:rPr>
        <w:t>、双方责任</w:t>
      </w:r>
      <w:bookmarkEnd w:id="37"/>
    </w:p>
    <w:p w14:paraId="0919861F">
      <w:pPr>
        <w:tabs>
          <w:tab w:val="left" w:pos="0"/>
        </w:tabs>
        <w:spacing w:line="360" w:lineRule="auto"/>
        <w:rPr>
          <w:color w:val="000000"/>
          <w:szCs w:val="21"/>
        </w:rPr>
      </w:pPr>
      <w:r>
        <w:rPr>
          <w:color w:val="000000"/>
          <w:szCs w:val="21"/>
        </w:rPr>
        <w:t>甲方责任</w:t>
      </w:r>
    </w:p>
    <w:p w14:paraId="333B174C">
      <w:pPr>
        <w:numPr>
          <w:ilvl w:val="0"/>
          <w:numId w:val="9"/>
        </w:numPr>
        <w:spacing w:line="360" w:lineRule="auto"/>
        <w:rPr>
          <w:color w:val="000000"/>
          <w:szCs w:val="21"/>
        </w:rPr>
      </w:pPr>
      <w:r>
        <w:rPr>
          <w:color w:val="000000"/>
          <w:szCs w:val="21"/>
        </w:rPr>
        <w:t>甲方需为乙方提供项目实施便利，积极配合乙方进行项目实施安装及调试。</w:t>
      </w:r>
    </w:p>
    <w:p w14:paraId="7CF995BF">
      <w:pPr>
        <w:numPr>
          <w:ilvl w:val="0"/>
          <w:numId w:val="9"/>
        </w:numPr>
        <w:tabs>
          <w:tab w:val="left" w:pos="0"/>
          <w:tab w:val="clear" w:pos="420"/>
        </w:tabs>
        <w:spacing w:line="360" w:lineRule="auto"/>
        <w:ind w:left="0" w:firstLine="0"/>
        <w:rPr>
          <w:color w:val="000000"/>
          <w:szCs w:val="21"/>
        </w:rPr>
      </w:pPr>
      <w:r>
        <w:rPr>
          <w:color w:val="000000"/>
          <w:szCs w:val="21"/>
        </w:rPr>
        <w:t>甲方需为乙方协调各方关系提供便利。</w:t>
      </w:r>
    </w:p>
    <w:p w14:paraId="0DF2CA1C">
      <w:pPr>
        <w:numPr>
          <w:ilvl w:val="0"/>
          <w:numId w:val="9"/>
        </w:numPr>
        <w:tabs>
          <w:tab w:val="left" w:pos="0"/>
          <w:tab w:val="clear" w:pos="420"/>
        </w:tabs>
        <w:spacing w:line="360" w:lineRule="auto"/>
        <w:ind w:left="0" w:firstLine="0"/>
        <w:rPr>
          <w:color w:val="000000"/>
          <w:szCs w:val="21"/>
        </w:rPr>
      </w:pPr>
      <w:r>
        <w:rPr>
          <w:color w:val="000000"/>
          <w:szCs w:val="21"/>
        </w:rPr>
        <w:t>甲方应指派管理人员、技术人员参加项目系统安装、系统测试和其它工作。</w:t>
      </w:r>
    </w:p>
    <w:p w14:paraId="36404241">
      <w:pPr>
        <w:numPr>
          <w:ilvl w:val="0"/>
          <w:numId w:val="9"/>
        </w:numPr>
        <w:tabs>
          <w:tab w:val="left" w:pos="0"/>
          <w:tab w:val="clear" w:pos="420"/>
        </w:tabs>
        <w:spacing w:line="360" w:lineRule="auto"/>
        <w:ind w:left="0" w:firstLine="0"/>
        <w:rPr>
          <w:color w:val="000000"/>
          <w:szCs w:val="21"/>
        </w:rPr>
      </w:pPr>
      <w:r>
        <w:rPr>
          <w:color w:val="000000"/>
          <w:szCs w:val="21"/>
        </w:rPr>
        <w:t>因乙方未按合同质量或要求交付产品，甲方有权拒收，甲方的该项权利不因产品在启运前通过甲方的验收而受到任何限制或影响。</w:t>
      </w:r>
    </w:p>
    <w:p w14:paraId="5A3A8649">
      <w:pPr>
        <w:spacing w:line="360" w:lineRule="auto"/>
        <w:ind w:firstLine="4" w:firstLineChars="2"/>
        <w:rPr>
          <w:color w:val="000000"/>
          <w:szCs w:val="21"/>
        </w:rPr>
      </w:pPr>
      <w:r>
        <w:rPr>
          <w:color w:val="000000"/>
          <w:szCs w:val="21"/>
        </w:rPr>
        <w:t>乙方责任</w:t>
      </w:r>
    </w:p>
    <w:p w14:paraId="123E9416">
      <w:pPr>
        <w:numPr>
          <w:ilvl w:val="0"/>
          <w:numId w:val="10"/>
        </w:numPr>
        <w:tabs>
          <w:tab w:val="left" w:pos="0"/>
          <w:tab w:val="clear" w:pos="420"/>
        </w:tabs>
        <w:spacing w:line="360" w:lineRule="auto"/>
        <w:ind w:left="0" w:firstLine="0"/>
        <w:rPr>
          <w:color w:val="000000"/>
          <w:szCs w:val="21"/>
        </w:rPr>
      </w:pPr>
      <w:bookmarkStart w:id="38" w:name="_Hlk74748087"/>
      <w:r>
        <w:rPr>
          <w:color w:val="000000"/>
          <w:szCs w:val="21"/>
        </w:rPr>
        <w:t>乙方承诺：除响应文件及后续书面承诺标明的偏离外，乙方提供的产品和服务均满足谈判文件要求。</w:t>
      </w:r>
    </w:p>
    <w:p w14:paraId="05C3C33F">
      <w:pPr>
        <w:numPr>
          <w:ilvl w:val="0"/>
          <w:numId w:val="10"/>
        </w:numPr>
        <w:tabs>
          <w:tab w:val="left" w:pos="0"/>
          <w:tab w:val="clear" w:pos="420"/>
        </w:tabs>
        <w:spacing w:line="360" w:lineRule="auto"/>
        <w:ind w:left="0" w:firstLine="0"/>
        <w:rPr>
          <w:color w:val="000000"/>
          <w:szCs w:val="21"/>
        </w:rPr>
      </w:pPr>
      <w:r>
        <w:rPr>
          <w:color w:val="000000"/>
          <w:szCs w:val="21"/>
        </w:rPr>
        <w:t>乙方应按照谈判文件、响应文件、乙方后续书面承诺的技术要求以及甲、乙双方协定补充文件，提供合格的产品，并保证通过甲方的验收。</w:t>
      </w:r>
    </w:p>
    <w:p w14:paraId="422604A7">
      <w:pPr>
        <w:numPr>
          <w:ilvl w:val="0"/>
          <w:numId w:val="10"/>
        </w:numPr>
        <w:tabs>
          <w:tab w:val="left" w:pos="0"/>
          <w:tab w:val="clear" w:pos="420"/>
        </w:tabs>
        <w:spacing w:line="360" w:lineRule="auto"/>
        <w:ind w:left="0" w:firstLine="0"/>
        <w:rPr>
          <w:color w:val="000000"/>
          <w:szCs w:val="21"/>
        </w:rPr>
      </w:pPr>
      <w:r>
        <w:rPr>
          <w:color w:val="000000"/>
          <w:szCs w:val="21"/>
        </w:rPr>
        <w:t>在</w:t>
      </w:r>
      <w:bookmarkStart w:id="39" w:name="_Hlk74748327"/>
      <w:r>
        <w:rPr>
          <w:color w:val="000000"/>
          <w:szCs w:val="21"/>
        </w:rPr>
        <w:t>系统安装、调试、开发过程中</w:t>
      </w:r>
      <w:bookmarkEnd w:id="39"/>
      <w:r>
        <w:rPr>
          <w:color w:val="000000"/>
          <w:szCs w:val="21"/>
        </w:rPr>
        <w:t>，乙方须保证不影响甲方现有系统的正常运行和现有业务的正常发展。</w:t>
      </w:r>
    </w:p>
    <w:p w14:paraId="478D606C">
      <w:pPr>
        <w:numPr>
          <w:ilvl w:val="0"/>
          <w:numId w:val="10"/>
        </w:numPr>
        <w:tabs>
          <w:tab w:val="left" w:pos="0"/>
          <w:tab w:val="clear" w:pos="420"/>
        </w:tabs>
        <w:spacing w:line="360" w:lineRule="auto"/>
        <w:ind w:left="0" w:firstLine="0"/>
        <w:rPr>
          <w:color w:val="000000"/>
          <w:szCs w:val="21"/>
        </w:rPr>
      </w:pPr>
      <w:bookmarkStart w:id="40" w:name="_Hlk74748334"/>
      <w:r>
        <w:rPr>
          <w:color w:val="000000"/>
          <w:szCs w:val="21"/>
        </w:rPr>
        <w:t>乙方保证在系统安装、调试、开发过程中不非法使用第三方软件</w:t>
      </w:r>
      <w:r>
        <w:rPr>
          <w:rFonts w:hint="eastAsia"/>
          <w:color w:val="000000"/>
          <w:szCs w:val="21"/>
        </w:rPr>
        <w:t>，</w:t>
      </w:r>
      <w:r>
        <w:rPr>
          <w:rFonts w:hint="eastAsia"/>
          <w:szCs w:val="21"/>
        </w:rPr>
        <w:t>不侵犯第三人含知识产权在内的任何合法权益。否则，甲方有权立即解除合同，乙方应承担甲方由此遭受的全部损失</w:t>
      </w:r>
      <w:r>
        <w:rPr>
          <w:color w:val="000000"/>
          <w:szCs w:val="21"/>
        </w:rPr>
        <w:t>。</w:t>
      </w:r>
    </w:p>
    <w:bookmarkEnd w:id="40"/>
    <w:p w14:paraId="15B8DC57">
      <w:pPr>
        <w:numPr>
          <w:ilvl w:val="0"/>
          <w:numId w:val="10"/>
        </w:numPr>
        <w:tabs>
          <w:tab w:val="left" w:pos="0"/>
          <w:tab w:val="clear" w:pos="420"/>
        </w:tabs>
        <w:spacing w:line="360" w:lineRule="auto"/>
        <w:ind w:left="0" w:firstLine="0"/>
        <w:rPr>
          <w:color w:val="000000"/>
          <w:szCs w:val="21"/>
        </w:rPr>
      </w:pPr>
      <w:r>
        <w:rPr>
          <w:color w:val="000000"/>
          <w:szCs w:val="21"/>
        </w:rPr>
        <w:t>乙方</w:t>
      </w:r>
      <w:bookmarkStart w:id="41" w:name="_Hlk74748375"/>
      <w:r>
        <w:rPr>
          <w:color w:val="000000"/>
          <w:szCs w:val="21"/>
        </w:rPr>
        <w:t>在产品安装、调试、开发过程中</w:t>
      </w:r>
      <w:bookmarkEnd w:id="41"/>
      <w:r>
        <w:rPr>
          <w:color w:val="000000"/>
          <w:szCs w:val="21"/>
        </w:rPr>
        <w:t>须派驻足够的有经验的工程技术人员到施工现场进行安装指导，在甲方的组织安排下负责完成系统调试、现场性能试验和验收，服从甲方的现场安排。</w:t>
      </w:r>
    </w:p>
    <w:p w14:paraId="6FE9A58F">
      <w:pPr>
        <w:numPr>
          <w:ilvl w:val="0"/>
          <w:numId w:val="10"/>
        </w:numPr>
        <w:tabs>
          <w:tab w:val="left" w:pos="0"/>
          <w:tab w:val="clear" w:pos="420"/>
        </w:tabs>
        <w:spacing w:line="360" w:lineRule="auto"/>
        <w:ind w:left="0" w:firstLine="0"/>
        <w:rPr>
          <w:color w:val="000000"/>
          <w:szCs w:val="21"/>
        </w:rPr>
      </w:pPr>
      <w:r>
        <w:rPr>
          <w:color w:val="000000"/>
          <w:szCs w:val="21"/>
        </w:rPr>
        <w:t>乙方按照要求提供产品合格证书、产品检测记录、调试记录等技术资料。</w:t>
      </w:r>
    </w:p>
    <w:p w14:paraId="71814260">
      <w:pPr>
        <w:numPr>
          <w:ilvl w:val="0"/>
          <w:numId w:val="10"/>
        </w:numPr>
        <w:tabs>
          <w:tab w:val="left" w:pos="0"/>
          <w:tab w:val="clear" w:pos="420"/>
        </w:tabs>
        <w:spacing w:line="360" w:lineRule="auto"/>
        <w:ind w:left="0" w:firstLine="0"/>
        <w:rPr>
          <w:color w:val="000000"/>
          <w:szCs w:val="21"/>
        </w:rPr>
      </w:pPr>
      <w:r>
        <w:rPr>
          <w:color w:val="000000"/>
          <w:szCs w:val="21"/>
        </w:rPr>
        <w:t>乙方负责与硬件设备相配套的软件厂家、其它设备的制造商、第三方软件厂家和售后服务部门等联系沟通，完成安装、调试，配置相关的产品。</w:t>
      </w:r>
    </w:p>
    <w:p w14:paraId="06DC5E94">
      <w:pPr>
        <w:numPr>
          <w:ilvl w:val="0"/>
          <w:numId w:val="10"/>
        </w:numPr>
        <w:tabs>
          <w:tab w:val="left" w:pos="0"/>
          <w:tab w:val="clear" w:pos="420"/>
        </w:tabs>
        <w:spacing w:line="360" w:lineRule="auto"/>
        <w:ind w:left="0" w:firstLine="0"/>
        <w:rPr>
          <w:color w:val="000000"/>
          <w:szCs w:val="21"/>
        </w:rPr>
      </w:pPr>
      <w:r>
        <w:rPr>
          <w:color w:val="000000"/>
          <w:szCs w:val="21"/>
        </w:rPr>
        <w:t>乙方负责配合相关厂家，定期检查产品、及时排查硬件故障。</w:t>
      </w:r>
    </w:p>
    <w:p w14:paraId="4F25176D">
      <w:pPr>
        <w:numPr>
          <w:ilvl w:val="0"/>
          <w:numId w:val="10"/>
        </w:numPr>
        <w:tabs>
          <w:tab w:val="left" w:pos="0"/>
          <w:tab w:val="clear" w:pos="420"/>
        </w:tabs>
        <w:spacing w:line="360" w:lineRule="auto"/>
        <w:ind w:left="0" w:firstLine="0"/>
        <w:rPr>
          <w:color w:val="000000"/>
          <w:szCs w:val="21"/>
        </w:rPr>
      </w:pPr>
      <w:r>
        <w:rPr>
          <w:color w:val="000000"/>
          <w:szCs w:val="21"/>
        </w:rPr>
        <w:t>乙方未按合同规定的质量要求交付产品，甲方拒收时，乙方应承担合同的违约责任。</w:t>
      </w:r>
    </w:p>
    <w:p w14:paraId="5D008B42">
      <w:pPr>
        <w:numPr>
          <w:ilvl w:val="0"/>
          <w:numId w:val="10"/>
        </w:numPr>
        <w:tabs>
          <w:tab w:val="left" w:pos="0"/>
          <w:tab w:val="clear" w:pos="420"/>
        </w:tabs>
        <w:spacing w:line="360" w:lineRule="auto"/>
        <w:ind w:left="0" w:firstLine="0"/>
        <w:rPr>
          <w:color w:val="000000"/>
          <w:szCs w:val="21"/>
        </w:rPr>
      </w:pPr>
      <w:r>
        <w:rPr>
          <w:color w:val="000000"/>
          <w:szCs w:val="21"/>
        </w:rPr>
        <w:t>迟延履行，甲方书面确定一个合理的期限，如乙方仍不能履行，按乙方不履行合同处理。</w:t>
      </w:r>
    </w:p>
    <w:p w14:paraId="78EB5AEF">
      <w:pPr>
        <w:numPr>
          <w:ilvl w:val="0"/>
          <w:numId w:val="10"/>
        </w:numPr>
        <w:tabs>
          <w:tab w:val="left" w:pos="0"/>
          <w:tab w:val="clear" w:pos="420"/>
        </w:tabs>
        <w:spacing w:line="360" w:lineRule="auto"/>
        <w:ind w:left="0" w:firstLine="0"/>
        <w:rPr>
          <w:color w:val="000000"/>
          <w:szCs w:val="21"/>
        </w:rPr>
      </w:pPr>
      <w:bookmarkStart w:id="42" w:name="_Hlk74748416"/>
      <w:r>
        <w:rPr>
          <w:color w:val="000000"/>
          <w:szCs w:val="21"/>
        </w:rPr>
        <w:t>本合同所有产品的制造，都必须由响应文件和谈判时做出的书面承诺中明确的制造商承担，否则将按乙方不履行合同处理。</w:t>
      </w:r>
    </w:p>
    <w:bookmarkEnd w:id="42"/>
    <w:p w14:paraId="780C7B9B">
      <w:pPr>
        <w:numPr>
          <w:ilvl w:val="0"/>
          <w:numId w:val="10"/>
        </w:numPr>
        <w:tabs>
          <w:tab w:val="left" w:pos="0"/>
          <w:tab w:val="clear" w:pos="420"/>
        </w:tabs>
        <w:spacing w:line="360" w:lineRule="auto"/>
        <w:ind w:left="0" w:firstLine="0"/>
        <w:rPr>
          <w:color w:val="000000"/>
          <w:szCs w:val="21"/>
        </w:rPr>
      </w:pPr>
      <w:bookmarkStart w:id="43" w:name="_Hlk74748433"/>
      <w:r>
        <w:rPr>
          <w:color w:val="000000"/>
          <w:szCs w:val="21"/>
        </w:rPr>
        <w:t>乙方保证不在软件中对功能、性能、容量进行人为限制，不得含有陷阱、逻辑炸弹、后门等非法程序代码。</w:t>
      </w:r>
    </w:p>
    <w:bookmarkEnd w:id="43"/>
    <w:p w14:paraId="11EEE205">
      <w:pPr>
        <w:numPr>
          <w:ilvl w:val="0"/>
          <w:numId w:val="10"/>
        </w:numPr>
        <w:tabs>
          <w:tab w:val="left" w:pos="0"/>
          <w:tab w:val="clear" w:pos="420"/>
        </w:tabs>
        <w:spacing w:line="300" w:lineRule="auto"/>
        <w:ind w:left="0" w:right="44" w:rightChars="21" w:firstLine="0"/>
        <w:rPr>
          <w:rFonts w:hint="eastAsia" w:ascii="宋体" w:hAnsi="宋体"/>
          <w:color w:val="000000"/>
          <w:szCs w:val="21"/>
        </w:rPr>
      </w:pPr>
      <w:bookmarkStart w:id="44" w:name="_Hlk74748454"/>
      <w:r>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bookmarkEnd w:id="44"/>
      <w:r>
        <w:rPr>
          <w:color w:val="000000"/>
          <w:szCs w:val="21"/>
        </w:rPr>
        <w:t>。</w:t>
      </w:r>
    </w:p>
    <w:p w14:paraId="1461A546">
      <w:pPr>
        <w:numPr>
          <w:ilvl w:val="0"/>
          <w:numId w:val="10"/>
        </w:numPr>
        <w:tabs>
          <w:tab w:val="left" w:pos="0"/>
          <w:tab w:val="clear" w:pos="420"/>
        </w:tabs>
        <w:spacing w:line="300" w:lineRule="auto"/>
        <w:ind w:left="0" w:right="44" w:rightChars="21" w:firstLine="0"/>
        <w:rPr>
          <w:rFonts w:hint="eastAsia" w:ascii="宋体" w:hAnsi="宋体"/>
          <w:color w:val="000000"/>
          <w:szCs w:val="21"/>
        </w:rPr>
      </w:pPr>
      <w:r>
        <w:rPr>
          <w:rFonts w:hint="eastAsia" w:ascii="宋体" w:hAnsi="宋体"/>
          <w:color w:val="000000"/>
          <w:szCs w:val="21"/>
        </w:rPr>
        <w:t>乙方应为其人员（含派驻甲方的技术工程师）提供相应劳动保护，非因甲方原因，乙方人员遭受人身、财产损害，或乙方人员造成甲方、第三人人身财产损害的，由乙方承担全部责任。</w:t>
      </w:r>
    </w:p>
    <w:p w14:paraId="010E1E8A">
      <w:pPr>
        <w:numPr>
          <w:ilvl w:val="0"/>
          <w:numId w:val="10"/>
        </w:numPr>
        <w:tabs>
          <w:tab w:val="left" w:pos="0"/>
        </w:tabs>
        <w:spacing w:line="360" w:lineRule="auto"/>
        <w:ind w:left="0" w:firstLine="0"/>
        <w:rPr>
          <w:rFonts w:hint="eastAsia" w:ascii="宋体" w:hAnsi="宋体"/>
          <w:szCs w:val="21"/>
        </w:rPr>
      </w:pPr>
      <w:bookmarkStart w:id="45" w:name="_Hlk75012921"/>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14:paraId="15B638C7">
      <w:pPr>
        <w:numPr>
          <w:ilvl w:val="0"/>
          <w:numId w:val="10"/>
        </w:numPr>
        <w:tabs>
          <w:tab w:val="left" w:pos="0"/>
        </w:tabs>
        <w:spacing w:line="360" w:lineRule="auto"/>
        <w:ind w:left="0" w:firstLine="0"/>
        <w:rPr>
          <w:rFonts w:hint="eastAsia" w:ascii="宋体" w:hAnsi="宋体"/>
          <w:szCs w:val="21"/>
        </w:rPr>
      </w:pPr>
      <w:r>
        <w:rPr>
          <w:rFonts w:hint="eastAsia"/>
          <w:szCs w:val="21"/>
        </w:rPr>
        <w:t>乙方须负责割接期间的原防火墙厂商的沟通协调工作，包括但不限于前期准备、割接方案制定、割接实施、割接后保障等工作及可能存在的相关费用。乙方须严格按照响应文件中响应的割接时间窗口实施割接，以保证甲方割接工作的顺利进行。</w:t>
      </w:r>
    </w:p>
    <w:bookmarkEnd w:id="45"/>
    <w:p w14:paraId="0AACD6F4">
      <w:pPr>
        <w:spacing w:line="360" w:lineRule="auto"/>
        <w:rPr>
          <w:b/>
          <w:color w:val="000000"/>
          <w:szCs w:val="21"/>
        </w:rPr>
      </w:pPr>
      <w:bookmarkStart w:id="46" w:name="_Toc47617118"/>
      <w:r>
        <w:rPr>
          <w:b/>
          <w:color w:val="000000"/>
          <w:szCs w:val="21"/>
        </w:rPr>
        <w:t>十</w:t>
      </w:r>
      <w:r>
        <w:rPr>
          <w:rFonts w:hint="eastAsia"/>
          <w:b/>
          <w:color w:val="000000"/>
          <w:szCs w:val="21"/>
        </w:rPr>
        <w:t>四</w:t>
      </w:r>
      <w:r>
        <w:rPr>
          <w:b/>
          <w:color w:val="000000"/>
          <w:szCs w:val="21"/>
        </w:rPr>
        <w:t>、违约责任</w:t>
      </w:r>
      <w:bookmarkEnd w:id="46"/>
    </w:p>
    <w:p w14:paraId="23BF1783">
      <w:pPr>
        <w:numPr>
          <w:ilvl w:val="0"/>
          <w:numId w:val="11"/>
        </w:numPr>
        <w:tabs>
          <w:tab w:val="left" w:pos="0"/>
          <w:tab w:val="clear" w:pos="1155"/>
        </w:tabs>
        <w:spacing w:line="360" w:lineRule="auto"/>
        <w:ind w:left="-142" w:firstLine="142"/>
        <w:rPr>
          <w:color w:val="000000"/>
          <w:szCs w:val="21"/>
        </w:rPr>
      </w:pPr>
      <w:r>
        <w:rPr>
          <w:color w:val="000000"/>
          <w:szCs w:val="21"/>
        </w:rPr>
        <w:t>乙方承担本合同约定事项的违约责任，且不因设备或软件是由第三方制造或开发设计等因素而受到影响。</w:t>
      </w:r>
    </w:p>
    <w:p w14:paraId="74F5B5A5">
      <w:pPr>
        <w:numPr>
          <w:ilvl w:val="0"/>
          <w:numId w:val="11"/>
        </w:numPr>
        <w:tabs>
          <w:tab w:val="left" w:pos="0"/>
          <w:tab w:val="clear" w:pos="1155"/>
        </w:tabs>
        <w:spacing w:line="360" w:lineRule="auto"/>
        <w:ind w:left="-142" w:firstLine="142"/>
        <w:rPr>
          <w:color w:val="000000"/>
          <w:szCs w:val="21"/>
        </w:rPr>
      </w:pPr>
      <w:r>
        <w:rPr>
          <w:color w:val="000000"/>
          <w:szCs w:val="21"/>
        </w:rPr>
        <w:t>由于乙方提供的产品不符合谈判文件及本合同第</w:t>
      </w:r>
      <w:r>
        <w:rPr>
          <w:rFonts w:hint="eastAsia"/>
          <w:color w:val="000000"/>
          <w:szCs w:val="21"/>
        </w:rPr>
        <w:t>四</w:t>
      </w:r>
      <w:r>
        <w:rPr>
          <w:color w:val="000000"/>
          <w:szCs w:val="21"/>
        </w:rPr>
        <w:t>条所规定的要求时，甲方有权要求乙方更换，如果乙方产品在更换后仍不符合要求，甲方有权终止合同。乙方</w:t>
      </w:r>
      <w:r>
        <w:rPr>
          <w:rFonts w:hint="eastAsia" w:ascii="宋体" w:hAnsi="宋体"/>
          <w:szCs w:val="21"/>
        </w:rPr>
        <w:t>应支付合同总额20%的违约金给</w:t>
      </w:r>
      <w:r>
        <w:rPr>
          <w:color w:val="000000"/>
          <w:szCs w:val="21"/>
        </w:rPr>
        <w:t>甲方</w:t>
      </w:r>
      <w:r>
        <w:rPr>
          <w:rFonts w:hint="eastAsia" w:ascii="宋体" w:hAnsi="宋体"/>
          <w:szCs w:val="21"/>
        </w:rPr>
        <w:t>。</w:t>
      </w:r>
    </w:p>
    <w:p w14:paraId="11467437">
      <w:pPr>
        <w:numPr>
          <w:ilvl w:val="0"/>
          <w:numId w:val="11"/>
        </w:numPr>
        <w:tabs>
          <w:tab w:val="left" w:pos="0"/>
          <w:tab w:val="clear" w:pos="1155"/>
        </w:tabs>
        <w:spacing w:line="360" w:lineRule="auto"/>
        <w:ind w:left="-142" w:firstLine="142"/>
        <w:rPr>
          <w:color w:val="000000"/>
          <w:szCs w:val="21"/>
        </w:rPr>
      </w:pPr>
      <w:r>
        <w:rPr>
          <w:rFonts w:hint="eastAsia"/>
        </w:rPr>
        <w:t>若</w:t>
      </w:r>
      <w:r>
        <w:rPr>
          <w:color w:val="000000"/>
          <w:szCs w:val="21"/>
        </w:rPr>
        <w:t>乙方</w:t>
      </w:r>
      <w:r>
        <w:rPr>
          <w:rFonts w:hint="eastAsia"/>
        </w:rPr>
        <w:t>未按甲方要求</w:t>
      </w:r>
      <w:r>
        <w:rPr>
          <w:rFonts w:hint="eastAsia" w:ascii="宋体" w:hAnsi="宋体"/>
          <w:color w:val="000000"/>
          <w:szCs w:val="21"/>
        </w:rPr>
        <w:t>提供的技术规范、培训材料等文档材料，或提供的技术规范、培训材料等文档材料质量不合格，甲方有权要求乙方更换，</w:t>
      </w:r>
      <w:r>
        <w:rPr>
          <w:rFonts w:hint="eastAsia"/>
          <w:color w:val="000000"/>
          <w:szCs w:val="21"/>
        </w:rPr>
        <w:t>直至文档材料</w:t>
      </w:r>
      <w:r>
        <w:rPr>
          <w:color w:val="000000"/>
          <w:szCs w:val="21"/>
        </w:rPr>
        <w:t>符合要求</w:t>
      </w:r>
      <w:r>
        <w:rPr>
          <w:rFonts w:hint="eastAsia"/>
          <w:color w:val="000000"/>
          <w:szCs w:val="21"/>
        </w:rPr>
        <w:t>为止</w:t>
      </w:r>
      <w:r>
        <w:rPr>
          <w:color w:val="000000"/>
          <w:szCs w:val="21"/>
        </w:rPr>
        <w:t>，</w:t>
      </w:r>
      <w:r>
        <w:rPr>
          <w:rFonts w:hint="eastAsia"/>
          <w:color w:val="000000"/>
          <w:szCs w:val="21"/>
        </w:rPr>
        <w:t>同时</w:t>
      </w:r>
      <w:r>
        <w:rPr>
          <w:color w:val="000000"/>
          <w:szCs w:val="21"/>
        </w:rPr>
        <w:t>甲方有权</w:t>
      </w:r>
      <w:r>
        <w:rPr>
          <w:szCs w:val="21"/>
        </w:rPr>
        <w:t>开据处罚单给乙方，并</w:t>
      </w:r>
      <w:r>
        <w:rPr>
          <w:rFonts w:hint="eastAsia" w:ascii="宋体" w:hAnsi="宋体"/>
          <w:color w:val="000000"/>
          <w:szCs w:val="21"/>
        </w:rPr>
        <w:t>根据文档重要性</w:t>
      </w:r>
      <w:r>
        <w:rPr>
          <w:szCs w:val="21"/>
        </w:rPr>
        <w:t>直接从合同</w:t>
      </w:r>
      <w:r>
        <w:rPr>
          <w:rFonts w:hint="eastAsia"/>
          <w:szCs w:val="21"/>
        </w:rPr>
        <w:t>应付</w:t>
      </w:r>
      <w:r>
        <w:rPr>
          <w:szCs w:val="21"/>
        </w:rPr>
        <w:t>款中扣除</w:t>
      </w:r>
      <w:r>
        <w:rPr>
          <w:rFonts w:hint="eastAsia"/>
          <w:szCs w:val="21"/>
        </w:rPr>
        <w:t>不超过</w:t>
      </w:r>
      <w:r>
        <w:rPr>
          <w:szCs w:val="21"/>
        </w:rPr>
        <w:t>合同总额1%作为违约金</w:t>
      </w:r>
      <w:r>
        <w:rPr>
          <w:rFonts w:hint="eastAsia" w:ascii="宋体" w:hAnsi="宋体"/>
          <w:szCs w:val="21"/>
        </w:rPr>
        <w:t>。</w:t>
      </w:r>
    </w:p>
    <w:p w14:paraId="56E52830">
      <w:pPr>
        <w:numPr>
          <w:ilvl w:val="0"/>
          <w:numId w:val="11"/>
        </w:numPr>
        <w:tabs>
          <w:tab w:val="left" w:pos="0"/>
          <w:tab w:val="clear" w:pos="1155"/>
        </w:tabs>
        <w:spacing w:line="360" w:lineRule="auto"/>
        <w:ind w:left="-142" w:firstLine="142"/>
        <w:rPr>
          <w:color w:val="000000"/>
          <w:szCs w:val="21"/>
        </w:rPr>
      </w:pPr>
      <w:r>
        <w:rPr>
          <w:color w:val="000000"/>
          <w:szCs w:val="21"/>
        </w:rPr>
        <w:t>若甲方已有系统是由乙方提供的，则乙方应按甲方要求进行技术服务，保证业务的正常运营和系统的正常运行，否则甲方有权终止本合同。</w:t>
      </w:r>
    </w:p>
    <w:p w14:paraId="30439AD8">
      <w:pPr>
        <w:numPr>
          <w:ilvl w:val="0"/>
          <w:numId w:val="11"/>
        </w:numPr>
        <w:tabs>
          <w:tab w:val="left" w:pos="0"/>
          <w:tab w:val="clear" w:pos="1155"/>
        </w:tabs>
        <w:spacing w:line="360" w:lineRule="auto"/>
        <w:ind w:left="-142" w:firstLine="142"/>
        <w:rPr>
          <w:color w:val="000000"/>
          <w:szCs w:val="21"/>
        </w:rPr>
      </w:pPr>
      <w:r>
        <w:rPr>
          <w:color w:val="000000"/>
          <w:szCs w:val="21"/>
        </w:rPr>
        <w:t>在合同规定的包修期内，如果乙方维修售后服务不及时，</w:t>
      </w:r>
      <w:r>
        <w:rPr>
          <w:rFonts w:hint="eastAsia"/>
          <w:color w:val="000000"/>
          <w:szCs w:val="21"/>
        </w:rPr>
        <w:t>未按照本合同第十条约定提供售后服务，且出现</w:t>
      </w:r>
      <w:r>
        <w:rPr>
          <w:color w:val="000000"/>
          <w:szCs w:val="21"/>
        </w:rPr>
        <w:t>严重故障和紧急故障的，</w:t>
      </w:r>
      <w:r>
        <w:rPr>
          <w:szCs w:val="21"/>
        </w:rPr>
        <w:t>甲方有权开据处罚单给乙方，并直接从合同</w:t>
      </w:r>
      <w:r>
        <w:rPr>
          <w:rFonts w:hint="eastAsia"/>
          <w:szCs w:val="21"/>
        </w:rPr>
        <w:t>应付</w:t>
      </w:r>
      <w:r>
        <w:rPr>
          <w:szCs w:val="21"/>
        </w:rPr>
        <w:t>款中扣除合同总额1%作为违约金</w:t>
      </w:r>
      <w:r>
        <w:rPr>
          <w:rFonts w:hint="eastAsia"/>
          <w:szCs w:val="21"/>
        </w:rPr>
        <w:t>，如累计超过3</w:t>
      </w:r>
      <w:r>
        <w:rPr>
          <w:szCs w:val="21"/>
        </w:rPr>
        <w:t>次</w:t>
      </w:r>
      <w:r>
        <w:rPr>
          <w:rFonts w:hint="eastAsia"/>
          <w:szCs w:val="21"/>
        </w:rPr>
        <w:t>（含）</w:t>
      </w:r>
      <w:r>
        <w:rPr>
          <w:szCs w:val="21"/>
        </w:rPr>
        <w:t>，则</w:t>
      </w:r>
      <w:r>
        <w:rPr>
          <w:rFonts w:hint="eastAsia"/>
          <w:szCs w:val="21"/>
        </w:rPr>
        <w:t>视为乙方违约，</w:t>
      </w:r>
      <w:r>
        <w:rPr>
          <w:szCs w:val="21"/>
        </w:rPr>
        <w:t>甲方有权终止本合同</w:t>
      </w:r>
      <w:r>
        <w:rPr>
          <w:rFonts w:hint="eastAsia"/>
          <w:szCs w:val="21"/>
        </w:rPr>
        <w:t>，</w:t>
      </w:r>
      <w:r>
        <w:rPr>
          <w:rFonts w:hint="eastAsia" w:ascii="Calibri" w:hAnsi="Calibri"/>
          <w:szCs w:val="21"/>
        </w:rPr>
        <w:t>并保留追究乙方违约责任的权利</w:t>
      </w:r>
      <w:r>
        <w:rPr>
          <w:color w:val="000000"/>
          <w:szCs w:val="21"/>
        </w:rPr>
        <w:t>。</w:t>
      </w:r>
    </w:p>
    <w:p w14:paraId="2C982F68">
      <w:pPr>
        <w:numPr>
          <w:ilvl w:val="0"/>
          <w:numId w:val="11"/>
        </w:numPr>
        <w:tabs>
          <w:tab w:val="left" w:pos="0"/>
          <w:tab w:val="clear" w:pos="1155"/>
        </w:tabs>
        <w:spacing w:line="360" w:lineRule="auto"/>
        <w:ind w:left="-142" w:firstLine="142"/>
        <w:rPr>
          <w:color w:val="000000"/>
          <w:szCs w:val="21"/>
        </w:rPr>
      </w:pPr>
      <w:r>
        <w:rPr>
          <w:color w:val="000000"/>
          <w:szCs w:val="21"/>
        </w:rPr>
        <w:t>在合同规定的包修期内，如因乙方原因造成甲方其他经济损失的，乙方须承担赔偿损失的责任。</w:t>
      </w:r>
    </w:p>
    <w:p w14:paraId="655F6193">
      <w:pPr>
        <w:numPr>
          <w:ilvl w:val="0"/>
          <w:numId w:val="11"/>
        </w:numPr>
        <w:tabs>
          <w:tab w:val="left" w:pos="0"/>
          <w:tab w:val="clear" w:pos="1155"/>
        </w:tabs>
        <w:spacing w:line="360" w:lineRule="auto"/>
        <w:ind w:left="-142" w:firstLine="142"/>
        <w:rPr>
          <w:color w:val="000000"/>
          <w:szCs w:val="21"/>
        </w:rPr>
      </w:pPr>
      <w:r>
        <w:rPr>
          <w:color w:val="000000"/>
          <w:szCs w:val="21"/>
        </w:rPr>
        <w:t>甲方有权根据当地质检部门出具的检验报告，就乙方提供的产品及系统质量问题向乙方提出索赔，检测费用由乙方承担。</w:t>
      </w:r>
    </w:p>
    <w:p w14:paraId="172F3878">
      <w:pPr>
        <w:numPr>
          <w:ilvl w:val="0"/>
          <w:numId w:val="11"/>
        </w:numPr>
        <w:tabs>
          <w:tab w:val="left" w:pos="0"/>
          <w:tab w:val="clear" w:pos="1155"/>
        </w:tabs>
        <w:spacing w:line="360" w:lineRule="auto"/>
        <w:ind w:left="-142" w:firstLine="142"/>
        <w:rPr>
          <w:color w:val="000000"/>
          <w:szCs w:val="21"/>
        </w:rPr>
      </w:pPr>
      <w:r>
        <w:rPr>
          <w:color w:val="000000"/>
          <w:szCs w:val="21"/>
        </w:rPr>
        <w:t>如果在甲方发出索赔通知后20日内，乙方未作书面答复，视为乙方接受索赔要求，乙方应当立即支付赔偿金。</w:t>
      </w:r>
    </w:p>
    <w:p w14:paraId="099614EF">
      <w:pPr>
        <w:numPr>
          <w:ilvl w:val="0"/>
          <w:numId w:val="11"/>
        </w:numPr>
        <w:tabs>
          <w:tab w:val="left" w:pos="0"/>
          <w:tab w:val="clear" w:pos="1155"/>
        </w:tabs>
        <w:spacing w:line="300" w:lineRule="auto"/>
        <w:ind w:left="0" w:firstLine="0"/>
        <w:rPr>
          <w:rFonts w:hint="eastAsia" w:ascii="宋体" w:hAnsi="宋体"/>
          <w:color w:val="000000"/>
          <w:szCs w:val="21"/>
        </w:rPr>
      </w:pPr>
      <w:r>
        <w:rPr>
          <w:rFonts w:hint="eastAsia" w:ascii="宋体" w:hAnsi="宋体"/>
          <w:color w:val="000000"/>
          <w:szCs w:val="21"/>
        </w:rPr>
        <w:t>乙方未按本合同第九条、十条约定提供合格的服务，甲方在行使上述权利的同时，有权向第三方寻求该服务，由此产生的费用由乙方承担。</w:t>
      </w:r>
    </w:p>
    <w:p w14:paraId="5DADD749">
      <w:pPr>
        <w:numPr>
          <w:ilvl w:val="0"/>
          <w:numId w:val="11"/>
        </w:numPr>
        <w:tabs>
          <w:tab w:val="left" w:pos="0"/>
          <w:tab w:val="clear" w:pos="1155"/>
        </w:tabs>
        <w:spacing w:line="360" w:lineRule="auto"/>
        <w:ind w:left="-142" w:firstLine="142"/>
        <w:rPr>
          <w:color w:val="000000"/>
          <w:szCs w:val="21"/>
        </w:rPr>
      </w:pPr>
      <w:r>
        <w:rPr>
          <w:color w:val="000000"/>
          <w:szCs w:val="21"/>
        </w:rPr>
        <w:t>因乙方违约导致甲方终止合同的，乙方应将甲方已付的所有合同价款及利息退还甲方后，</w:t>
      </w:r>
      <w:r>
        <w:rPr>
          <w:rFonts w:hint="eastAsia" w:ascii="宋体" w:hAnsi="宋体"/>
          <w:szCs w:val="21"/>
        </w:rPr>
        <w:t>此后</w:t>
      </w:r>
      <w:r>
        <w:rPr>
          <w:color w:val="000000"/>
          <w:szCs w:val="21"/>
        </w:rPr>
        <w:t>甲方将相关软硬件设备及资料退还乙方，</w:t>
      </w:r>
      <w:bookmarkStart w:id="47" w:name="_Hlk75012964"/>
      <w:r>
        <w:rPr>
          <w:rFonts w:hint="eastAsia" w:ascii="宋体" w:hAnsi="宋体"/>
          <w:szCs w:val="21"/>
        </w:rPr>
        <w:t>要求</w:t>
      </w:r>
      <w:r>
        <w:rPr>
          <w:color w:val="000000"/>
          <w:szCs w:val="21"/>
        </w:rPr>
        <w:t>乙方</w:t>
      </w:r>
      <w:r>
        <w:rPr>
          <w:rFonts w:hint="eastAsia" w:ascii="宋体" w:hAnsi="宋体"/>
          <w:szCs w:val="21"/>
        </w:rPr>
        <w:t>承担本合同约定的违约责任，</w:t>
      </w:r>
      <w:r>
        <w:rPr>
          <w:rFonts w:hint="eastAsia"/>
          <w:szCs w:val="21"/>
        </w:rPr>
        <w:t>支付甲方合同总价款的20%作为违约金，</w:t>
      </w:r>
      <w:bookmarkEnd w:id="47"/>
      <w:r>
        <w:rPr>
          <w:rFonts w:hint="eastAsia"/>
          <w:szCs w:val="21"/>
        </w:rPr>
        <w:t>同时赔偿因此给甲方造成的全部损失</w:t>
      </w:r>
      <w:r>
        <w:rPr>
          <w:color w:val="000000"/>
          <w:szCs w:val="21"/>
        </w:rPr>
        <w:t>。</w:t>
      </w:r>
    </w:p>
    <w:p w14:paraId="7128E9C7">
      <w:pPr>
        <w:numPr>
          <w:ilvl w:val="0"/>
          <w:numId w:val="11"/>
        </w:numPr>
        <w:tabs>
          <w:tab w:val="left" w:pos="0"/>
          <w:tab w:val="clear" w:pos="1155"/>
        </w:tabs>
        <w:spacing w:line="300" w:lineRule="auto"/>
        <w:ind w:left="0" w:firstLine="0"/>
        <w:rPr>
          <w:rFonts w:hint="eastAsia" w:ascii="宋体" w:hAnsi="宋体"/>
          <w:color w:val="000000"/>
          <w:szCs w:val="21"/>
        </w:rPr>
      </w:pPr>
      <w:bookmarkStart w:id="48" w:name="_Hlk74819798"/>
      <w:bookmarkStart w:id="49" w:name="_Hlk75012998"/>
      <w:r>
        <w:rPr>
          <w:rFonts w:hint="eastAsia"/>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bookmarkEnd w:id="48"/>
      <w:r>
        <w:rPr>
          <w:rFonts w:hint="eastAsia"/>
          <w:szCs w:val="21"/>
        </w:rPr>
        <w:t>。</w:t>
      </w:r>
    </w:p>
    <w:bookmarkEnd w:id="49"/>
    <w:p w14:paraId="499D6477">
      <w:pPr>
        <w:numPr>
          <w:ilvl w:val="0"/>
          <w:numId w:val="11"/>
        </w:numPr>
        <w:tabs>
          <w:tab w:val="left" w:pos="0"/>
          <w:tab w:val="clear" w:pos="1155"/>
        </w:tabs>
        <w:spacing w:line="300" w:lineRule="auto"/>
        <w:ind w:left="0" w:firstLine="0"/>
        <w:rPr>
          <w:rFonts w:hint="eastAsia" w:ascii="宋体" w:hAnsi="宋体"/>
          <w:color w:val="000000"/>
          <w:szCs w:val="21"/>
        </w:rPr>
      </w:pPr>
      <w:r>
        <w:rPr>
          <w:rFonts w:ascii="宋体" w:hAnsi="宋体"/>
          <w:color w:val="000000"/>
          <w:szCs w:val="21"/>
        </w:rPr>
        <w:t>由于</w:t>
      </w:r>
      <w:r>
        <w:rPr>
          <w:rFonts w:hint="eastAsia" w:ascii="宋体" w:hAnsi="宋体"/>
          <w:color w:val="000000"/>
          <w:szCs w:val="21"/>
        </w:rPr>
        <w:t>乙方</w:t>
      </w:r>
      <w:r>
        <w:rPr>
          <w:rFonts w:ascii="宋体" w:hAnsi="宋体"/>
          <w:color w:val="000000"/>
          <w:szCs w:val="21"/>
        </w:rPr>
        <w:t>的原因导致</w:t>
      </w:r>
      <w:r>
        <w:rPr>
          <w:rFonts w:hint="eastAsia" w:ascii="宋体" w:hAnsi="宋体"/>
          <w:color w:val="000000"/>
          <w:szCs w:val="21"/>
        </w:rPr>
        <w:t>甲方</w:t>
      </w:r>
      <w:r>
        <w:rPr>
          <w:rFonts w:ascii="宋体" w:hAnsi="宋体"/>
          <w:color w:val="000000"/>
          <w:szCs w:val="21"/>
        </w:rPr>
        <w:t>业务数据错误或业务数据丢失，给甲方造成损失的，乙方应赔偿甲方因此遭受的直接损失，如出现一次业务数据错误或业务数据丢失，甲方有权开据处罚单给乙方，并直接从合同款中</w:t>
      </w:r>
      <w:bookmarkStart w:id="50" w:name="_Hlk75013045"/>
      <w:r>
        <w:rPr>
          <w:rFonts w:ascii="宋体" w:hAnsi="宋体"/>
          <w:color w:val="000000"/>
          <w:szCs w:val="21"/>
        </w:rPr>
        <w:t>扣除合同总额1%作为违约金</w:t>
      </w:r>
      <w:bookmarkEnd w:id="50"/>
      <w:r>
        <w:rPr>
          <w:rFonts w:ascii="宋体" w:hAnsi="宋体"/>
          <w:color w:val="000000"/>
          <w:szCs w:val="21"/>
        </w:rPr>
        <w:t>。</w:t>
      </w:r>
    </w:p>
    <w:p w14:paraId="3623F5BC">
      <w:pPr>
        <w:numPr>
          <w:ilvl w:val="0"/>
          <w:numId w:val="11"/>
        </w:numPr>
        <w:tabs>
          <w:tab w:val="left" w:pos="0"/>
          <w:tab w:val="clear" w:pos="1155"/>
        </w:tabs>
        <w:spacing w:line="360" w:lineRule="auto"/>
        <w:ind w:left="-142" w:firstLine="142"/>
      </w:pPr>
      <w:r>
        <w:rPr>
          <w:rFonts w:hint="eastAsia"/>
        </w:rPr>
        <w:t>乙方未按本合同第十三条约定做好与原防火墙厂商沟通协调工作，或实际割接时间窗口超出，甲方有权</w:t>
      </w:r>
      <w:r>
        <w:rPr>
          <w:rFonts w:hint="eastAsia" w:ascii="宋体" w:hAnsi="宋体"/>
          <w:szCs w:val="21"/>
        </w:rPr>
        <w:t>要求</w:t>
      </w:r>
      <w:r>
        <w:rPr>
          <w:color w:val="000000"/>
          <w:szCs w:val="21"/>
        </w:rPr>
        <w:t>乙方</w:t>
      </w:r>
      <w:r>
        <w:rPr>
          <w:rFonts w:hint="eastAsia" w:ascii="宋体" w:hAnsi="宋体"/>
          <w:szCs w:val="21"/>
        </w:rPr>
        <w:t>承担本合同约定的违约责任，</w:t>
      </w:r>
      <w:r>
        <w:rPr>
          <w:rFonts w:hint="eastAsia"/>
          <w:szCs w:val="21"/>
        </w:rPr>
        <w:t>支付甲方合同总价款的5%作为违约金，同时赔偿因此给甲方造成的全部损失</w:t>
      </w:r>
      <w:r>
        <w:rPr>
          <w:color w:val="000000"/>
          <w:szCs w:val="21"/>
        </w:rPr>
        <w:t>。</w:t>
      </w:r>
    </w:p>
    <w:p w14:paraId="1C96F23C">
      <w:pPr>
        <w:numPr>
          <w:ilvl w:val="0"/>
          <w:numId w:val="11"/>
        </w:numPr>
        <w:tabs>
          <w:tab w:val="left" w:pos="0"/>
          <w:tab w:val="clear" w:pos="1155"/>
        </w:tabs>
        <w:spacing w:line="360" w:lineRule="auto"/>
        <w:ind w:left="-142" w:firstLine="142"/>
        <w:rPr>
          <w:color w:val="000000"/>
          <w:szCs w:val="21"/>
        </w:rPr>
      </w:pPr>
      <w:bookmarkStart w:id="51" w:name="_Hlk74748674"/>
      <w:r>
        <w:rPr>
          <w:rFonts w:hint="eastAsia" w:ascii="宋体" w:hAnsi="宋体"/>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51"/>
    </w:p>
    <w:bookmarkEnd w:id="38"/>
    <w:p w14:paraId="65D79F77">
      <w:pPr>
        <w:spacing w:line="360" w:lineRule="auto"/>
        <w:rPr>
          <w:b/>
          <w:color w:val="000000"/>
          <w:szCs w:val="21"/>
        </w:rPr>
      </w:pPr>
      <w:bookmarkStart w:id="52" w:name="_Toc47617119"/>
      <w:r>
        <w:rPr>
          <w:b/>
          <w:color w:val="000000"/>
          <w:szCs w:val="21"/>
        </w:rPr>
        <w:t>十</w:t>
      </w:r>
      <w:r>
        <w:rPr>
          <w:rFonts w:hint="eastAsia"/>
          <w:b/>
          <w:color w:val="000000"/>
          <w:szCs w:val="21"/>
        </w:rPr>
        <w:t>五</w:t>
      </w:r>
      <w:r>
        <w:rPr>
          <w:b/>
          <w:color w:val="000000"/>
          <w:szCs w:val="21"/>
        </w:rPr>
        <w:t>、廉洁条款</w:t>
      </w:r>
      <w:bookmarkEnd w:id="52"/>
    </w:p>
    <w:p w14:paraId="1C0D96DD">
      <w:pPr>
        <w:numPr>
          <w:ilvl w:val="0"/>
          <w:numId w:val="12"/>
        </w:numPr>
        <w:tabs>
          <w:tab w:val="left" w:pos="0"/>
          <w:tab w:val="clear" w:pos="1155"/>
        </w:tabs>
        <w:spacing w:line="360" w:lineRule="auto"/>
        <w:ind w:left="0" w:firstLine="0"/>
        <w:rPr>
          <w:color w:val="000000"/>
          <w:szCs w:val="21"/>
        </w:rPr>
      </w:pPr>
      <w:r>
        <w:rPr>
          <w:color w:val="000000"/>
          <w:szCs w:val="21"/>
        </w:rPr>
        <w:t>双方应当共同遵守国家关于企业人员廉洁从业的规定，应通过正常合法的途径开展业务工作。</w:t>
      </w:r>
      <w:r>
        <w:rPr>
          <w:rFonts w:hint="eastAsia"/>
          <w:color w:val="000000"/>
          <w:szCs w:val="21"/>
        </w:rPr>
        <w:t>甲方</w:t>
      </w:r>
      <w:r>
        <w:rPr>
          <w:color w:val="000000"/>
          <w:szCs w:val="21"/>
        </w:rPr>
        <w:t>人员不得接受</w:t>
      </w:r>
      <w:r>
        <w:rPr>
          <w:rFonts w:hint="eastAsia"/>
          <w:color w:val="000000"/>
          <w:szCs w:val="21"/>
        </w:rPr>
        <w:t>乙方</w:t>
      </w:r>
      <w:r>
        <w:rPr>
          <w:color w:val="000000"/>
          <w:szCs w:val="21"/>
        </w:rPr>
        <w:t>的礼金、有价证券、物品，不得在</w:t>
      </w:r>
      <w:r>
        <w:rPr>
          <w:rFonts w:hint="eastAsia"/>
          <w:color w:val="000000"/>
          <w:szCs w:val="21"/>
        </w:rPr>
        <w:t>乙方</w:t>
      </w:r>
      <w:r>
        <w:rPr>
          <w:color w:val="000000"/>
          <w:szCs w:val="21"/>
        </w:rPr>
        <w:t>报销任何费用，不得参加其任何的宴请和娱乐活动。如有工作人员违纪违法接受好处，双方均应及时向对方领导或对方上级部门举报，被举报的一方不得以任何借口打击报复。</w:t>
      </w:r>
      <w:r>
        <w:rPr>
          <w:color w:val="000000"/>
          <w:szCs w:val="21"/>
        </w:rPr>
        <w:br w:type="textWrapping"/>
      </w:r>
      <w:r>
        <w:rPr>
          <w:color w:val="000000"/>
          <w:szCs w:val="21"/>
        </w:rPr>
        <w:t>2.</w:t>
      </w:r>
      <w:r>
        <w:rPr>
          <w:color w:val="000000"/>
          <w:szCs w:val="21"/>
        </w:rPr>
        <w:tab/>
      </w:r>
      <w:r>
        <w:rPr>
          <w:rFonts w:hint="eastAsia"/>
          <w:color w:val="000000"/>
          <w:szCs w:val="21"/>
        </w:rPr>
        <w:t>乙方</w:t>
      </w:r>
      <w:r>
        <w:rPr>
          <w:color w:val="000000"/>
          <w:szCs w:val="21"/>
        </w:rPr>
        <w:t>不得以任何借口向</w:t>
      </w:r>
      <w:r>
        <w:rPr>
          <w:rFonts w:hint="eastAsia"/>
          <w:color w:val="000000"/>
          <w:szCs w:val="21"/>
        </w:rPr>
        <w:t>甲方</w:t>
      </w:r>
      <w:r>
        <w:rPr>
          <w:color w:val="000000"/>
          <w:szCs w:val="21"/>
        </w:rPr>
        <w:t>人员送以礼金、有价证券、物品，不得为</w:t>
      </w:r>
      <w:r>
        <w:rPr>
          <w:rFonts w:hint="eastAsia"/>
          <w:color w:val="000000"/>
          <w:szCs w:val="21"/>
        </w:rPr>
        <w:t>甲方</w:t>
      </w:r>
      <w:r>
        <w:rPr>
          <w:color w:val="000000"/>
          <w:szCs w:val="21"/>
        </w:rPr>
        <w:t>人员报销任何费用，不得邀请</w:t>
      </w:r>
      <w:r>
        <w:rPr>
          <w:rFonts w:hint="eastAsia"/>
          <w:color w:val="000000"/>
          <w:szCs w:val="21"/>
        </w:rPr>
        <w:t>甲方</w:t>
      </w:r>
      <w:r>
        <w:rPr>
          <w:color w:val="000000"/>
          <w:szCs w:val="21"/>
        </w:rPr>
        <w:t>人员参加其任何的宴请和娱乐活动。一经发现有上述行为，</w:t>
      </w:r>
      <w:r>
        <w:rPr>
          <w:rFonts w:hint="eastAsia"/>
          <w:color w:val="000000"/>
          <w:szCs w:val="21"/>
        </w:rPr>
        <w:t>甲方</w:t>
      </w:r>
      <w:r>
        <w:rPr>
          <w:color w:val="000000"/>
          <w:szCs w:val="21"/>
        </w:rPr>
        <w:t>有权终止本合同，并在5年内不再邀请</w:t>
      </w:r>
      <w:r>
        <w:rPr>
          <w:rFonts w:hint="eastAsia"/>
          <w:color w:val="000000"/>
          <w:szCs w:val="21"/>
        </w:rPr>
        <w:t>乙方</w:t>
      </w:r>
      <w:r>
        <w:rPr>
          <w:color w:val="000000"/>
          <w:szCs w:val="21"/>
        </w:rPr>
        <w:t>参加任何谈判活动。</w:t>
      </w:r>
    </w:p>
    <w:p w14:paraId="50614EB6">
      <w:pPr>
        <w:spacing w:line="360" w:lineRule="auto"/>
        <w:rPr>
          <w:b/>
          <w:color w:val="000000"/>
          <w:szCs w:val="21"/>
        </w:rPr>
      </w:pPr>
      <w:bookmarkStart w:id="53" w:name="_Toc47617120"/>
      <w:r>
        <w:rPr>
          <w:b/>
          <w:color w:val="000000"/>
          <w:szCs w:val="21"/>
        </w:rPr>
        <w:t>十</w:t>
      </w:r>
      <w:r>
        <w:rPr>
          <w:rFonts w:hint="eastAsia"/>
          <w:b/>
          <w:color w:val="000000"/>
          <w:szCs w:val="21"/>
        </w:rPr>
        <w:t>六</w:t>
      </w:r>
      <w:r>
        <w:rPr>
          <w:b/>
          <w:color w:val="000000"/>
          <w:szCs w:val="21"/>
        </w:rPr>
        <w:t>、不可抗力</w:t>
      </w:r>
      <w:bookmarkEnd w:id="53"/>
    </w:p>
    <w:p w14:paraId="40157F53">
      <w:pPr>
        <w:numPr>
          <w:ilvl w:val="0"/>
          <w:numId w:val="13"/>
        </w:numPr>
        <w:tabs>
          <w:tab w:val="left" w:pos="0"/>
          <w:tab w:val="clear" w:pos="1155"/>
        </w:tabs>
        <w:spacing w:line="360" w:lineRule="auto"/>
        <w:ind w:left="0" w:firstLine="0"/>
        <w:rPr>
          <w:color w:val="000000"/>
          <w:szCs w:val="21"/>
        </w:rPr>
      </w:pPr>
      <w:r>
        <w:rPr>
          <w:color w:val="000000"/>
          <w:szCs w:val="21"/>
        </w:rPr>
        <w:t>当发生不可抗拒事故时，受影响一方应于10日内以传真形式通知对方，以减轻可能给对方造成的损失，并应当在合理期限内提供证明。</w:t>
      </w:r>
    </w:p>
    <w:p w14:paraId="13C25983">
      <w:pPr>
        <w:numPr>
          <w:ilvl w:val="0"/>
          <w:numId w:val="13"/>
        </w:numPr>
        <w:tabs>
          <w:tab w:val="left" w:pos="0"/>
          <w:tab w:val="clear" w:pos="1155"/>
        </w:tabs>
        <w:spacing w:line="360" w:lineRule="auto"/>
        <w:ind w:left="0" w:firstLine="0"/>
        <w:rPr>
          <w:color w:val="000000"/>
          <w:szCs w:val="21"/>
        </w:rPr>
      </w:pPr>
      <w:r>
        <w:rPr>
          <w:color w:val="000000"/>
          <w:szCs w:val="21"/>
        </w:rPr>
        <w:t>当不可抗力事故终止后，受影响一方应以传真的形式通知对方，双方商定合同是否继续履行。</w:t>
      </w:r>
    </w:p>
    <w:p w14:paraId="21F0BF92">
      <w:pPr>
        <w:numPr>
          <w:ilvl w:val="0"/>
          <w:numId w:val="13"/>
        </w:numPr>
        <w:tabs>
          <w:tab w:val="left" w:pos="0"/>
          <w:tab w:val="clear" w:pos="1155"/>
        </w:tabs>
        <w:spacing w:line="360" w:lineRule="auto"/>
        <w:ind w:left="0" w:firstLine="0"/>
        <w:rPr>
          <w:color w:val="000000"/>
          <w:szCs w:val="21"/>
        </w:rPr>
      </w:pPr>
      <w:r>
        <w:rPr>
          <w:color w:val="000000"/>
          <w:szCs w:val="21"/>
        </w:rPr>
        <w:t>不可抗力，互不追究或承担违约责任。但有违约因素的除外。</w:t>
      </w:r>
    </w:p>
    <w:p w14:paraId="2BF21ABC">
      <w:pPr>
        <w:spacing w:line="360" w:lineRule="auto"/>
        <w:rPr>
          <w:b/>
          <w:color w:val="000000"/>
          <w:szCs w:val="21"/>
        </w:rPr>
      </w:pPr>
      <w:bookmarkStart w:id="54" w:name="_Toc47617121"/>
      <w:r>
        <w:rPr>
          <w:b/>
          <w:color w:val="000000"/>
          <w:szCs w:val="21"/>
        </w:rPr>
        <w:t>十七、解决纠纷的方式</w:t>
      </w:r>
      <w:bookmarkEnd w:id="54"/>
    </w:p>
    <w:p w14:paraId="01F857D9">
      <w:pPr>
        <w:numPr>
          <w:ilvl w:val="0"/>
          <w:numId w:val="14"/>
        </w:numPr>
        <w:tabs>
          <w:tab w:val="left" w:pos="0"/>
          <w:tab w:val="clear" w:pos="1155"/>
        </w:tabs>
        <w:spacing w:line="360" w:lineRule="auto"/>
        <w:ind w:left="0" w:firstLine="0"/>
        <w:rPr>
          <w:color w:val="000000"/>
          <w:szCs w:val="21"/>
        </w:rPr>
      </w:pPr>
      <w:r>
        <w:rPr>
          <w:color w:val="000000"/>
          <w:szCs w:val="21"/>
        </w:rPr>
        <w:t>凡由执行本合同引起或与合同有关的争议，均应通过友好协商解决；协商不成的，由甲方所在地人民法院裁决。</w:t>
      </w:r>
    </w:p>
    <w:p w14:paraId="2F4EC021">
      <w:pPr>
        <w:numPr>
          <w:ilvl w:val="0"/>
          <w:numId w:val="14"/>
        </w:numPr>
        <w:tabs>
          <w:tab w:val="left" w:pos="0"/>
          <w:tab w:val="clear" w:pos="1155"/>
        </w:tabs>
        <w:spacing w:line="360" w:lineRule="auto"/>
        <w:ind w:left="0" w:firstLine="0"/>
        <w:rPr>
          <w:color w:val="000000"/>
          <w:szCs w:val="21"/>
        </w:rPr>
      </w:pPr>
      <w:r>
        <w:rPr>
          <w:color w:val="000000"/>
          <w:szCs w:val="21"/>
        </w:rPr>
        <w:t>除争议事项待处理外，双方应继续执行合同无争议部分，除非无争议部分不可单独履行。</w:t>
      </w:r>
    </w:p>
    <w:p w14:paraId="7B2D707A">
      <w:pPr>
        <w:numPr>
          <w:ilvl w:val="0"/>
          <w:numId w:val="14"/>
        </w:numPr>
        <w:tabs>
          <w:tab w:val="left" w:pos="0"/>
          <w:tab w:val="left" w:pos="426"/>
          <w:tab w:val="left" w:pos="1276"/>
          <w:tab w:val="clear" w:pos="1155"/>
        </w:tabs>
        <w:spacing w:line="360" w:lineRule="auto"/>
        <w:ind w:left="0" w:firstLine="0"/>
        <w:rPr>
          <w:color w:val="000000"/>
          <w:szCs w:val="21"/>
        </w:rPr>
      </w:pPr>
      <w:r>
        <w:rPr>
          <w:color w:val="000000"/>
          <w:szCs w:val="21"/>
        </w:rPr>
        <w:t>本合同适用于中华人民共和国法律。</w:t>
      </w:r>
    </w:p>
    <w:p w14:paraId="1940FBE6">
      <w:pPr>
        <w:spacing w:line="360" w:lineRule="auto"/>
        <w:rPr>
          <w:b/>
          <w:color w:val="000000"/>
          <w:szCs w:val="21"/>
        </w:rPr>
      </w:pPr>
      <w:bookmarkStart w:id="55" w:name="_Toc47617122"/>
      <w:r>
        <w:rPr>
          <w:b/>
          <w:color w:val="000000"/>
          <w:szCs w:val="21"/>
        </w:rPr>
        <w:t>十</w:t>
      </w:r>
      <w:r>
        <w:rPr>
          <w:rFonts w:hint="eastAsia"/>
          <w:b/>
          <w:color w:val="000000"/>
          <w:szCs w:val="21"/>
        </w:rPr>
        <w:t>八</w:t>
      </w:r>
      <w:r>
        <w:rPr>
          <w:b/>
          <w:color w:val="000000"/>
          <w:szCs w:val="21"/>
        </w:rPr>
        <w:t>、合同生效及其他</w:t>
      </w:r>
      <w:bookmarkEnd w:id="55"/>
    </w:p>
    <w:p w14:paraId="6D0C5888">
      <w:pPr>
        <w:numPr>
          <w:ilvl w:val="0"/>
          <w:numId w:val="15"/>
        </w:numPr>
        <w:tabs>
          <w:tab w:val="left" w:pos="0"/>
          <w:tab w:val="clear" w:pos="1155"/>
        </w:tabs>
        <w:spacing w:line="360" w:lineRule="auto"/>
        <w:ind w:left="0" w:firstLine="0"/>
        <w:rPr>
          <w:color w:val="000000"/>
          <w:szCs w:val="21"/>
        </w:rPr>
      </w:pPr>
      <w:r>
        <w:rPr>
          <w:color w:val="000000"/>
          <w:szCs w:val="21"/>
        </w:rPr>
        <w:t>合同的生效期：本合同一式</w:t>
      </w:r>
      <w:r>
        <w:rPr>
          <w:rFonts w:hint="eastAsia"/>
          <w:color w:val="000000"/>
          <w:szCs w:val="21"/>
        </w:rPr>
        <w:t>四</w:t>
      </w:r>
      <w:r>
        <w:rPr>
          <w:color w:val="000000"/>
          <w:szCs w:val="21"/>
        </w:rPr>
        <w:t>份（</w:t>
      </w:r>
      <w:r>
        <w:rPr>
          <w:rFonts w:hint="eastAsia"/>
          <w:color w:val="000000"/>
          <w:szCs w:val="21"/>
        </w:rPr>
        <w:t>甲乙双方各</w:t>
      </w:r>
      <w:r>
        <w:rPr>
          <w:color w:val="000000"/>
          <w:szCs w:val="21"/>
        </w:rPr>
        <w:t>二份），</w:t>
      </w:r>
      <w:bookmarkStart w:id="56" w:name="_Hlk75013248"/>
      <w:r>
        <w:rPr>
          <w:rFonts w:hint="eastAsia" w:ascii="宋体" w:hAnsi="宋体"/>
          <w:szCs w:val="21"/>
        </w:rPr>
        <w:t>每份均具有同等法律效力</w:t>
      </w:r>
      <w:bookmarkEnd w:id="56"/>
      <w:r>
        <w:rPr>
          <w:rFonts w:hint="eastAsia" w:ascii="宋体" w:hAnsi="宋体"/>
          <w:szCs w:val="21"/>
        </w:rPr>
        <w:t>，</w:t>
      </w:r>
      <w:r>
        <w:rPr>
          <w:color w:val="000000"/>
          <w:szCs w:val="21"/>
        </w:rPr>
        <w:t>自甲、乙双方盖章</w:t>
      </w:r>
      <w:r>
        <w:rPr>
          <w:rFonts w:hint="eastAsia"/>
          <w:color w:val="000000"/>
          <w:szCs w:val="21"/>
        </w:rPr>
        <w:t>之日起生效</w:t>
      </w:r>
      <w:r>
        <w:rPr>
          <w:color w:val="000000"/>
          <w:szCs w:val="21"/>
        </w:rPr>
        <w:t>。</w:t>
      </w:r>
    </w:p>
    <w:p w14:paraId="0DAD392B">
      <w:pPr>
        <w:numPr>
          <w:ilvl w:val="0"/>
          <w:numId w:val="15"/>
        </w:numPr>
        <w:tabs>
          <w:tab w:val="left" w:pos="0"/>
          <w:tab w:val="clear" w:pos="1155"/>
        </w:tabs>
        <w:spacing w:line="360" w:lineRule="auto"/>
        <w:ind w:left="0" w:firstLine="0"/>
        <w:rPr>
          <w:color w:val="000000"/>
          <w:szCs w:val="21"/>
        </w:rPr>
      </w:pPr>
      <w:r>
        <w:rPr>
          <w:color w:val="000000"/>
          <w:szCs w:val="21"/>
        </w:rPr>
        <w:t>本合同所有附件为本合同不可分割的组成部分，与合同正文有同等的法律效力：</w:t>
      </w:r>
    </w:p>
    <w:p w14:paraId="4976DF7E">
      <w:pPr>
        <w:tabs>
          <w:tab w:val="left" w:pos="0"/>
        </w:tabs>
        <w:spacing w:line="360" w:lineRule="auto"/>
        <w:ind w:firstLine="420" w:firstLineChars="200"/>
        <w:rPr>
          <w:color w:val="000000"/>
          <w:szCs w:val="21"/>
        </w:rPr>
      </w:pPr>
      <w:r>
        <w:rPr>
          <w:rFonts w:hint="eastAsia"/>
          <w:color w:val="000000"/>
          <w:szCs w:val="21"/>
        </w:rPr>
        <w:t>（1）</w:t>
      </w:r>
      <w:r>
        <w:rPr>
          <w:color w:val="000000"/>
          <w:szCs w:val="21"/>
        </w:rPr>
        <w:t>乙方提交的响应函；</w:t>
      </w:r>
    </w:p>
    <w:p w14:paraId="7068B971">
      <w:pPr>
        <w:tabs>
          <w:tab w:val="left" w:pos="0"/>
        </w:tabs>
        <w:spacing w:line="360" w:lineRule="auto"/>
        <w:ind w:firstLine="420" w:firstLineChars="200"/>
        <w:rPr>
          <w:color w:val="000000"/>
          <w:szCs w:val="21"/>
        </w:rPr>
      </w:pPr>
      <w:r>
        <w:rPr>
          <w:rFonts w:hint="eastAsia"/>
          <w:color w:val="000000"/>
          <w:szCs w:val="21"/>
        </w:rPr>
        <w:t>（2）</w:t>
      </w:r>
      <w:r>
        <w:rPr>
          <w:color w:val="000000"/>
          <w:szCs w:val="21"/>
        </w:rPr>
        <w:t>甲方的谈判文件、乙方的响应文件、乙方的响应报价表、谈判时乙方做出的书面承诺及其它补充修改的部分</w:t>
      </w:r>
      <w:r>
        <w:rPr>
          <w:rFonts w:hint="eastAsia"/>
          <w:color w:val="000000"/>
          <w:szCs w:val="21"/>
        </w:rPr>
        <w:t>；</w:t>
      </w:r>
    </w:p>
    <w:p w14:paraId="7C9F07A1">
      <w:pPr>
        <w:tabs>
          <w:tab w:val="left" w:pos="0"/>
        </w:tabs>
        <w:spacing w:line="360" w:lineRule="auto"/>
        <w:ind w:firstLine="420" w:firstLineChars="200"/>
        <w:rPr>
          <w:color w:val="000000"/>
          <w:szCs w:val="21"/>
        </w:rPr>
      </w:pPr>
      <w:r>
        <w:rPr>
          <w:rFonts w:hint="eastAsia"/>
          <w:color w:val="000000"/>
          <w:szCs w:val="21"/>
        </w:rPr>
        <w:t>（3）</w:t>
      </w:r>
      <w:r>
        <w:rPr>
          <w:color w:val="000000"/>
          <w:szCs w:val="21"/>
        </w:rPr>
        <w:t>在执行本合同期间，甲、乙双方所有采用传真或信函方式</w:t>
      </w:r>
      <w:r>
        <w:rPr>
          <w:rFonts w:hint="eastAsia"/>
          <w:color w:val="000000"/>
          <w:szCs w:val="21"/>
        </w:rPr>
        <w:t>的通知。</w:t>
      </w:r>
    </w:p>
    <w:p w14:paraId="7BF494C2">
      <w:pPr>
        <w:numPr>
          <w:ilvl w:val="0"/>
          <w:numId w:val="15"/>
        </w:numPr>
        <w:tabs>
          <w:tab w:val="left" w:pos="0"/>
          <w:tab w:val="clear" w:pos="1155"/>
        </w:tabs>
        <w:spacing w:line="360" w:lineRule="auto"/>
        <w:ind w:left="0" w:firstLine="0"/>
        <w:rPr>
          <w:color w:val="000000"/>
          <w:szCs w:val="21"/>
        </w:rPr>
      </w:pPr>
      <w:r>
        <w:rPr>
          <w:color w:val="000000"/>
          <w:szCs w:val="21"/>
        </w:rPr>
        <w:t>本合同与上述文件如对相同内容有不同约定，且约定内容有冲突的，除另有特别约定外，依下列原则处理：</w:t>
      </w:r>
      <w:r>
        <w:rPr>
          <w:rFonts w:hint="eastAsia"/>
          <w:color w:val="000000"/>
          <w:szCs w:val="21"/>
        </w:rPr>
        <w:t>（1）</w:t>
      </w:r>
      <w:r>
        <w:rPr>
          <w:color w:val="000000"/>
          <w:szCs w:val="21"/>
        </w:rPr>
        <w:t>合同条款优先于招响应文件条款；</w:t>
      </w:r>
    </w:p>
    <w:p w14:paraId="70FBDE9E">
      <w:pPr>
        <w:tabs>
          <w:tab w:val="left" w:pos="0"/>
        </w:tabs>
        <w:spacing w:line="360" w:lineRule="auto"/>
        <w:ind w:firstLine="945" w:firstLineChars="450"/>
        <w:rPr>
          <w:color w:val="000000"/>
          <w:szCs w:val="21"/>
        </w:rPr>
      </w:pPr>
      <w:r>
        <w:rPr>
          <w:rFonts w:hint="eastAsia"/>
          <w:color w:val="000000"/>
          <w:szCs w:val="21"/>
        </w:rPr>
        <w:t>（2）</w:t>
      </w:r>
      <w:r>
        <w:rPr>
          <w:color w:val="000000"/>
          <w:szCs w:val="21"/>
        </w:rPr>
        <w:t>在后文件的效力优先于在先文件的效力。</w:t>
      </w:r>
    </w:p>
    <w:p w14:paraId="09985541">
      <w:pPr>
        <w:numPr>
          <w:ilvl w:val="0"/>
          <w:numId w:val="15"/>
        </w:numPr>
        <w:tabs>
          <w:tab w:val="left" w:pos="0"/>
          <w:tab w:val="clear" w:pos="1155"/>
        </w:tabs>
        <w:spacing w:line="360" w:lineRule="auto"/>
        <w:ind w:left="0" w:firstLine="0"/>
        <w:rPr>
          <w:color w:val="000000"/>
          <w:szCs w:val="21"/>
        </w:rPr>
      </w:pPr>
      <w:r>
        <w:rPr>
          <w:color w:val="000000"/>
          <w:szCs w:val="21"/>
        </w:rPr>
        <w:t>甲、乙双方对合同条款的理解有争议时，应当按照合同的有关条款、合同的目的、交易习惯以及诚实信用原则，确定该条款的真实含义。</w:t>
      </w:r>
    </w:p>
    <w:p w14:paraId="340B49D9">
      <w:pPr>
        <w:numPr>
          <w:ilvl w:val="0"/>
          <w:numId w:val="15"/>
        </w:numPr>
        <w:tabs>
          <w:tab w:val="left" w:pos="0"/>
          <w:tab w:val="clear" w:pos="1155"/>
        </w:tabs>
        <w:spacing w:line="360" w:lineRule="auto"/>
        <w:ind w:left="0" w:firstLine="0"/>
        <w:rPr>
          <w:color w:val="000000"/>
          <w:szCs w:val="21"/>
        </w:rPr>
      </w:pPr>
      <w:r>
        <w:rPr>
          <w:color w:val="000000"/>
          <w:szCs w:val="21"/>
        </w:rPr>
        <w:t>对本合同的任何修改和增补，以双方盖章的书面文件为准。</w:t>
      </w:r>
    </w:p>
    <w:p w14:paraId="301CDC41">
      <w:pPr>
        <w:numPr>
          <w:ilvl w:val="0"/>
          <w:numId w:val="15"/>
        </w:numPr>
        <w:tabs>
          <w:tab w:val="left" w:pos="0"/>
          <w:tab w:val="clear" w:pos="1155"/>
        </w:tabs>
        <w:spacing w:line="360" w:lineRule="auto"/>
        <w:ind w:left="0" w:firstLine="0"/>
        <w:rPr>
          <w:color w:val="000000"/>
          <w:szCs w:val="21"/>
        </w:rPr>
      </w:pPr>
      <w:r>
        <w:rPr>
          <w:color w:val="000000"/>
          <w:szCs w:val="21"/>
        </w:rPr>
        <w:t>甲、乙双方对本合同中产品的具体价格和交易方式有保密的责任，未经对方的书面许可，任何一方不得向第三方透露。</w:t>
      </w:r>
    </w:p>
    <w:p w14:paraId="5E3A7BF5">
      <w:pPr>
        <w:numPr>
          <w:ilvl w:val="0"/>
          <w:numId w:val="15"/>
        </w:numPr>
        <w:tabs>
          <w:tab w:val="left" w:pos="0"/>
          <w:tab w:val="clear" w:pos="1155"/>
        </w:tabs>
        <w:spacing w:line="360" w:lineRule="auto"/>
        <w:ind w:left="0" w:firstLine="0"/>
        <w:rPr>
          <w:color w:val="000000"/>
          <w:szCs w:val="21"/>
        </w:rPr>
      </w:pPr>
      <w:r>
        <w:rPr>
          <w:color w:val="000000"/>
          <w:szCs w:val="21"/>
        </w:rPr>
        <w:t>本合同中的未尽事宜，甲、乙双方协商解决，并按</w:t>
      </w:r>
      <w:r>
        <w:rPr>
          <w:szCs w:val="21"/>
        </w:rPr>
        <w:t>《中华人民共和国</w:t>
      </w:r>
      <w:r>
        <w:rPr>
          <w:rFonts w:hint="eastAsia"/>
          <w:szCs w:val="21"/>
        </w:rPr>
        <w:t>民法典</w:t>
      </w:r>
      <w:r>
        <w:rPr>
          <w:szCs w:val="21"/>
        </w:rPr>
        <w:t>》</w:t>
      </w:r>
      <w:r>
        <w:rPr>
          <w:color w:val="000000"/>
          <w:szCs w:val="21"/>
        </w:rPr>
        <w:t>调整。</w:t>
      </w:r>
    </w:p>
    <w:p w14:paraId="04B257C0">
      <w:pPr>
        <w:spacing w:line="360" w:lineRule="auto"/>
        <w:rPr>
          <w:b/>
          <w:color w:val="000000"/>
          <w:szCs w:val="21"/>
        </w:rPr>
      </w:pPr>
      <w:bookmarkStart w:id="57" w:name="_Toc47617123"/>
      <w:r>
        <w:rPr>
          <w:b/>
          <w:color w:val="000000"/>
          <w:szCs w:val="21"/>
        </w:rPr>
        <w:t>十</w:t>
      </w:r>
      <w:r>
        <w:rPr>
          <w:rFonts w:hint="eastAsia"/>
          <w:b/>
          <w:color w:val="000000"/>
          <w:szCs w:val="21"/>
        </w:rPr>
        <w:t>九</w:t>
      </w:r>
      <w:r>
        <w:rPr>
          <w:b/>
          <w:color w:val="000000"/>
          <w:szCs w:val="21"/>
        </w:rPr>
        <w:t>、附件列表</w:t>
      </w:r>
      <w:bookmarkEnd w:id="57"/>
    </w:p>
    <w:p w14:paraId="48DD09E3">
      <w:pPr>
        <w:spacing w:line="360" w:lineRule="auto"/>
        <w:rPr>
          <w:color w:val="000000"/>
          <w:szCs w:val="21"/>
        </w:rPr>
      </w:pPr>
      <w:r>
        <w:rPr>
          <w:color w:val="000000"/>
          <w:szCs w:val="21"/>
        </w:rPr>
        <w:t>附件一</w:t>
      </w:r>
      <w:r>
        <w:rPr>
          <w:rFonts w:hint="eastAsia"/>
          <w:color w:val="000000"/>
          <w:szCs w:val="21"/>
        </w:rPr>
        <w:t>价格表</w:t>
      </w:r>
    </w:p>
    <w:p w14:paraId="62D11896">
      <w:pPr>
        <w:pStyle w:val="2"/>
        <w:rPr>
          <w:rFonts w:ascii="Tahoma" w:hAnsi="Tahoma"/>
          <w:sz w:val="24"/>
          <w:szCs w:val="24"/>
        </w:rPr>
      </w:pPr>
    </w:p>
    <w:p w14:paraId="0AA92B81">
      <w:pPr>
        <w:spacing w:line="360" w:lineRule="auto"/>
        <w:ind w:left="210" w:hanging="210" w:hangingChars="100"/>
        <w:jc w:val="left"/>
        <w:rPr>
          <w:color w:val="000000"/>
          <w:szCs w:val="21"/>
        </w:rPr>
      </w:pPr>
      <w:r>
        <w:rPr>
          <w:color w:val="000000"/>
          <w:szCs w:val="21"/>
        </w:rPr>
        <w:t>甲方：</w:t>
      </w:r>
      <w:r>
        <w:rPr>
          <w:color w:val="000000"/>
          <w:szCs w:val="21"/>
          <w:u w:val="single"/>
        </w:rPr>
        <w:t>江苏省广电有线信息网络股份有限公司</w:t>
      </w:r>
      <w:r>
        <w:rPr>
          <w:color w:val="000000"/>
          <w:szCs w:val="21"/>
        </w:rPr>
        <w:t>乙方：</w:t>
      </w:r>
      <w:r>
        <w:rPr>
          <w:color w:val="000000"/>
          <w:szCs w:val="21"/>
          <w:u w:val="single"/>
        </w:rPr>
        <w:t>公司</w:t>
      </w:r>
    </w:p>
    <w:p w14:paraId="16F6B4C1">
      <w:pPr>
        <w:spacing w:line="360" w:lineRule="auto"/>
        <w:rPr>
          <w:color w:val="000000"/>
          <w:szCs w:val="21"/>
        </w:rPr>
      </w:pPr>
      <w:r>
        <w:rPr>
          <w:color w:val="000000"/>
          <w:szCs w:val="21"/>
        </w:rPr>
        <w:t>（盖章）_________________________          （盖章）_______________________</w:t>
      </w:r>
    </w:p>
    <w:p w14:paraId="11810F22">
      <w:pPr>
        <w:spacing w:line="360" w:lineRule="auto"/>
        <w:ind w:firstLine="35" w:firstLineChars="17"/>
        <w:rPr>
          <w:color w:val="000000"/>
          <w:szCs w:val="21"/>
        </w:rPr>
      </w:pPr>
      <w:r>
        <w:rPr>
          <w:color w:val="000000"/>
          <w:szCs w:val="21"/>
        </w:rPr>
        <w:t>法人代表或授权代表：____________           法人代表或授权代表：_________________</w:t>
      </w:r>
    </w:p>
    <w:p w14:paraId="1F2E359D">
      <w:pPr>
        <w:spacing w:line="360" w:lineRule="auto"/>
        <w:ind w:firstLine="105" w:firstLineChars="50"/>
        <w:rPr>
          <w:color w:val="000000"/>
          <w:szCs w:val="21"/>
        </w:rPr>
      </w:pPr>
      <w:r>
        <w:rPr>
          <w:color w:val="000000"/>
          <w:szCs w:val="21"/>
        </w:rPr>
        <w:t>地址：___________________                  地址：____________________</w:t>
      </w:r>
    </w:p>
    <w:p w14:paraId="4ACB8C98">
      <w:pPr>
        <w:spacing w:line="360" w:lineRule="auto"/>
        <w:ind w:firstLine="105" w:firstLineChars="50"/>
        <w:rPr>
          <w:color w:val="000000"/>
          <w:szCs w:val="21"/>
          <w:u w:val="single"/>
        </w:rPr>
      </w:pPr>
      <w:r>
        <w:rPr>
          <w:color w:val="000000"/>
          <w:szCs w:val="21"/>
        </w:rPr>
        <w:t>电话：电话：</w:t>
      </w:r>
    </w:p>
    <w:p w14:paraId="7DDD84C6">
      <w:pPr>
        <w:spacing w:line="360" w:lineRule="auto"/>
        <w:ind w:firstLine="105" w:firstLineChars="50"/>
        <w:rPr>
          <w:color w:val="000000"/>
          <w:szCs w:val="21"/>
          <w:u w:val="single"/>
        </w:rPr>
      </w:pPr>
      <w:r>
        <w:rPr>
          <w:color w:val="000000"/>
          <w:szCs w:val="21"/>
        </w:rPr>
        <w:t>开户银行：开户银行：</w:t>
      </w:r>
    </w:p>
    <w:p w14:paraId="363B8CCD">
      <w:pPr>
        <w:spacing w:line="360" w:lineRule="auto"/>
        <w:ind w:firstLine="105" w:firstLineChars="50"/>
        <w:rPr>
          <w:color w:val="000000"/>
          <w:szCs w:val="21"/>
          <w:u w:val="single"/>
        </w:rPr>
      </w:pPr>
      <w:r>
        <w:rPr>
          <w:color w:val="000000"/>
          <w:szCs w:val="21"/>
        </w:rPr>
        <w:t>银行账号：银行账号：</w:t>
      </w:r>
    </w:p>
    <w:p w14:paraId="25956B77">
      <w:pPr>
        <w:spacing w:line="360" w:lineRule="auto"/>
        <w:ind w:firstLine="35" w:firstLineChars="17"/>
        <w:rPr>
          <w:color w:val="000000"/>
          <w:szCs w:val="21"/>
        </w:rPr>
      </w:pPr>
      <w:r>
        <w:rPr>
          <w:color w:val="000000"/>
          <w:szCs w:val="21"/>
        </w:rPr>
        <w:t>签订日期：年月日签订日期：年月日</w:t>
      </w:r>
    </w:p>
    <w:p w14:paraId="704889A5">
      <w:pPr>
        <w:spacing w:line="360" w:lineRule="auto"/>
        <w:rPr>
          <w:color w:val="000000"/>
          <w:sz w:val="24"/>
        </w:rPr>
      </w:pPr>
    </w:p>
    <w:p w14:paraId="29D581D8">
      <w:pPr>
        <w:spacing w:line="360" w:lineRule="auto"/>
        <w:rPr>
          <w:color w:val="000000"/>
          <w:sz w:val="24"/>
        </w:rPr>
      </w:pPr>
    </w:p>
    <w:p w14:paraId="7EE2FB87">
      <w:r>
        <w:rPr>
          <w:color w:val="000000"/>
          <w:szCs w:val="21"/>
        </w:rPr>
        <w:t>说明：该部分内容作为谈判人和中标人签订正式合同时的基本条款及原则。</w:t>
      </w:r>
    </w:p>
    <w:p w14:paraId="64D875DB">
      <w:pPr>
        <w:keepNext/>
        <w:keepLines/>
        <w:spacing w:before="312" w:after="312" w:line="360" w:lineRule="auto"/>
        <w:ind w:firstLine="562"/>
        <w:outlineLvl w:val="3"/>
        <w:rPr>
          <w:rFonts w:ascii="Arial" w:hAnsi="Arial" w:eastAsia="黑体"/>
          <w:b/>
          <w:bCs/>
          <w:kern w:val="0"/>
          <w:sz w:val="28"/>
          <w:szCs w:val="28"/>
        </w:rPr>
      </w:pPr>
      <w:r>
        <w:rPr>
          <w:rFonts w:ascii="Arial" w:hAnsi="Arial" w:eastAsia="黑体"/>
          <w:b/>
          <w:bCs/>
          <w:kern w:val="0"/>
          <w:sz w:val="28"/>
          <w:szCs w:val="28"/>
        </w:rPr>
        <w:br w:type="page"/>
      </w:r>
    </w:p>
    <w:p w14:paraId="5F2E50A9">
      <w:pPr>
        <w:spacing w:line="360" w:lineRule="auto"/>
        <w:rPr>
          <w:rFonts w:hint="eastAsia" w:ascii="宋体" w:hAnsi="宋体"/>
          <w:b/>
          <w:bCs/>
          <w:color w:val="000000"/>
          <w:szCs w:val="21"/>
        </w:rPr>
      </w:pPr>
      <w:r>
        <w:rPr>
          <w:rFonts w:hint="eastAsia" w:ascii="宋体" w:hAnsi="宋体"/>
          <w:b/>
          <w:bCs/>
          <w:color w:val="000000"/>
          <w:szCs w:val="21"/>
        </w:rPr>
        <w:t>附件一：价格表</w:t>
      </w:r>
    </w:p>
    <w:p w14:paraId="0ED95823">
      <w:pPr>
        <w:rPr>
          <w:rFonts w:hint="eastAsia" w:ascii="宋体" w:hAnsi="宋体"/>
          <w:b/>
          <w:bCs/>
          <w:color w:val="000000"/>
          <w:szCs w:val="21"/>
        </w:rPr>
      </w:pPr>
    </w:p>
    <w:tbl>
      <w:tblPr>
        <w:tblStyle w:val="19"/>
        <w:tblW w:w="100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135"/>
        <w:gridCol w:w="1275"/>
        <w:gridCol w:w="1843"/>
        <w:gridCol w:w="1418"/>
        <w:gridCol w:w="1559"/>
        <w:gridCol w:w="1134"/>
        <w:gridCol w:w="1204"/>
      </w:tblGrid>
      <w:tr w14:paraId="1E5C99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97" w:type="dxa"/>
            <w:shd w:val="clear" w:color="000000" w:fill="FFFFFF"/>
            <w:vAlign w:val="center"/>
          </w:tcPr>
          <w:p w14:paraId="4316EA0A">
            <w:pPr>
              <w:widowControl/>
              <w:spacing w:before="156" w:after="156"/>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1135" w:type="dxa"/>
            <w:shd w:val="clear" w:color="000000" w:fill="FFFFFF"/>
            <w:vAlign w:val="center"/>
          </w:tcPr>
          <w:p w14:paraId="611D6BBB">
            <w:pPr>
              <w:widowControl/>
              <w:spacing w:before="156" w:after="156"/>
              <w:jc w:val="center"/>
              <w:rPr>
                <w:rFonts w:hint="eastAsia" w:ascii="宋体" w:hAnsi="宋体" w:cs="宋体"/>
                <w:b/>
                <w:bCs/>
                <w:color w:val="000000"/>
                <w:kern w:val="0"/>
                <w:szCs w:val="21"/>
              </w:rPr>
            </w:pPr>
            <w:r>
              <w:rPr>
                <w:rFonts w:hint="eastAsia" w:ascii="宋体" w:hAnsi="宋体" w:cs="宋体"/>
                <w:b/>
                <w:bCs/>
                <w:color w:val="000000"/>
                <w:kern w:val="0"/>
                <w:szCs w:val="21"/>
              </w:rPr>
              <w:t>所属项目</w:t>
            </w:r>
          </w:p>
        </w:tc>
        <w:tc>
          <w:tcPr>
            <w:tcW w:w="1275" w:type="dxa"/>
            <w:shd w:val="clear" w:color="000000" w:fill="FFFFFF"/>
            <w:vAlign w:val="center"/>
          </w:tcPr>
          <w:p w14:paraId="40BAC691">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产品名称</w:t>
            </w:r>
          </w:p>
        </w:tc>
        <w:tc>
          <w:tcPr>
            <w:tcW w:w="1843" w:type="dxa"/>
            <w:shd w:val="clear" w:color="000000" w:fill="FFFFFF"/>
            <w:vAlign w:val="center"/>
          </w:tcPr>
          <w:p w14:paraId="58607627">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规格型号</w:t>
            </w:r>
          </w:p>
        </w:tc>
        <w:tc>
          <w:tcPr>
            <w:tcW w:w="1418" w:type="dxa"/>
            <w:tcBorders>
              <w:right w:val="single" w:color="auto" w:sz="4" w:space="0"/>
            </w:tcBorders>
            <w:shd w:val="clear" w:color="000000" w:fill="FFFFFF"/>
            <w:vAlign w:val="center"/>
          </w:tcPr>
          <w:p w14:paraId="07A188F8">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配置</w:t>
            </w:r>
          </w:p>
        </w:tc>
        <w:tc>
          <w:tcPr>
            <w:tcW w:w="1559" w:type="dxa"/>
            <w:tcBorders>
              <w:left w:val="single" w:color="auto" w:sz="4" w:space="0"/>
            </w:tcBorders>
            <w:shd w:val="clear" w:color="000000" w:fill="FFFFFF"/>
            <w:vAlign w:val="center"/>
          </w:tcPr>
          <w:p w14:paraId="5B103A8E">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单价</w:t>
            </w:r>
          </w:p>
        </w:tc>
        <w:tc>
          <w:tcPr>
            <w:tcW w:w="1134" w:type="dxa"/>
            <w:tcBorders>
              <w:left w:val="single" w:color="auto" w:sz="4" w:space="0"/>
              <w:right w:val="single" w:color="auto" w:sz="4" w:space="0"/>
            </w:tcBorders>
            <w:shd w:val="clear" w:color="000000" w:fill="FFFFFF"/>
            <w:vAlign w:val="center"/>
          </w:tcPr>
          <w:p w14:paraId="18A336B9">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数量</w:t>
            </w:r>
          </w:p>
        </w:tc>
        <w:tc>
          <w:tcPr>
            <w:tcW w:w="1204" w:type="dxa"/>
            <w:tcBorders>
              <w:left w:val="single" w:color="auto" w:sz="4" w:space="0"/>
            </w:tcBorders>
            <w:shd w:val="clear" w:color="000000" w:fill="FFFFFF"/>
            <w:vAlign w:val="center"/>
          </w:tcPr>
          <w:p w14:paraId="48772894">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小计</w:t>
            </w:r>
          </w:p>
        </w:tc>
      </w:tr>
      <w:tr w14:paraId="1E8A83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617F2DA6">
            <w:pPr>
              <w:widowControl/>
              <w:jc w:val="center"/>
              <w:rPr>
                <w:color w:val="000000"/>
                <w:kern w:val="0"/>
                <w:sz w:val="18"/>
                <w:szCs w:val="18"/>
              </w:rPr>
            </w:pPr>
            <w:r>
              <w:rPr>
                <w:rFonts w:hint="eastAsia"/>
                <w:color w:val="000000"/>
                <w:kern w:val="0"/>
                <w:sz w:val="18"/>
                <w:szCs w:val="18"/>
              </w:rPr>
              <w:t>1</w:t>
            </w:r>
          </w:p>
        </w:tc>
        <w:tc>
          <w:tcPr>
            <w:tcW w:w="1135" w:type="dxa"/>
            <w:vAlign w:val="center"/>
          </w:tcPr>
          <w:p w14:paraId="670729EB">
            <w:pPr>
              <w:widowControl/>
              <w:jc w:val="left"/>
              <w:rPr>
                <w:color w:val="000000"/>
                <w:kern w:val="0"/>
                <w:sz w:val="18"/>
                <w:szCs w:val="18"/>
              </w:rPr>
            </w:pPr>
          </w:p>
        </w:tc>
        <w:tc>
          <w:tcPr>
            <w:tcW w:w="1275" w:type="dxa"/>
            <w:vAlign w:val="center"/>
          </w:tcPr>
          <w:p w14:paraId="18E01CCD">
            <w:pPr>
              <w:widowControl/>
              <w:jc w:val="center"/>
              <w:rPr>
                <w:color w:val="000000"/>
                <w:kern w:val="0"/>
                <w:sz w:val="18"/>
                <w:szCs w:val="18"/>
              </w:rPr>
            </w:pPr>
          </w:p>
        </w:tc>
        <w:tc>
          <w:tcPr>
            <w:tcW w:w="1843" w:type="dxa"/>
            <w:vAlign w:val="center"/>
          </w:tcPr>
          <w:p w14:paraId="68BDA4AF">
            <w:pPr>
              <w:widowControl/>
              <w:jc w:val="center"/>
              <w:rPr>
                <w:color w:val="000000"/>
                <w:kern w:val="0"/>
                <w:sz w:val="18"/>
                <w:szCs w:val="18"/>
              </w:rPr>
            </w:pPr>
          </w:p>
        </w:tc>
        <w:tc>
          <w:tcPr>
            <w:tcW w:w="1418" w:type="dxa"/>
            <w:tcBorders>
              <w:right w:val="single" w:color="auto" w:sz="4" w:space="0"/>
            </w:tcBorders>
            <w:vAlign w:val="center"/>
          </w:tcPr>
          <w:p w14:paraId="4E63C0F7">
            <w:pPr>
              <w:widowControl/>
              <w:jc w:val="left"/>
              <w:rPr>
                <w:color w:val="000000"/>
                <w:kern w:val="0"/>
                <w:sz w:val="18"/>
                <w:szCs w:val="18"/>
              </w:rPr>
            </w:pPr>
          </w:p>
        </w:tc>
        <w:tc>
          <w:tcPr>
            <w:tcW w:w="1559" w:type="dxa"/>
            <w:tcBorders>
              <w:left w:val="single" w:color="auto" w:sz="4" w:space="0"/>
            </w:tcBorders>
            <w:vAlign w:val="center"/>
          </w:tcPr>
          <w:p w14:paraId="63EE9314">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528D4DD1">
            <w:pPr>
              <w:widowControl/>
              <w:jc w:val="center"/>
              <w:rPr>
                <w:color w:val="000000"/>
                <w:kern w:val="0"/>
                <w:sz w:val="18"/>
                <w:szCs w:val="18"/>
              </w:rPr>
            </w:pPr>
          </w:p>
        </w:tc>
        <w:tc>
          <w:tcPr>
            <w:tcW w:w="1204" w:type="dxa"/>
            <w:tcBorders>
              <w:left w:val="single" w:color="auto" w:sz="4" w:space="0"/>
            </w:tcBorders>
            <w:vAlign w:val="center"/>
          </w:tcPr>
          <w:p w14:paraId="11EF25D1">
            <w:pPr>
              <w:widowControl/>
              <w:jc w:val="center"/>
              <w:rPr>
                <w:color w:val="000000"/>
                <w:kern w:val="0"/>
                <w:sz w:val="18"/>
                <w:szCs w:val="18"/>
              </w:rPr>
            </w:pPr>
          </w:p>
        </w:tc>
      </w:tr>
      <w:tr w14:paraId="4CD129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42D2E93C">
            <w:pPr>
              <w:widowControl/>
              <w:jc w:val="center"/>
              <w:rPr>
                <w:color w:val="000000"/>
                <w:kern w:val="0"/>
                <w:sz w:val="18"/>
                <w:szCs w:val="18"/>
              </w:rPr>
            </w:pPr>
            <w:r>
              <w:rPr>
                <w:rFonts w:hint="eastAsia"/>
                <w:color w:val="000000"/>
                <w:kern w:val="0"/>
                <w:sz w:val="18"/>
                <w:szCs w:val="18"/>
              </w:rPr>
              <w:t>2</w:t>
            </w:r>
          </w:p>
        </w:tc>
        <w:tc>
          <w:tcPr>
            <w:tcW w:w="1135" w:type="dxa"/>
            <w:vAlign w:val="center"/>
          </w:tcPr>
          <w:p w14:paraId="304A7645">
            <w:pPr>
              <w:widowControl/>
              <w:jc w:val="left"/>
              <w:rPr>
                <w:color w:val="000000"/>
                <w:kern w:val="0"/>
                <w:sz w:val="18"/>
                <w:szCs w:val="18"/>
              </w:rPr>
            </w:pPr>
          </w:p>
        </w:tc>
        <w:tc>
          <w:tcPr>
            <w:tcW w:w="1275" w:type="dxa"/>
            <w:vAlign w:val="center"/>
          </w:tcPr>
          <w:p w14:paraId="33A7F5E1">
            <w:pPr>
              <w:widowControl/>
              <w:jc w:val="center"/>
              <w:rPr>
                <w:color w:val="000000"/>
                <w:kern w:val="0"/>
                <w:sz w:val="18"/>
                <w:szCs w:val="18"/>
              </w:rPr>
            </w:pPr>
          </w:p>
        </w:tc>
        <w:tc>
          <w:tcPr>
            <w:tcW w:w="1843" w:type="dxa"/>
            <w:vAlign w:val="center"/>
          </w:tcPr>
          <w:p w14:paraId="4D909726">
            <w:pPr>
              <w:widowControl/>
              <w:jc w:val="center"/>
              <w:rPr>
                <w:color w:val="000000"/>
                <w:kern w:val="0"/>
                <w:sz w:val="18"/>
                <w:szCs w:val="18"/>
              </w:rPr>
            </w:pPr>
          </w:p>
        </w:tc>
        <w:tc>
          <w:tcPr>
            <w:tcW w:w="1418" w:type="dxa"/>
            <w:tcBorders>
              <w:right w:val="single" w:color="auto" w:sz="4" w:space="0"/>
            </w:tcBorders>
            <w:vAlign w:val="center"/>
          </w:tcPr>
          <w:p w14:paraId="3F03618D">
            <w:pPr>
              <w:widowControl/>
              <w:jc w:val="left"/>
              <w:rPr>
                <w:color w:val="000000"/>
                <w:kern w:val="0"/>
                <w:sz w:val="18"/>
                <w:szCs w:val="18"/>
              </w:rPr>
            </w:pPr>
          </w:p>
        </w:tc>
        <w:tc>
          <w:tcPr>
            <w:tcW w:w="1559" w:type="dxa"/>
            <w:tcBorders>
              <w:left w:val="single" w:color="auto" w:sz="4" w:space="0"/>
            </w:tcBorders>
            <w:vAlign w:val="center"/>
          </w:tcPr>
          <w:p w14:paraId="7FC22267">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55AED4DC">
            <w:pPr>
              <w:widowControl/>
              <w:jc w:val="center"/>
              <w:rPr>
                <w:color w:val="000000"/>
                <w:kern w:val="0"/>
                <w:sz w:val="18"/>
                <w:szCs w:val="18"/>
              </w:rPr>
            </w:pPr>
          </w:p>
        </w:tc>
        <w:tc>
          <w:tcPr>
            <w:tcW w:w="1204" w:type="dxa"/>
            <w:tcBorders>
              <w:left w:val="single" w:color="auto" w:sz="4" w:space="0"/>
            </w:tcBorders>
            <w:vAlign w:val="center"/>
          </w:tcPr>
          <w:p w14:paraId="2F28D71C">
            <w:pPr>
              <w:widowControl/>
              <w:jc w:val="center"/>
              <w:rPr>
                <w:color w:val="000000"/>
                <w:kern w:val="0"/>
                <w:sz w:val="18"/>
                <w:szCs w:val="18"/>
              </w:rPr>
            </w:pPr>
          </w:p>
        </w:tc>
      </w:tr>
      <w:tr w14:paraId="09AF52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0F25CC04">
            <w:pPr>
              <w:widowControl/>
              <w:jc w:val="center"/>
              <w:rPr>
                <w:color w:val="000000"/>
                <w:kern w:val="0"/>
                <w:sz w:val="18"/>
                <w:szCs w:val="18"/>
              </w:rPr>
            </w:pPr>
            <w:r>
              <w:rPr>
                <w:rFonts w:hint="eastAsia"/>
                <w:color w:val="000000"/>
                <w:kern w:val="0"/>
                <w:sz w:val="18"/>
                <w:szCs w:val="18"/>
              </w:rPr>
              <w:t>3</w:t>
            </w:r>
          </w:p>
        </w:tc>
        <w:tc>
          <w:tcPr>
            <w:tcW w:w="1135" w:type="dxa"/>
            <w:vAlign w:val="center"/>
          </w:tcPr>
          <w:p w14:paraId="3810640F">
            <w:pPr>
              <w:widowControl/>
              <w:jc w:val="left"/>
              <w:rPr>
                <w:color w:val="000000"/>
                <w:kern w:val="0"/>
                <w:sz w:val="18"/>
                <w:szCs w:val="18"/>
              </w:rPr>
            </w:pPr>
          </w:p>
        </w:tc>
        <w:tc>
          <w:tcPr>
            <w:tcW w:w="1275" w:type="dxa"/>
            <w:vAlign w:val="center"/>
          </w:tcPr>
          <w:p w14:paraId="67DB6C89">
            <w:pPr>
              <w:widowControl/>
              <w:jc w:val="center"/>
              <w:rPr>
                <w:color w:val="000000"/>
                <w:kern w:val="0"/>
                <w:sz w:val="18"/>
                <w:szCs w:val="18"/>
              </w:rPr>
            </w:pPr>
          </w:p>
        </w:tc>
        <w:tc>
          <w:tcPr>
            <w:tcW w:w="1843" w:type="dxa"/>
            <w:vAlign w:val="center"/>
          </w:tcPr>
          <w:p w14:paraId="67DFC2D9">
            <w:pPr>
              <w:widowControl/>
              <w:jc w:val="center"/>
              <w:rPr>
                <w:color w:val="000000"/>
                <w:kern w:val="0"/>
                <w:sz w:val="18"/>
                <w:szCs w:val="18"/>
              </w:rPr>
            </w:pPr>
          </w:p>
        </w:tc>
        <w:tc>
          <w:tcPr>
            <w:tcW w:w="1418" w:type="dxa"/>
            <w:tcBorders>
              <w:right w:val="single" w:color="auto" w:sz="4" w:space="0"/>
            </w:tcBorders>
            <w:vAlign w:val="center"/>
          </w:tcPr>
          <w:p w14:paraId="0E42DB12">
            <w:pPr>
              <w:widowControl/>
              <w:jc w:val="left"/>
              <w:rPr>
                <w:color w:val="000000"/>
                <w:kern w:val="0"/>
                <w:sz w:val="18"/>
                <w:szCs w:val="18"/>
              </w:rPr>
            </w:pPr>
          </w:p>
        </w:tc>
        <w:tc>
          <w:tcPr>
            <w:tcW w:w="1559" w:type="dxa"/>
            <w:tcBorders>
              <w:left w:val="single" w:color="auto" w:sz="4" w:space="0"/>
            </w:tcBorders>
            <w:vAlign w:val="center"/>
          </w:tcPr>
          <w:p w14:paraId="35DB0C05">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2F68E46C">
            <w:pPr>
              <w:widowControl/>
              <w:jc w:val="center"/>
              <w:rPr>
                <w:color w:val="000000"/>
                <w:kern w:val="0"/>
                <w:sz w:val="18"/>
                <w:szCs w:val="18"/>
              </w:rPr>
            </w:pPr>
          </w:p>
        </w:tc>
        <w:tc>
          <w:tcPr>
            <w:tcW w:w="1204" w:type="dxa"/>
            <w:tcBorders>
              <w:left w:val="single" w:color="auto" w:sz="4" w:space="0"/>
            </w:tcBorders>
            <w:vAlign w:val="center"/>
          </w:tcPr>
          <w:p w14:paraId="660FDD72">
            <w:pPr>
              <w:widowControl/>
              <w:jc w:val="center"/>
              <w:rPr>
                <w:color w:val="000000"/>
                <w:kern w:val="0"/>
                <w:sz w:val="18"/>
                <w:szCs w:val="18"/>
              </w:rPr>
            </w:pPr>
          </w:p>
        </w:tc>
      </w:tr>
      <w:tr w14:paraId="075C92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260D393F">
            <w:pPr>
              <w:widowControl/>
              <w:jc w:val="center"/>
              <w:rPr>
                <w:color w:val="000000"/>
                <w:kern w:val="0"/>
                <w:sz w:val="18"/>
                <w:szCs w:val="18"/>
              </w:rPr>
            </w:pPr>
            <w:r>
              <w:rPr>
                <w:rFonts w:hint="eastAsia"/>
                <w:color w:val="000000"/>
                <w:kern w:val="0"/>
                <w:sz w:val="18"/>
                <w:szCs w:val="18"/>
              </w:rPr>
              <w:t>4</w:t>
            </w:r>
          </w:p>
        </w:tc>
        <w:tc>
          <w:tcPr>
            <w:tcW w:w="1135" w:type="dxa"/>
            <w:vAlign w:val="center"/>
          </w:tcPr>
          <w:p w14:paraId="6459F5FC">
            <w:pPr>
              <w:widowControl/>
              <w:jc w:val="left"/>
              <w:rPr>
                <w:color w:val="000000"/>
                <w:kern w:val="0"/>
                <w:sz w:val="18"/>
                <w:szCs w:val="18"/>
              </w:rPr>
            </w:pPr>
          </w:p>
        </w:tc>
        <w:tc>
          <w:tcPr>
            <w:tcW w:w="1275" w:type="dxa"/>
            <w:vAlign w:val="center"/>
          </w:tcPr>
          <w:p w14:paraId="6A3EA50D">
            <w:pPr>
              <w:widowControl/>
              <w:jc w:val="center"/>
              <w:rPr>
                <w:color w:val="000000"/>
                <w:kern w:val="0"/>
                <w:sz w:val="18"/>
                <w:szCs w:val="18"/>
              </w:rPr>
            </w:pPr>
          </w:p>
        </w:tc>
        <w:tc>
          <w:tcPr>
            <w:tcW w:w="1843" w:type="dxa"/>
            <w:vAlign w:val="center"/>
          </w:tcPr>
          <w:p w14:paraId="004EE222">
            <w:pPr>
              <w:widowControl/>
              <w:jc w:val="center"/>
              <w:rPr>
                <w:color w:val="000000"/>
                <w:kern w:val="0"/>
                <w:sz w:val="18"/>
                <w:szCs w:val="18"/>
              </w:rPr>
            </w:pPr>
          </w:p>
        </w:tc>
        <w:tc>
          <w:tcPr>
            <w:tcW w:w="1418" w:type="dxa"/>
            <w:tcBorders>
              <w:right w:val="single" w:color="auto" w:sz="4" w:space="0"/>
            </w:tcBorders>
            <w:vAlign w:val="center"/>
          </w:tcPr>
          <w:p w14:paraId="6D45CFDF">
            <w:pPr>
              <w:widowControl/>
              <w:jc w:val="left"/>
              <w:rPr>
                <w:color w:val="000000"/>
                <w:kern w:val="0"/>
                <w:sz w:val="18"/>
                <w:szCs w:val="18"/>
              </w:rPr>
            </w:pPr>
          </w:p>
        </w:tc>
        <w:tc>
          <w:tcPr>
            <w:tcW w:w="1559" w:type="dxa"/>
            <w:tcBorders>
              <w:left w:val="single" w:color="auto" w:sz="4" w:space="0"/>
            </w:tcBorders>
            <w:vAlign w:val="center"/>
          </w:tcPr>
          <w:p w14:paraId="2A448D95">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22F860D3">
            <w:pPr>
              <w:widowControl/>
              <w:jc w:val="center"/>
              <w:rPr>
                <w:color w:val="000000"/>
                <w:kern w:val="0"/>
                <w:sz w:val="18"/>
                <w:szCs w:val="18"/>
              </w:rPr>
            </w:pPr>
          </w:p>
        </w:tc>
        <w:tc>
          <w:tcPr>
            <w:tcW w:w="1204" w:type="dxa"/>
            <w:tcBorders>
              <w:left w:val="single" w:color="auto" w:sz="4" w:space="0"/>
            </w:tcBorders>
            <w:vAlign w:val="center"/>
          </w:tcPr>
          <w:p w14:paraId="2DA7545F">
            <w:pPr>
              <w:widowControl/>
              <w:jc w:val="center"/>
              <w:rPr>
                <w:color w:val="000000"/>
                <w:kern w:val="0"/>
                <w:sz w:val="18"/>
                <w:szCs w:val="18"/>
              </w:rPr>
            </w:pPr>
          </w:p>
        </w:tc>
      </w:tr>
      <w:tr w14:paraId="6CBFFA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632" w:type="dxa"/>
            <w:gridSpan w:val="2"/>
            <w:vAlign w:val="center"/>
          </w:tcPr>
          <w:p w14:paraId="056F4DD2">
            <w:pPr>
              <w:widowControl/>
              <w:jc w:val="center"/>
              <w:rPr>
                <w:b/>
                <w:color w:val="000000"/>
                <w:kern w:val="0"/>
                <w:sz w:val="18"/>
                <w:szCs w:val="18"/>
              </w:rPr>
            </w:pPr>
            <w:r>
              <w:rPr>
                <w:rFonts w:hint="eastAsia"/>
                <w:b/>
                <w:color w:val="000000"/>
                <w:kern w:val="0"/>
                <w:sz w:val="18"/>
                <w:szCs w:val="18"/>
              </w:rPr>
              <w:t>总价：</w:t>
            </w:r>
          </w:p>
        </w:tc>
        <w:tc>
          <w:tcPr>
            <w:tcW w:w="8433" w:type="dxa"/>
            <w:gridSpan w:val="6"/>
            <w:vAlign w:val="center"/>
          </w:tcPr>
          <w:p w14:paraId="1A092AE9">
            <w:pPr>
              <w:widowControl/>
              <w:jc w:val="center"/>
              <w:rPr>
                <w:b/>
                <w:color w:val="000000"/>
                <w:kern w:val="0"/>
                <w:sz w:val="18"/>
                <w:szCs w:val="18"/>
              </w:rPr>
            </w:pPr>
          </w:p>
        </w:tc>
      </w:tr>
    </w:tbl>
    <w:p w14:paraId="1BF109CD">
      <w:pPr>
        <w:jc w:val="center"/>
        <w:rPr>
          <w:b/>
          <w:color w:val="000000" w:themeColor="text1"/>
          <w:sz w:val="36"/>
          <w:szCs w:val="36"/>
          <w14:textFill>
            <w14:solidFill>
              <w14:schemeClr w14:val="tx1"/>
            </w14:solidFill>
          </w14:textFill>
        </w:rPr>
      </w:pPr>
      <w:r>
        <w:rPr>
          <w:rFonts w:hint="eastAsia" w:ascii="仿宋" w:hAnsi="仿宋" w:eastAsia="仿宋"/>
          <w:sz w:val="24"/>
        </w:rPr>
        <w:br w:type="page"/>
      </w:r>
      <w:bookmarkEnd w:id="18"/>
      <w:bookmarkStart w:id="58" w:name="_Toc18088"/>
      <w:r>
        <w:rPr>
          <w:rFonts w:hint="eastAsia" w:eastAsia="黑体"/>
          <w:b/>
          <w:bCs/>
          <w:color w:val="000000" w:themeColor="text1"/>
          <w:kern w:val="44"/>
          <w:sz w:val="36"/>
          <w:szCs w:val="36"/>
          <w14:textFill>
            <w14:solidFill>
              <w14:schemeClr w14:val="tx1"/>
            </w14:solidFill>
          </w14:textFill>
        </w:rPr>
        <w:t>第五章技术需求书</w:t>
      </w:r>
      <w:bookmarkEnd w:id="58"/>
    </w:p>
    <w:p w14:paraId="0911C422">
      <w:pPr>
        <w:spacing w:line="360" w:lineRule="auto"/>
        <w:ind w:firstLine="482" w:firstLineChars="200"/>
        <w:rPr>
          <w:rFonts w:hint="eastAsia" w:ascii="宋体" w:hAnsi="宋体"/>
          <w:b/>
          <w:color w:val="000000"/>
          <w:sz w:val="24"/>
          <w:szCs w:val="21"/>
        </w:rPr>
      </w:pPr>
      <w:bookmarkStart w:id="59" w:name="_Toc9828"/>
      <w:r>
        <w:rPr>
          <w:rFonts w:hint="eastAsia" w:ascii="宋体" w:hAnsi="宋体"/>
          <w:b/>
          <w:color w:val="000000"/>
          <w:sz w:val="24"/>
          <w:szCs w:val="21"/>
        </w:rPr>
        <w:t>说明：</w:t>
      </w:r>
    </w:p>
    <w:p w14:paraId="099E0AD8">
      <w:pPr>
        <w:spacing w:line="360" w:lineRule="auto"/>
        <w:ind w:firstLine="480" w:firstLineChars="200"/>
        <w:rPr>
          <w:rFonts w:hint="eastAsia" w:ascii="宋体" w:hAnsi="宋体"/>
          <w:color w:val="000000"/>
          <w:sz w:val="24"/>
          <w:szCs w:val="21"/>
        </w:rPr>
      </w:pPr>
      <w:r>
        <w:rPr>
          <w:rFonts w:ascii="宋体" w:hAnsi="宋体"/>
          <w:color w:val="000000"/>
          <w:sz w:val="24"/>
          <w:szCs w:val="21"/>
        </w:rPr>
        <w:t>1、供应商须对照本《技术需求书》，依据供应商本身产品说明书及样本，逐条说明所提供货物和服务已对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谈判文件技术要求或简单标注“符合”“满足”的响应文件将可能导致废标。</w:t>
      </w:r>
      <w:r>
        <w:rPr>
          <w:rFonts w:ascii="宋体" w:hAnsi="宋体"/>
          <w:color w:val="000000"/>
          <w:kern w:val="0"/>
          <w:sz w:val="24"/>
          <w:szCs w:val="21"/>
        </w:rPr>
        <w:t>中标后中标人在合同</w:t>
      </w:r>
      <w:r>
        <w:rPr>
          <w:rFonts w:hint="eastAsia" w:ascii="宋体" w:hAnsi="宋体"/>
          <w:color w:val="000000"/>
          <w:kern w:val="0"/>
          <w:sz w:val="24"/>
          <w:szCs w:val="21"/>
        </w:rPr>
        <w:t>签订</w:t>
      </w:r>
      <w:r>
        <w:rPr>
          <w:rFonts w:ascii="宋体" w:hAnsi="宋体"/>
          <w:color w:val="000000"/>
          <w:kern w:val="0"/>
          <w:sz w:val="24"/>
          <w:szCs w:val="21"/>
        </w:rPr>
        <w:t>中的任何偏差都不得超越</w:t>
      </w:r>
      <w:r>
        <w:rPr>
          <w:rFonts w:hint="eastAsia" w:ascii="宋体" w:hAnsi="宋体"/>
          <w:color w:val="000000"/>
          <w:kern w:val="0"/>
          <w:sz w:val="24"/>
          <w:szCs w:val="21"/>
        </w:rPr>
        <w:t>技术</w:t>
      </w:r>
      <w:r>
        <w:rPr>
          <w:rFonts w:ascii="宋体" w:hAnsi="宋体"/>
          <w:color w:val="000000"/>
          <w:kern w:val="0"/>
          <w:sz w:val="24"/>
          <w:szCs w:val="21"/>
        </w:rPr>
        <w:t>偏</w:t>
      </w:r>
      <w:r>
        <w:rPr>
          <w:rFonts w:hint="eastAsia" w:ascii="宋体" w:hAnsi="宋体"/>
          <w:color w:val="000000"/>
          <w:kern w:val="0"/>
          <w:sz w:val="24"/>
          <w:szCs w:val="21"/>
        </w:rPr>
        <w:t>离</w:t>
      </w:r>
      <w:r>
        <w:rPr>
          <w:rFonts w:ascii="宋体" w:hAnsi="宋体"/>
          <w:color w:val="000000"/>
          <w:kern w:val="0"/>
          <w:sz w:val="24"/>
          <w:szCs w:val="21"/>
        </w:rPr>
        <w:t>表中已被采购人确认的条款。</w:t>
      </w:r>
    </w:p>
    <w:p w14:paraId="0F12C6AE">
      <w:pPr>
        <w:spacing w:line="360" w:lineRule="auto"/>
        <w:ind w:firstLine="480" w:firstLineChars="200"/>
        <w:rPr>
          <w:rFonts w:hint="eastAsia" w:ascii="宋体" w:hAnsi="宋体"/>
          <w:color w:val="000000"/>
          <w:sz w:val="24"/>
          <w:szCs w:val="21"/>
        </w:rPr>
      </w:pPr>
      <w:r>
        <w:rPr>
          <w:rFonts w:ascii="宋体" w:hAnsi="宋体"/>
          <w:color w:val="000000"/>
          <w:sz w:val="24"/>
          <w:szCs w:val="21"/>
        </w:rPr>
        <w:t>2、谈判文件技术要求中所描述的内容为本项目的基本技术要求，不应作为完整的详细要求。</w:t>
      </w:r>
      <w:r>
        <w:rPr>
          <w:rFonts w:hint="eastAsia" w:ascii="宋体" w:hAnsi="宋体"/>
          <w:color w:val="000000"/>
          <w:sz w:val="24"/>
          <w:szCs w:val="21"/>
        </w:rPr>
        <w:t>对于为满足正常运行所需的设备材料的供应、安装、调试、验收及质量保证的内容请供应商自行考虑。</w:t>
      </w:r>
      <w:r>
        <w:rPr>
          <w:rFonts w:ascii="宋体" w:hAnsi="宋体"/>
          <w:color w:val="000000"/>
          <w:sz w:val="24"/>
          <w:szCs w:val="21"/>
        </w:rPr>
        <w:t>中标人应满足本技术</w:t>
      </w:r>
      <w:r>
        <w:rPr>
          <w:rFonts w:hint="eastAsia" w:ascii="宋体" w:hAnsi="宋体"/>
          <w:color w:val="000000"/>
          <w:sz w:val="24"/>
          <w:szCs w:val="21"/>
        </w:rPr>
        <w:t>需求书</w:t>
      </w:r>
      <w:r>
        <w:rPr>
          <w:rFonts w:ascii="宋体" w:hAnsi="宋体"/>
          <w:color w:val="000000"/>
          <w:sz w:val="24"/>
          <w:szCs w:val="21"/>
        </w:rPr>
        <w:t>中未描述的，但为保证设备能正常有效运行所需要的其它要求和所需的设备与附件。</w:t>
      </w:r>
    </w:p>
    <w:p w14:paraId="5E5CBC41">
      <w:pPr>
        <w:spacing w:line="360" w:lineRule="auto"/>
        <w:ind w:firstLine="480" w:firstLineChars="200"/>
        <w:rPr>
          <w:rFonts w:hint="eastAsia" w:ascii="宋体" w:hAnsi="宋体"/>
          <w:color w:val="000000"/>
          <w:sz w:val="24"/>
          <w:szCs w:val="21"/>
        </w:rPr>
      </w:pPr>
      <w:r>
        <w:rPr>
          <w:rFonts w:ascii="宋体" w:hAnsi="宋体"/>
          <w:color w:val="000000"/>
          <w:sz w:val="24"/>
          <w:szCs w:val="21"/>
        </w:rPr>
        <w:t>3、技术需求书中带</w:t>
      </w:r>
      <w:r>
        <w:rPr>
          <w:rFonts w:hint="eastAsia" w:ascii="宋体" w:hAnsi="宋体"/>
          <w:color w:val="000000"/>
          <w:sz w:val="24"/>
          <w:szCs w:val="21"/>
        </w:rPr>
        <w:t>“</w:t>
      </w:r>
      <w:r>
        <w:rPr>
          <w:rFonts w:hint="eastAsia"/>
          <w:sz w:val="24"/>
          <w:szCs w:val="21"/>
        </w:rPr>
        <w:t>★</w:t>
      </w:r>
      <w:r>
        <w:rPr>
          <w:rFonts w:hint="eastAsia" w:ascii="宋体" w:hAnsi="宋体"/>
          <w:color w:val="000000"/>
          <w:sz w:val="24"/>
          <w:szCs w:val="21"/>
        </w:rPr>
        <w:t>”部分为</w:t>
      </w:r>
      <w:r>
        <w:rPr>
          <w:rFonts w:ascii="宋体" w:hAnsi="宋体"/>
          <w:color w:val="000000"/>
          <w:sz w:val="24"/>
          <w:szCs w:val="21"/>
        </w:rPr>
        <w:t>必须保证满足要求</w:t>
      </w:r>
      <w:r>
        <w:rPr>
          <w:rFonts w:hint="eastAsia" w:ascii="宋体" w:hAnsi="宋体"/>
          <w:color w:val="000000"/>
          <w:sz w:val="24"/>
          <w:szCs w:val="21"/>
        </w:rPr>
        <w:t>的条款。</w:t>
      </w:r>
    </w:p>
    <w:p w14:paraId="26AEE88D">
      <w:pPr>
        <w:spacing w:line="360" w:lineRule="auto"/>
        <w:ind w:firstLine="480" w:firstLineChars="200"/>
        <w:rPr>
          <w:rFonts w:hint="eastAsia" w:ascii="宋体" w:hAnsi="宋体"/>
          <w:sz w:val="24"/>
          <w:szCs w:val="21"/>
        </w:rPr>
      </w:pPr>
      <w:r>
        <w:rPr>
          <w:rFonts w:ascii="宋体" w:hAnsi="宋体"/>
          <w:color w:val="000000"/>
          <w:sz w:val="24"/>
          <w:szCs w:val="21"/>
        </w:rPr>
        <w:t>4、</w:t>
      </w:r>
      <w:r>
        <w:rPr>
          <w:rFonts w:ascii="宋体" w:hAnsi="宋体"/>
          <w:sz w:val="24"/>
          <w:szCs w:val="21"/>
        </w:rPr>
        <w:t>在响应文件中必须包括对第五章《技术需求书》的逐项应答，逐项应答必须按照技术偏离表格式，对照谈判文件技术规格、参数与要求，依据供应商本身产品、服务，如实逐条说明所提供货物及/或服务已对谈判文件的技术规格、参数与要求做出了实质性的响应，或申明与技术规格、参数与要求条文的偏差和例外。技术偏离表填报的内容必须与</w:t>
      </w:r>
      <w:r>
        <w:rPr>
          <w:rFonts w:hint="eastAsia" w:ascii="宋体" w:hAnsi="宋体"/>
          <w:sz w:val="24"/>
          <w:szCs w:val="21"/>
        </w:rPr>
        <w:t>开标</w:t>
      </w:r>
      <w:r>
        <w:rPr>
          <w:rFonts w:ascii="宋体" w:hAnsi="宋体"/>
          <w:sz w:val="24"/>
          <w:szCs w:val="21"/>
        </w:rPr>
        <w:t>一览表和分项报价表一致。对于可以用量化形式表示的条款，供应商必须明确回答，或以功能描述回答。</w:t>
      </w:r>
    </w:p>
    <w:p w14:paraId="1F1C2205">
      <w:pPr>
        <w:spacing w:line="360" w:lineRule="auto"/>
        <w:outlineLvl w:val="1"/>
        <w:rPr>
          <w:b/>
          <w:sz w:val="24"/>
        </w:rPr>
      </w:pPr>
      <w:r>
        <w:rPr>
          <w:rFonts w:eastAsia="黑体"/>
          <w:b/>
          <w:sz w:val="37"/>
          <w:szCs w:val="37"/>
        </w:rPr>
        <w:br w:type="page"/>
      </w:r>
      <w:bookmarkStart w:id="60" w:name="_Toc31481"/>
      <w:r>
        <w:rPr>
          <w:rFonts w:hint="eastAsia"/>
          <w:b/>
          <w:sz w:val="24"/>
        </w:rPr>
        <w:t>一、综述</w:t>
      </w:r>
      <w:bookmarkEnd w:id="60"/>
    </w:p>
    <w:p w14:paraId="1551E785">
      <w:pPr>
        <w:spacing w:line="360" w:lineRule="auto"/>
        <w:outlineLvl w:val="2"/>
        <w:rPr>
          <w:sz w:val="24"/>
        </w:rPr>
      </w:pPr>
      <w:bookmarkStart w:id="61" w:name="_Toc29754"/>
      <w:r>
        <w:rPr>
          <w:sz w:val="24"/>
        </w:rPr>
        <w:t xml:space="preserve">1.1 </w:t>
      </w:r>
      <w:r>
        <w:rPr>
          <w:rFonts w:hint="eastAsia"/>
          <w:sz w:val="24"/>
        </w:rPr>
        <w:t>说明</w:t>
      </w:r>
      <w:bookmarkEnd w:id="61"/>
    </w:p>
    <w:p w14:paraId="022B9AA8">
      <w:pPr>
        <w:spacing w:line="360" w:lineRule="auto"/>
        <w:rPr>
          <w:color w:val="262626"/>
          <w:sz w:val="24"/>
        </w:rPr>
      </w:pPr>
      <w:r>
        <w:rPr>
          <w:color w:val="262626"/>
          <w:sz w:val="24"/>
        </w:rPr>
        <w:t>1.1.1</w:t>
      </w:r>
      <w:r>
        <w:rPr>
          <w:color w:val="262626"/>
          <w:sz w:val="24"/>
        </w:rPr>
        <w:tab/>
      </w:r>
      <w:r>
        <w:rPr>
          <w:rFonts w:hint="eastAsia"/>
          <w:color w:val="262626"/>
          <w:sz w:val="24"/>
        </w:rPr>
        <w:t>本技术需求书为</w:t>
      </w:r>
      <w:r>
        <w:rPr>
          <w:rFonts w:hint="eastAsia"/>
          <w:bCs/>
          <w:sz w:val="24"/>
          <w:szCs w:val="21"/>
          <w:u w:val="single"/>
        </w:rPr>
        <w:t>防火墙</w:t>
      </w:r>
      <w:r>
        <w:rPr>
          <w:rFonts w:hint="eastAsia"/>
          <w:bCs/>
          <w:color w:val="262626"/>
          <w:sz w:val="24"/>
          <w:szCs w:val="21"/>
          <w:u w:val="single"/>
        </w:rPr>
        <w:t>采购</w:t>
      </w:r>
      <w:r>
        <w:rPr>
          <w:rFonts w:hint="eastAsia"/>
          <w:color w:val="262626"/>
          <w:sz w:val="24"/>
        </w:rPr>
        <w:t>中硬件设备的主要技术要求和供货要求，响应文件的技术部分内容格式应符合本技术需求书的要求，供应商提供的各项设备及系统的功能和性能应完全符合本技术需求书中指明的标准，并满足或高于技术需求书中提出的技术指标要求。</w:t>
      </w:r>
    </w:p>
    <w:p w14:paraId="5DD8E17E">
      <w:pPr>
        <w:spacing w:line="360" w:lineRule="auto"/>
        <w:rPr>
          <w:color w:val="262626"/>
          <w:sz w:val="24"/>
        </w:rPr>
      </w:pPr>
      <w:r>
        <w:rPr>
          <w:color w:val="262626"/>
          <w:sz w:val="24"/>
        </w:rPr>
        <w:t>1.1.2</w:t>
      </w:r>
      <w:r>
        <w:rPr>
          <w:color w:val="262626"/>
          <w:sz w:val="24"/>
        </w:rPr>
        <w:tab/>
      </w:r>
      <w:r>
        <w:rPr>
          <w:rFonts w:hint="eastAsia"/>
          <w:color w:val="262626"/>
          <w:sz w:val="24"/>
        </w:rPr>
        <w:t>供应商应根据本技术需求书的要求，基于自己的产品和技术提供具体、完整的配置方案。供应商在响应文件中给出的设备硬件和软件配置，必须保证响应文件中各项性能和功能承诺指标的实现。设备在各种承诺业务功能同时启用时，不应影响设备性能和稳定性。</w:t>
      </w:r>
    </w:p>
    <w:p w14:paraId="644F7D09">
      <w:pPr>
        <w:spacing w:line="360" w:lineRule="auto"/>
        <w:rPr>
          <w:color w:val="262626"/>
          <w:sz w:val="24"/>
        </w:rPr>
      </w:pPr>
      <w:r>
        <w:rPr>
          <w:color w:val="262626"/>
          <w:sz w:val="24"/>
        </w:rPr>
        <w:t>1.1.3</w:t>
      </w:r>
      <w:r>
        <w:rPr>
          <w:color w:val="262626"/>
          <w:sz w:val="24"/>
        </w:rPr>
        <w:tab/>
      </w:r>
      <w:r>
        <w:rPr>
          <w:rFonts w:hint="eastAsia"/>
          <w:color w:val="262626"/>
          <w:sz w:val="24"/>
        </w:rPr>
        <w:t>供应商应提供所响应的各产品型号的推出时间。供应商所投设备应是制造商新推出的产品型号，供应商应保证本次响应的产品在</w:t>
      </w:r>
      <w:r>
        <w:rPr>
          <w:color w:val="262626"/>
          <w:sz w:val="24"/>
        </w:rPr>
        <w:t>5</w:t>
      </w:r>
      <w:r>
        <w:rPr>
          <w:rFonts w:hint="eastAsia"/>
          <w:color w:val="262626"/>
          <w:sz w:val="24"/>
        </w:rPr>
        <w:t>年内不会因制造商的技术路线调整、技术升级等原因导致停产及不再销售。</w:t>
      </w:r>
    </w:p>
    <w:p w14:paraId="587CA014">
      <w:pPr>
        <w:spacing w:line="360" w:lineRule="auto"/>
        <w:rPr>
          <w:color w:val="262626"/>
          <w:sz w:val="24"/>
        </w:rPr>
      </w:pPr>
      <w:r>
        <w:rPr>
          <w:color w:val="262626"/>
          <w:sz w:val="24"/>
        </w:rPr>
        <w:t>1.1.4</w:t>
      </w:r>
      <w:r>
        <w:rPr>
          <w:color w:val="262626"/>
          <w:sz w:val="24"/>
        </w:rPr>
        <w:tab/>
      </w:r>
      <w:r>
        <w:rPr>
          <w:rFonts w:hint="eastAsia"/>
          <w:color w:val="262626"/>
          <w:sz w:val="24"/>
        </w:rPr>
        <w:t>本技术需求书应视为保证网络运行所需的最低要求。如有遗漏，供应商应予以补充，否则一旦中标将认为供应商认同遗漏部分并免费提供。</w:t>
      </w:r>
    </w:p>
    <w:p w14:paraId="401608FD">
      <w:pPr>
        <w:spacing w:line="360" w:lineRule="auto"/>
        <w:rPr>
          <w:color w:val="262626"/>
          <w:sz w:val="24"/>
        </w:rPr>
      </w:pPr>
      <w:r>
        <w:rPr>
          <w:color w:val="262626"/>
          <w:sz w:val="24"/>
        </w:rPr>
        <w:t>1.1.5</w:t>
      </w:r>
      <w:r>
        <w:rPr>
          <w:color w:val="262626"/>
          <w:sz w:val="24"/>
        </w:rPr>
        <w:tab/>
      </w:r>
      <w:r>
        <w:rPr>
          <w:rFonts w:hint="eastAsia"/>
          <w:color w:val="262626"/>
          <w:sz w:val="24"/>
        </w:rPr>
        <w:t>供应商若在响应文件中应答“满足”但实际应用中发现不能满足，则供应商应在六周内免费更换满足技术需求书要求的设备（更换设备时所需的一切相关费用，例如运输费、施工费、集成费等由供应商承担），同时承担期间采购人所有损失，采购人保留退货的权力。因此造成采购人计划用其他厂商设备替换该设备的，供应商必须负责替换设备所需的一切费用（包括但不限于运输费、施工费、集成费等），并且期间采购人所有损失由供应商承担；同时采购人保留限制供应商参加后期采购的权力。</w:t>
      </w:r>
    </w:p>
    <w:p w14:paraId="2863B711">
      <w:pPr>
        <w:spacing w:line="360" w:lineRule="auto"/>
        <w:rPr>
          <w:color w:val="262626"/>
          <w:sz w:val="24"/>
        </w:rPr>
      </w:pPr>
      <w:r>
        <w:rPr>
          <w:color w:val="262626"/>
          <w:sz w:val="24"/>
        </w:rPr>
        <w:t>1.1.6</w:t>
      </w:r>
      <w:r>
        <w:rPr>
          <w:color w:val="262626"/>
          <w:sz w:val="24"/>
        </w:rPr>
        <w:tab/>
      </w:r>
      <w:r>
        <w:rPr>
          <w:rFonts w:hint="eastAsia"/>
          <w:color w:val="262626"/>
          <w:sz w:val="24"/>
        </w:rPr>
        <w:t>供应商不同软件、设备对技术需求书所要求功能和性能支持若有所不同，须逐一说明，否则采购人认为供应商不同软件、设备均支持所要求的功能和性能，若在实际使用中发现与应答有出入，则供应商必须免费更换所有的不满足要求的设备</w:t>
      </w:r>
      <w:r>
        <w:rPr>
          <w:color w:val="262626"/>
          <w:sz w:val="24"/>
        </w:rPr>
        <w:t xml:space="preserve"> (</w:t>
      </w:r>
      <w:r>
        <w:rPr>
          <w:rFonts w:hint="eastAsia"/>
          <w:color w:val="262626"/>
          <w:sz w:val="24"/>
        </w:rPr>
        <w:t>更换设备所需的一切相关费用，例如运输费、施工费、集成费等也由供应商承担</w:t>
      </w:r>
      <w:r>
        <w:rPr>
          <w:color w:val="262626"/>
          <w:sz w:val="24"/>
        </w:rPr>
        <w:t>)</w:t>
      </w:r>
      <w:r>
        <w:rPr>
          <w:rFonts w:hint="eastAsia"/>
          <w:color w:val="262626"/>
          <w:sz w:val="24"/>
        </w:rPr>
        <w:t>，并且期间采购人所有损失由供应商承担。同时采购人保留退货的权力，如果采购人计划用其他厂商设备替换该设备，供应商必须负责替换设备所需的一切费用（包括但不限于运输费、施工费、集成费等），并且期间采购人所有损失由供应商承担；同时采购人保留限制供应商参加后期采购的权力。</w:t>
      </w:r>
    </w:p>
    <w:p w14:paraId="1472C2E6">
      <w:pPr>
        <w:spacing w:line="360" w:lineRule="auto"/>
        <w:rPr>
          <w:color w:val="262626"/>
          <w:sz w:val="24"/>
        </w:rPr>
      </w:pPr>
      <w:r>
        <w:rPr>
          <w:color w:val="262626"/>
          <w:sz w:val="24"/>
        </w:rPr>
        <w:t>1.1.7</w:t>
      </w:r>
      <w:r>
        <w:rPr>
          <w:color w:val="262626"/>
          <w:sz w:val="24"/>
        </w:rPr>
        <w:tab/>
      </w:r>
      <w:r>
        <w:rPr>
          <w:rFonts w:hint="eastAsia"/>
          <w:color w:val="262626"/>
          <w:sz w:val="24"/>
        </w:rPr>
        <w:t>采购人在任何时候都保留和拥有对本技术需求书的解释权。</w:t>
      </w:r>
    </w:p>
    <w:p w14:paraId="11AB9C1E">
      <w:pPr>
        <w:spacing w:line="360" w:lineRule="auto"/>
        <w:outlineLvl w:val="2"/>
        <w:rPr>
          <w:sz w:val="24"/>
        </w:rPr>
      </w:pPr>
      <w:bookmarkStart w:id="62" w:name="_Toc20248"/>
      <w:bookmarkStart w:id="63" w:name="_Hlk74066017"/>
      <w:r>
        <w:rPr>
          <w:sz w:val="24"/>
        </w:rPr>
        <w:t xml:space="preserve">1.2 </w:t>
      </w:r>
      <w:r>
        <w:rPr>
          <w:rFonts w:hint="eastAsia"/>
          <w:sz w:val="24"/>
        </w:rPr>
        <w:t>技术应答要求</w:t>
      </w:r>
      <w:bookmarkEnd w:id="62"/>
    </w:p>
    <w:p w14:paraId="7F90E4F7">
      <w:pPr>
        <w:spacing w:line="360" w:lineRule="auto"/>
        <w:rPr>
          <w:sz w:val="24"/>
        </w:rPr>
      </w:pPr>
      <w:r>
        <w:rPr>
          <w:rFonts w:hint="eastAsia"/>
          <w:sz w:val="24"/>
        </w:rPr>
        <w:t>供应商应按照本技术需求书的要求提供响应文件的技术部分，并包含但不限于以下内容：</w:t>
      </w:r>
    </w:p>
    <w:p w14:paraId="74ACCF2A">
      <w:pPr>
        <w:spacing w:line="360" w:lineRule="auto"/>
        <w:rPr>
          <w:sz w:val="24"/>
        </w:rPr>
      </w:pPr>
      <w:r>
        <w:rPr>
          <w:sz w:val="24"/>
        </w:rPr>
        <w:t xml:space="preserve">1.2.1 </w:t>
      </w:r>
      <w:r>
        <w:rPr>
          <w:rFonts w:hint="eastAsia"/>
          <w:sz w:val="24"/>
        </w:rPr>
        <w:t>综述</w:t>
      </w:r>
    </w:p>
    <w:p w14:paraId="24946CC7">
      <w:pPr>
        <w:spacing w:line="360" w:lineRule="auto"/>
        <w:rPr>
          <w:sz w:val="24"/>
        </w:rPr>
      </w:pPr>
      <w:r>
        <w:rPr>
          <w:rFonts w:hint="eastAsia"/>
          <w:sz w:val="24"/>
        </w:rPr>
        <w:t>包括总体技术方案、产品设计原则、供应商的技术优势、第三方测评等内容。供应商应对其主流商用产品及产品线进行详细介绍和技术说明，说明的设备范围应涵盖所有的响应设备及其所在产品线，并能够完全反映响应设备制造商的主流商用产品概况。</w:t>
      </w:r>
    </w:p>
    <w:p w14:paraId="6D1DE522">
      <w:pPr>
        <w:spacing w:line="360" w:lineRule="auto"/>
        <w:rPr>
          <w:sz w:val="24"/>
        </w:rPr>
      </w:pPr>
      <w:r>
        <w:rPr>
          <w:sz w:val="24"/>
        </w:rPr>
        <w:t xml:space="preserve">1.2.2 </w:t>
      </w:r>
      <w:r>
        <w:rPr>
          <w:rFonts w:hint="eastAsia"/>
          <w:sz w:val="24"/>
        </w:rPr>
        <w:t>供应商所提供的设备</w:t>
      </w:r>
      <w:r>
        <w:rPr>
          <w:sz w:val="24"/>
        </w:rPr>
        <w:t>(</w:t>
      </w:r>
      <w:r>
        <w:rPr>
          <w:rFonts w:hint="eastAsia"/>
          <w:sz w:val="24"/>
        </w:rPr>
        <w:t>包括软、硬件</w:t>
      </w:r>
      <w:r>
        <w:rPr>
          <w:sz w:val="24"/>
        </w:rPr>
        <w:t>)</w:t>
      </w:r>
      <w:r>
        <w:rPr>
          <w:rFonts w:hint="eastAsia"/>
          <w:sz w:val="24"/>
        </w:rPr>
        <w:t>和系统建设方案应符合如下技术标准：</w:t>
      </w:r>
    </w:p>
    <w:p w14:paraId="2EEC3733">
      <w:pPr>
        <w:spacing w:line="360" w:lineRule="auto"/>
        <w:rPr>
          <w:sz w:val="24"/>
        </w:rPr>
      </w:pPr>
      <w:r>
        <w:rPr>
          <w:sz w:val="24"/>
        </w:rPr>
        <w:t>1.2.2.1</w:t>
      </w:r>
      <w:r>
        <w:rPr>
          <w:rFonts w:hint="eastAsia"/>
          <w:sz w:val="24"/>
        </w:rPr>
        <w:t>符合有关国际标准</w:t>
      </w:r>
      <w:r>
        <w:rPr>
          <w:sz w:val="24"/>
        </w:rPr>
        <w:t>(</w:t>
      </w:r>
      <w:r>
        <w:rPr>
          <w:rFonts w:hint="eastAsia"/>
          <w:sz w:val="24"/>
        </w:rPr>
        <w:t>如</w:t>
      </w:r>
      <w:r>
        <w:rPr>
          <w:sz w:val="24"/>
        </w:rPr>
        <w:t>ISO</w:t>
      </w:r>
      <w:r>
        <w:rPr>
          <w:rFonts w:hint="eastAsia"/>
          <w:sz w:val="24"/>
        </w:rPr>
        <w:t>、</w:t>
      </w:r>
      <w:r>
        <w:rPr>
          <w:sz w:val="24"/>
        </w:rPr>
        <w:t>ITU-T</w:t>
      </w:r>
      <w:r>
        <w:rPr>
          <w:rFonts w:hint="eastAsia"/>
          <w:sz w:val="24"/>
        </w:rPr>
        <w:t>、</w:t>
      </w:r>
      <w:r>
        <w:rPr>
          <w:sz w:val="24"/>
        </w:rPr>
        <w:t>ETSI</w:t>
      </w:r>
      <w:r>
        <w:rPr>
          <w:rFonts w:hint="eastAsia"/>
          <w:sz w:val="24"/>
        </w:rPr>
        <w:t>、</w:t>
      </w:r>
      <w:r>
        <w:rPr>
          <w:sz w:val="24"/>
        </w:rPr>
        <w:t>IMTC</w:t>
      </w:r>
      <w:r>
        <w:rPr>
          <w:rFonts w:hint="eastAsia"/>
          <w:sz w:val="24"/>
        </w:rPr>
        <w:t>、</w:t>
      </w:r>
      <w:r>
        <w:rPr>
          <w:sz w:val="24"/>
        </w:rPr>
        <w:t>IETF</w:t>
      </w:r>
      <w:r>
        <w:rPr>
          <w:rFonts w:hint="eastAsia"/>
          <w:sz w:val="24"/>
        </w:rPr>
        <w:t>、</w:t>
      </w:r>
      <w:r>
        <w:rPr>
          <w:sz w:val="24"/>
        </w:rPr>
        <w:t xml:space="preserve">IEEE </w:t>
      </w:r>
      <w:r>
        <w:rPr>
          <w:rFonts w:hint="eastAsia"/>
          <w:sz w:val="24"/>
        </w:rPr>
        <w:t>等国际组织发布的标准、规范和建议等</w:t>
      </w:r>
      <w:r>
        <w:rPr>
          <w:sz w:val="24"/>
        </w:rPr>
        <w:t>)</w:t>
      </w:r>
      <w:r>
        <w:rPr>
          <w:rFonts w:hint="eastAsia"/>
          <w:sz w:val="24"/>
        </w:rPr>
        <w:t>，供应商应在响应文件中具体说明，并附上相应的详细技术资料。</w:t>
      </w:r>
    </w:p>
    <w:p w14:paraId="370E5E18">
      <w:pPr>
        <w:spacing w:line="360" w:lineRule="auto"/>
        <w:rPr>
          <w:sz w:val="24"/>
        </w:rPr>
      </w:pPr>
      <w:r>
        <w:rPr>
          <w:sz w:val="24"/>
        </w:rPr>
        <w:t>1.2.2.2</w:t>
      </w:r>
      <w:r>
        <w:rPr>
          <w:rFonts w:hint="eastAsia"/>
          <w:sz w:val="24"/>
        </w:rPr>
        <w:t>若供应商的设备和系统中包含自己的专用标准，应在响应文件中具体说明，并附上相应的详细技术资料。</w:t>
      </w:r>
    </w:p>
    <w:p w14:paraId="3D3C8BE5">
      <w:pPr>
        <w:spacing w:line="360" w:lineRule="auto"/>
        <w:rPr>
          <w:sz w:val="24"/>
        </w:rPr>
      </w:pPr>
      <w:r>
        <w:rPr>
          <w:sz w:val="24"/>
        </w:rPr>
        <w:t>1.2.2.3</w:t>
      </w:r>
      <w:r>
        <w:rPr>
          <w:rFonts w:hint="eastAsia"/>
          <w:sz w:val="24"/>
        </w:rPr>
        <w:t>本文件中未列出但</w:t>
      </w:r>
      <w:r>
        <w:rPr>
          <w:sz w:val="24"/>
        </w:rPr>
        <w:t xml:space="preserve">ITU-T </w:t>
      </w:r>
      <w:r>
        <w:rPr>
          <w:rFonts w:hint="eastAsia"/>
          <w:sz w:val="24"/>
        </w:rPr>
        <w:t>已有建议的，供应商的系统设备性能和功能均应满足</w:t>
      </w:r>
      <w:r>
        <w:rPr>
          <w:sz w:val="24"/>
        </w:rPr>
        <w:t xml:space="preserve">ITU-T </w:t>
      </w:r>
      <w:r>
        <w:rPr>
          <w:rFonts w:hint="eastAsia"/>
          <w:sz w:val="24"/>
        </w:rPr>
        <w:t>最新建议要求。</w:t>
      </w:r>
    </w:p>
    <w:p w14:paraId="56CFAD7A">
      <w:pPr>
        <w:spacing w:line="360" w:lineRule="auto"/>
        <w:rPr>
          <w:sz w:val="24"/>
        </w:rPr>
      </w:pPr>
      <w:r>
        <w:rPr>
          <w:sz w:val="24"/>
        </w:rPr>
        <w:t xml:space="preserve">1.2.3 </w:t>
      </w:r>
      <w:r>
        <w:rPr>
          <w:rFonts w:hint="eastAsia"/>
          <w:sz w:val="24"/>
        </w:rPr>
        <w:t>所有响应设备的技术文档，供应商应针对各种设备逐一说明以下内容：</w:t>
      </w:r>
    </w:p>
    <w:p w14:paraId="783F00A0">
      <w:pPr>
        <w:spacing w:line="360" w:lineRule="auto"/>
        <w:rPr>
          <w:sz w:val="24"/>
        </w:rPr>
      </w:pPr>
      <w:r>
        <w:rPr>
          <w:sz w:val="24"/>
        </w:rPr>
        <w:t>1.2.3.1</w:t>
      </w:r>
      <w:r>
        <w:rPr>
          <w:rFonts w:hint="eastAsia"/>
          <w:sz w:val="24"/>
        </w:rPr>
        <w:t>设备功能、性能说明；</w:t>
      </w:r>
    </w:p>
    <w:p w14:paraId="2407FC21">
      <w:pPr>
        <w:spacing w:line="360" w:lineRule="auto"/>
        <w:rPr>
          <w:sz w:val="24"/>
        </w:rPr>
      </w:pPr>
      <w:r>
        <w:rPr>
          <w:sz w:val="24"/>
        </w:rPr>
        <w:t>1.2.3.2</w:t>
      </w:r>
      <w:r>
        <w:rPr>
          <w:rFonts w:hint="eastAsia"/>
          <w:sz w:val="24"/>
        </w:rPr>
        <w:t>设备体系结构；</w:t>
      </w:r>
    </w:p>
    <w:p w14:paraId="61603728">
      <w:pPr>
        <w:spacing w:line="360" w:lineRule="auto"/>
        <w:rPr>
          <w:sz w:val="24"/>
        </w:rPr>
      </w:pPr>
      <w:r>
        <w:rPr>
          <w:sz w:val="24"/>
        </w:rPr>
        <w:t>1.2.3.3</w:t>
      </w:r>
      <w:r>
        <w:rPr>
          <w:rFonts w:hint="eastAsia"/>
          <w:sz w:val="24"/>
        </w:rPr>
        <w:t>设备各种接口特性；</w:t>
      </w:r>
    </w:p>
    <w:p w14:paraId="4330EA13">
      <w:pPr>
        <w:spacing w:line="360" w:lineRule="auto"/>
        <w:rPr>
          <w:sz w:val="24"/>
        </w:rPr>
      </w:pPr>
      <w:r>
        <w:rPr>
          <w:sz w:val="24"/>
        </w:rPr>
        <w:t>1.2.3.4</w:t>
      </w:r>
      <w:r>
        <w:rPr>
          <w:rFonts w:hint="eastAsia"/>
          <w:sz w:val="24"/>
        </w:rPr>
        <w:t>安装方式；</w:t>
      </w:r>
    </w:p>
    <w:p w14:paraId="4690ADFF">
      <w:pPr>
        <w:spacing w:line="360" w:lineRule="auto"/>
        <w:rPr>
          <w:sz w:val="24"/>
        </w:rPr>
      </w:pPr>
      <w:r>
        <w:rPr>
          <w:sz w:val="24"/>
        </w:rPr>
        <w:t>1.2.3.5</w:t>
      </w:r>
      <w:r>
        <w:rPr>
          <w:rFonts w:hint="eastAsia"/>
          <w:sz w:val="24"/>
        </w:rPr>
        <w:t>物理尺寸；</w:t>
      </w:r>
    </w:p>
    <w:p w14:paraId="376FFA56">
      <w:pPr>
        <w:spacing w:line="360" w:lineRule="auto"/>
        <w:rPr>
          <w:sz w:val="24"/>
        </w:rPr>
      </w:pPr>
      <w:r>
        <w:rPr>
          <w:sz w:val="24"/>
        </w:rPr>
        <w:t>1.2.3.6</w:t>
      </w:r>
      <w:r>
        <w:rPr>
          <w:rFonts w:hint="eastAsia"/>
          <w:sz w:val="24"/>
        </w:rPr>
        <w:t>供电方式、耗电量；</w:t>
      </w:r>
    </w:p>
    <w:p w14:paraId="5DE381E4">
      <w:pPr>
        <w:spacing w:line="360" w:lineRule="auto"/>
        <w:rPr>
          <w:sz w:val="24"/>
        </w:rPr>
      </w:pPr>
      <w:r>
        <w:rPr>
          <w:sz w:val="24"/>
        </w:rPr>
        <w:t>1.2.3.7</w:t>
      </w:r>
      <w:r>
        <w:rPr>
          <w:rFonts w:hint="eastAsia"/>
          <w:sz w:val="24"/>
        </w:rPr>
        <w:t>设备或机架接地要求；</w:t>
      </w:r>
    </w:p>
    <w:p w14:paraId="7BFB010F">
      <w:pPr>
        <w:spacing w:line="360" w:lineRule="auto"/>
        <w:rPr>
          <w:sz w:val="24"/>
        </w:rPr>
      </w:pPr>
      <w:r>
        <w:rPr>
          <w:sz w:val="24"/>
        </w:rPr>
        <w:t>1.2.3.8</w:t>
      </w:r>
      <w:r>
        <w:rPr>
          <w:rFonts w:hint="eastAsia"/>
          <w:sz w:val="24"/>
        </w:rPr>
        <w:t>重量、温湿度等环境要求；</w:t>
      </w:r>
    </w:p>
    <w:p w14:paraId="6764989A">
      <w:pPr>
        <w:spacing w:line="360" w:lineRule="auto"/>
        <w:rPr>
          <w:sz w:val="24"/>
        </w:rPr>
      </w:pPr>
      <w:r>
        <w:rPr>
          <w:sz w:val="24"/>
        </w:rPr>
        <w:t>1.2.3.9</w:t>
      </w:r>
      <w:r>
        <w:rPr>
          <w:rFonts w:hint="eastAsia"/>
          <w:sz w:val="24"/>
        </w:rPr>
        <w:t>设备相关性能指标的测试记录文档；</w:t>
      </w:r>
    </w:p>
    <w:p w14:paraId="193F4B67">
      <w:pPr>
        <w:spacing w:line="360" w:lineRule="auto"/>
        <w:rPr>
          <w:sz w:val="24"/>
        </w:rPr>
      </w:pPr>
      <w:r>
        <w:rPr>
          <w:sz w:val="24"/>
        </w:rPr>
        <w:t>1.2.3.10</w:t>
      </w:r>
      <w:r>
        <w:rPr>
          <w:rFonts w:hint="eastAsia"/>
          <w:sz w:val="24"/>
        </w:rPr>
        <w:t>设备装架示意图：如所响应设备为装架式，供应商应提供相应的装架示意图；</w:t>
      </w:r>
    </w:p>
    <w:p w14:paraId="2C3C60C5">
      <w:pPr>
        <w:spacing w:line="360" w:lineRule="auto"/>
        <w:rPr>
          <w:sz w:val="24"/>
        </w:rPr>
      </w:pPr>
      <w:r>
        <w:rPr>
          <w:sz w:val="24"/>
        </w:rPr>
        <w:t>1.2.3.11</w:t>
      </w:r>
      <w:r>
        <w:rPr>
          <w:rFonts w:hint="eastAsia"/>
          <w:sz w:val="24"/>
        </w:rPr>
        <w:t>单台设备和相关部件的可靠性指标，至少包括：设备和部件的无故障运行时间、每年的不可用时间。</w:t>
      </w:r>
    </w:p>
    <w:p w14:paraId="235941CE">
      <w:pPr>
        <w:spacing w:line="360" w:lineRule="auto"/>
        <w:outlineLvl w:val="2"/>
        <w:rPr>
          <w:sz w:val="24"/>
        </w:rPr>
      </w:pPr>
      <w:bookmarkStart w:id="64" w:name="_Toc9231"/>
      <w:r>
        <w:rPr>
          <w:sz w:val="24"/>
        </w:rPr>
        <w:t>1.3</w:t>
      </w:r>
      <w:r>
        <w:rPr>
          <w:rFonts w:hint="eastAsia"/>
          <w:sz w:val="24"/>
        </w:rPr>
        <w:t>环境要求</w:t>
      </w:r>
      <w:bookmarkEnd w:id="64"/>
    </w:p>
    <w:p w14:paraId="323E4651">
      <w:pPr>
        <w:spacing w:line="360" w:lineRule="auto"/>
        <w:ind w:firstLine="480" w:firstLineChars="200"/>
        <w:rPr>
          <w:sz w:val="24"/>
        </w:rPr>
      </w:pPr>
      <w:r>
        <w:rPr>
          <w:rFonts w:hint="eastAsia"/>
          <w:sz w:val="24"/>
        </w:rPr>
        <w:t>本次响应的硬件设备应能适应如下环境要求：</w:t>
      </w:r>
    </w:p>
    <w:p w14:paraId="1A1C5A09">
      <w:pPr>
        <w:spacing w:line="360" w:lineRule="auto"/>
        <w:rPr>
          <w:sz w:val="24"/>
        </w:rPr>
      </w:pPr>
      <w:r>
        <w:rPr>
          <w:sz w:val="24"/>
        </w:rPr>
        <w:t>1.3.1</w:t>
      </w:r>
      <w:r>
        <w:rPr>
          <w:sz w:val="24"/>
        </w:rPr>
        <w:tab/>
      </w:r>
      <w:r>
        <w:rPr>
          <w:rFonts w:hint="eastAsia"/>
          <w:sz w:val="24"/>
        </w:rPr>
        <w:t>温度：</w:t>
      </w:r>
      <w:r>
        <w:rPr>
          <w:sz w:val="24"/>
        </w:rPr>
        <w:t>5~40</w:t>
      </w:r>
      <w:r>
        <w:rPr>
          <w:rFonts w:hint="eastAsia"/>
          <w:sz w:val="24"/>
        </w:rPr>
        <w:t>℃</w:t>
      </w:r>
    </w:p>
    <w:p w14:paraId="4CB6BF1F">
      <w:pPr>
        <w:spacing w:line="360" w:lineRule="auto"/>
        <w:rPr>
          <w:sz w:val="24"/>
        </w:rPr>
      </w:pPr>
      <w:r>
        <w:rPr>
          <w:sz w:val="24"/>
        </w:rPr>
        <w:t>1.3.2</w:t>
      </w:r>
      <w:r>
        <w:rPr>
          <w:sz w:val="24"/>
        </w:rPr>
        <w:tab/>
      </w:r>
      <w:r>
        <w:rPr>
          <w:rFonts w:hint="eastAsia"/>
          <w:sz w:val="24"/>
        </w:rPr>
        <w:t>相对湿度：</w:t>
      </w:r>
      <w:r>
        <w:rPr>
          <w:sz w:val="24"/>
        </w:rPr>
        <w:t>10%</w:t>
      </w:r>
      <w:r>
        <w:rPr>
          <w:rFonts w:hint="eastAsia"/>
          <w:sz w:val="24"/>
        </w:rPr>
        <w:t>～</w:t>
      </w:r>
      <w:r>
        <w:rPr>
          <w:sz w:val="24"/>
        </w:rPr>
        <w:t>80%</w:t>
      </w:r>
    </w:p>
    <w:p w14:paraId="19CED66A">
      <w:pPr>
        <w:spacing w:line="360" w:lineRule="auto"/>
        <w:rPr>
          <w:sz w:val="24"/>
        </w:rPr>
      </w:pPr>
      <w:r>
        <w:rPr>
          <w:sz w:val="24"/>
        </w:rPr>
        <w:t>1.3.3</w:t>
      </w:r>
      <w:r>
        <w:rPr>
          <w:sz w:val="24"/>
        </w:rPr>
        <w:tab/>
      </w:r>
      <w:r>
        <w:rPr>
          <w:rFonts w:hint="eastAsia"/>
          <w:sz w:val="24"/>
        </w:rPr>
        <w:t>温度变化率：≤</w:t>
      </w:r>
      <w:r>
        <w:rPr>
          <w:sz w:val="24"/>
        </w:rPr>
        <w:t>10</w:t>
      </w:r>
      <w:r>
        <w:rPr>
          <w:rFonts w:hint="eastAsia"/>
          <w:sz w:val="24"/>
        </w:rPr>
        <w:t>℃</w:t>
      </w:r>
      <w:r>
        <w:rPr>
          <w:sz w:val="24"/>
        </w:rPr>
        <w:t>/h</w:t>
      </w:r>
      <w:r>
        <w:rPr>
          <w:rFonts w:hint="eastAsia"/>
          <w:sz w:val="24"/>
        </w:rPr>
        <w:t>，不结露</w:t>
      </w:r>
    </w:p>
    <w:p w14:paraId="2F04654B">
      <w:pPr>
        <w:spacing w:line="360" w:lineRule="auto"/>
        <w:rPr>
          <w:sz w:val="24"/>
        </w:rPr>
      </w:pPr>
      <w:r>
        <w:rPr>
          <w:sz w:val="24"/>
        </w:rPr>
        <w:t>1.3.4</w:t>
      </w:r>
      <w:r>
        <w:rPr>
          <w:sz w:val="24"/>
        </w:rPr>
        <w:tab/>
      </w:r>
      <w:r>
        <w:rPr>
          <w:rFonts w:hint="eastAsia"/>
          <w:sz w:val="24"/>
        </w:rPr>
        <w:t>海拔高度：</w:t>
      </w:r>
      <w:r>
        <w:rPr>
          <w:sz w:val="24"/>
        </w:rPr>
        <w:t>-200</w:t>
      </w:r>
      <w:r>
        <w:rPr>
          <w:rFonts w:hint="eastAsia"/>
          <w:sz w:val="24"/>
        </w:rPr>
        <w:t>米～</w:t>
      </w:r>
      <w:r>
        <w:rPr>
          <w:sz w:val="24"/>
        </w:rPr>
        <w:t>3000</w:t>
      </w:r>
      <w:r>
        <w:rPr>
          <w:rFonts w:hint="eastAsia"/>
          <w:sz w:val="24"/>
        </w:rPr>
        <w:t>米</w:t>
      </w:r>
    </w:p>
    <w:p w14:paraId="56AEBE58">
      <w:pPr>
        <w:spacing w:line="360" w:lineRule="auto"/>
        <w:rPr>
          <w:sz w:val="24"/>
        </w:rPr>
      </w:pPr>
      <w:r>
        <w:rPr>
          <w:sz w:val="24"/>
        </w:rPr>
        <w:t>1.3.5</w:t>
      </w:r>
      <w:r>
        <w:rPr>
          <w:sz w:val="24"/>
        </w:rPr>
        <w:tab/>
      </w:r>
      <w:r>
        <w:rPr>
          <w:rFonts w:hint="eastAsia"/>
          <w:sz w:val="24"/>
        </w:rPr>
        <w:t>防尘：静态条件下测试，主机房空气中≥</w:t>
      </w:r>
      <w:r>
        <w:rPr>
          <w:sz w:val="24"/>
        </w:rPr>
        <w:t>0.5</w:t>
      </w:r>
      <w:r>
        <w:rPr>
          <w:rFonts w:hint="eastAsia"/>
          <w:sz w:val="24"/>
        </w:rPr>
        <w:t>μ</w:t>
      </w:r>
      <w:r>
        <w:rPr>
          <w:sz w:val="24"/>
        </w:rPr>
        <w:t>m</w:t>
      </w:r>
      <w:r>
        <w:rPr>
          <w:rFonts w:hint="eastAsia"/>
          <w:sz w:val="24"/>
        </w:rPr>
        <w:t>的尘粒数，少于</w:t>
      </w:r>
      <w:r>
        <w:rPr>
          <w:sz w:val="24"/>
        </w:rPr>
        <w:t>18000</w:t>
      </w:r>
      <w:r>
        <w:rPr>
          <w:rFonts w:hint="eastAsia"/>
          <w:sz w:val="24"/>
        </w:rPr>
        <w:t>粒</w:t>
      </w:r>
      <w:r>
        <w:rPr>
          <w:sz w:val="24"/>
        </w:rPr>
        <w:t>/</w:t>
      </w:r>
      <w:r>
        <w:rPr>
          <w:rFonts w:hint="eastAsia"/>
          <w:sz w:val="24"/>
        </w:rPr>
        <w:t>升</w:t>
      </w:r>
    </w:p>
    <w:p w14:paraId="08C9167B">
      <w:pPr>
        <w:spacing w:line="360" w:lineRule="auto"/>
        <w:rPr>
          <w:sz w:val="24"/>
        </w:rPr>
      </w:pPr>
      <w:r>
        <w:rPr>
          <w:sz w:val="24"/>
        </w:rPr>
        <w:t>1.3.6</w:t>
      </w:r>
      <w:r>
        <w:rPr>
          <w:sz w:val="24"/>
        </w:rPr>
        <w:tab/>
      </w:r>
      <w:r>
        <w:rPr>
          <w:rFonts w:hint="eastAsia"/>
          <w:sz w:val="24"/>
        </w:rPr>
        <w:t>额定电压交流</w:t>
      </w:r>
      <w:r>
        <w:rPr>
          <w:sz w:val="24"/>
        </w:rPr>
        <w:t>220</w:t>
      </w:r>
      <w:r>
        <w:rPr>
          <w:rFonts w:hint="eastAsia"/>
          <w:sz w:val="24"/>
        </w:rPr>
        <w:t>～</w:t>
      </w:r>
      <w:r>
        <w:rPr>
          <w:sz w:val="24"/>
        </w:rPr>
        <w:t xml:space="preserve">240V  </w:t>
      </w:r>
      <w:r>
        <w:rPr>
          <w:rFonts w:hint="eastAsia"/>
          <w:sz w:val="24"/>
        </w:rPr>
        <w:t>直流</w:t>
      </w:r>
      <w:r>
        <w:rPr>
          <w:sz w:val="24"/>
        </w:rPr>
        <w:t>-48V</w:t>
      </w:r>
      <w:r>
        <w:rPr>
          <w:rFonts w:hint="eastAsia"/>
          <w:sz w:val="24"/>
        </w:rPr>
        <w:t>～</w:t>
      </w:r>
      <w:r>
        <w:rPr>
          <w:sz w:val="24"/>
        </w:rPr>
        <w:t>-57V</w:t>
      </w:r>
    </w:p>
    <w:p w14:paraId="25701E5D">
      <w:pPr>
        <w:spacing w:line="360" w:lineRule="auto"/>
        <w:ind w:firstLine="480" w:firstLineChars="200"/>
        <w:rPr>
          <w:sz w:val="24"/>
        </w:rPr>
      </w:pPr>
      <w:r>
        <w:rPr>
          <w:rFonts w:hint="eastAsia"/>
          <w:sz w:val="24"/>
        </w:rPr>
        <w:t>响应设备如不能适应上述要求时请说明。同时，供应商须详细提供所有响应设备对机房环境的要求，诸如：运行及非运行状态时的温度、湿度、防尘、设备噪声强度、各种电磁干扰等要求，以及运输、长期和短期储存要求等。</w:t>
      </w:r>
      <w:bookmarkEnd w:id="63"/>
    </w:p>
    <w:p w14:paraId="594999AB">
      <w:pPr>
        <w:spacing w:line="360" w:lineRule="auto"/>
        <w:outlineLvl w:val="1"/>
        <w:rPr>
          <w:rFonts w:ascii="Segoe UI Symbol" w:hAnsi="Segoe UI Symbol" w:cs="Segoe UI Symbol"/>
          <w:b/>
          <w:color w:val="000000" w:themeColor="text1"/>
          <w:sz w:val="24"/>
          <w14:textFill>
            <w14:solidFill>
              <w14:schemeClr w14:val="tx1"/>
            </w14:solidFill>
          </w14:textFill>
        </w:rPr>
      </w:pPr>
      <w:r>
        <w:rPr>
          <w:rFonts w:ascii="Segoe UI Symbol" w:hAnsi="Segoe UI Symbol" w:cs="Segoe UI Symbol"/>
          <w:b/>
          <w:color w:val="000000" w:themeColor="text1"/>
          <w:sz w:val="24"/>
          <w14:textFill>
            <w14:solidFill>
              <w14:schemeClr w14:val="tx1"/>
            </w14:solidFill>
          </w14:textFill>
        </w:rPr>
        <w:t>★</w:t>
      </w:r>
      <w:r>
        <w:rPr>
          <w:rFonts w:hint="eastAsia" w:ascii="Segoe UI Symbol" w:hAnsi="Segoe UI Symbol" w:cs="Segoe UI Symbol"/>
          <w:b/>
          <w:color w:val="000000" w:themeColor="text1"/>
          <w:sz w:val="24"/>
          <w14:textFill>
            <w14:solidFill>
              <w14:schemeClr w14:val="tx1"/>
            </w14:solidFill>
          </w14:textFill>
        </w:rPr>
        <w:t>二、技术要求</w:t>
      </w:r>
      <w:bookmarkEnd w:id="59"/>
    </w:p>
    <w:p w14:paraId="779924B0">
      <w:pPr>
        <w:spacing w:line="360" w:lineRule="auto"/>
        <w:outlineLvl w:val="2"/>
        <w:rPr>
          <w:sz w:val="24"/>
        </w:rPr>
      </w:pPr>
      <w:bookmarkStart w:id="65" w:name="_Toc30975"/>
      <w:bookmarkStart w:id="66" w:name="_Toc12972"/>
      <w:r>
        <w:rPr>
          <w:sz w:val="24"/>
        </w:rPr>
        <w:t xml:space="preserve">2.1 </w:t>
      </w:r>
      <w:bookmarkEnd w:id="65"/>
      <w:bookmarkEnd w:id="66"/>
      <w:r>
        <w:rPr>
          <w:rFonts w:hint="eastAsia"/>
          <w:sz w:val="24"/>
        </w:rPr>
        <w:t>防火墙技术参数</w:t>
      </w:r>
    </w:p>
    <w:p w14:paraId="49215F89">
      <w:pPr>
        <w:spacing w:line="360" w:lineRule="auto"/>
        <w:ind w:firstLine="480" w:firstLineChars="200"/>
        <w:rPr>
          <w:rFonts w:hint="eastAsia"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防火墙具体性能</w:t>
      </w:r>
      <w:r>
        <w:rPr>
          <w:rFonts w:ascii="宋体" w:hAnsi="宋体" w:cstheme="minorEastAsia"/>
          <w:color w:val="000000" w:themeColor="text1"/>
          <w:sz w:val="24"/>
          <w14:textFill>
            <w14:solidFill>
              <w14:schemeClr w14:val="tx1"/>
            </w14:solidFill>
          </w14:textFill>
        </w:rPr>
        <w:t>/</w:t>
      </w:r>
      <w:r>
        <w:rPr>
          <w:rFonts w:hint="eastAsia" w:ascii="宋体" w:hAnsi="宋体" w:cstheme="minorEastAsia"/>
          <w:color w:val="000000" w:themeColor="text1"/>
          <w:sz w:val="24"/>
          <w14:textFill>
            <w14:solidFill>
              <w14:schemeClr w14:val="tx1"/>
            </w14:solidFill>
          </w14:textFill>
        </w:rPr>
        <w:t>功能的要求如下：</w:t>
      </w:r>
    </w:p>
    <w:tbl>
      <w:tblPr>
        <w:tblStyle w:val="19"/>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7401"/>
      </w:tblGrid>
      <w:tr w14:paraId="4542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tcPr>
          <w:p w14:paraId="205ADE51">
            <w:pPr>
              <w:widowControl/>
              <w:jc w:val="center"/>
              <w:rPr>
                <w:rFonts w:hint="eastAsia" w:ascii="宋体" w:hAnsi="宋体" w:cs="宋体"/>
                <w:b/>
                <w:bCs/>
                <w:color w:val="000000"/>
                <w:kern w:val="0"/>
                <w:szCs w:val="21"/>
              </w:rPr>
            </w:pPr>
            <w:r>
              <w:rPr>
                <w:b/>
                <w:color w:val="000000"/>
                <w:kern w:val="0"/>
                <w:szCs w:val="21"/>
              </w:rPr>
              <w:t>指标项</w:t>
            </w:r>
          </w:p>
        </w:tc>
        <w:tc>
          <w:tcPr>
            <w:tcW w:w="7401" w:type="dxa"/>
          </w:tcPr>
          <w:p w14:paraId="590F9135">
            <w:pPr>
              <w:widowControl/>
              <w:jc w:val="center"/>
              <w:rPr>
                <w:rFonts w:hint="eastAsia" w:ascii="宋体" w:hAnsi="宋体" w:cs="宋体"/>
                <w:b/>
                <w:bCs/>
                <w:color w:val="000000"/>
                <w:kern w:val="0"/>
                <w:szCs w:val="21"/>
              </w:rPr>
            </w:pPr>
            <w:r>
              <w:rPr>
                <w:rFonts w:hint="eastAsia" w:ascii="宋体" w:hAnsi="宋体" w:cs="宋体"/>
                <w:b/>
                <w:bCs/>
                <w:color w:val="000000"/>
                <w:kern w:val="0"/>
                <w:sz w:val="22"/>
                <w:szCs w:val="22"/>
              </w:rPr>
              <w:t>指标要求</w:t>
            </w:r>
          </w:p>
        </w:tc>
      </w:tr>
      <w:tr w14:paraId="4DDE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tcPr>
          <w:p w14:paraId="2217419E">
            <w:pPr>
              <w:widowControl/>
              <w:jc w:val="center"/>
              <w:rPr>
                <w:bCs/>
                <w:color w:val="000000"/>
                <w:kern w:val="0"/>
                <w:szCs w:val="21"/>
              </w:rPr>
            </w:pPr>
            <w:r>
              <w:rPr>
                <w:rFonts w:hint="eastAsia"/>
                <w:szCs w:val="21"/>
              </w:rPr>
              <w:t>★</w:t>
            </w:r>
            <w:r>
              <w:rPr>
                <w:bCs/>
                <w:color w:val="000000"/>
                <w:kern w:val="0"/>
                <w:szCs w:val="21"/>
              </w:rPr>
              <w:t>数量</w:t>
            </w:r>
          </w:p>
        </w:tc>
        <w:tc>
          <w:tcPr>
            <w:tcW w:w="7401" w:type="dxa"/>
          </w:tcPr>
          <w:p w14:paraId="713D0B0F">
            <w:pPr>
              <w:widowControl/>
              <w:jc w:val="left"/>
              <w:rPr>
                <w:bCs/>
                <w:color w:val="000000"/>
                <w:kern w:val="0"/>
                <w:szCs w:val="21"/>
              </w:rPr>
            </w:pPr>
            <w:r>
              <w:rPr>
                <w:rFonts w:hint="eastAsia"/>
                <w:color w:val="000000"/>
                <w:szCs w:val="21"/>
              </w:rPr>
              <w:t>2</w:t>
            </w:r>
            <w:r>
              <w:rPr>
                <w:bCs/>
                <w:color w:val="000000"/>
                <w:kern w:val="0"/>
                <w:szCs w:val="21"/>
              </w:rPr>
              <w:t>台</w:t>
            </w:r>
            <w:r>
              <w:rPr>
                <w:rFonts w:hint="eastAsia"/>
                <w:bCs/>
                <w:color w:val="000000"/>
                <w:kern w:val="0"/>
                <w:szCs w:val="21"/>
              </w:rPr>
              <w:t>。</w:t>
            </w:r>
          </w:p>
        </w:tc>
      </w:tr>
      <w:tr w14:paraId="3465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7" w:type="dxa"/>
            <w:vMerge w:val="restart"/>
            <w:vAlign w:val="center"/>
          </w:tcPr>
          <w:p w14:paraId="60AF0EA7">
            <w:pPr>
              <w:widowControl/>
              <w:jc w:val="center"/>
              <w:rPr>
                <w:bCs/>
                <w:color w:val="000000"/>
                <w:kern w:val="0"/>
                <w:szCs w:val="21"/>
              </w:rPr>
            </w:pPr>
            <w:r>
              <w:rPr>
                <w:rFonts w:hint="eastAsia" w:ascii="宋体" w:hAnsi="宋体"/>
                <w:szCs w:val="21"/>
              </w:rPr>
              <w:t>★</w:t>
            </w:r>
            <w:r>
              <w:rPr>
                <w:rFonts w:hint="eastAsia" w:ascii="宋体" w:hAnsi="宋体" w:cs="宋体"/>
                <w:b/>
                <w:bCs/>
                <w:kern w:val="0"/>
                <w:szCs w:val="21"/>
              </w:rPr>
              <w:t>硬件要求</w:t>
            </w:r>
          </w:p>
        </w:tc>
        <w:tc>
          <w:tcPr>
            <w:tcW w:w="7401" w:type="dxa"/>
          </w:tcPr>
          <w:p w14:paraId="36D21467">
            <w:pPr>
              <w:widowControl/>
              <w:jc w:val="left"/>
              <w:rPr>
                <w:rFonts w:hint="eastAsia" w:ascii="宋体" w:hAnsi="宋体"/>
                <w:szCs w:val="21"/>
              </w:rPr>
            </w:pPr>
            <w:r>
              <w:rPr>
                <w:rFonts w:hint="eastAsia" w:ascii="宋体" w:hAnsi="宋体"/>
                <w:szCs w:val="21"/>
              </w:rPr>
              <w:t>配置热插拔冗余交流电源。</w:t>
            </w:r>
          </w:p>
        </w:tc>
      </w:tr>
      <w:tr w14:paraId="71DC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386A1D52">
            <w:pPr>
              <w:widowControl/>
              <w:jc w:val="center"/>
              <w:rPr>
                <w:bCs/>
                <w:color w:val="000000"/>
                <w:kern w:val="0"/>
                <w:szCs w:val="21"/>
              </w:rPr>
            </w:pPr>
          </w:p>
        </w:tc>
        <w:tc>
          <w:tcPr>
            <w:tcW w:w="7401" w:type="dxa"/>
          </w:tcPr>
          <w:p w14:paraId="59F39D0B">
            <w:pPr>
              <w:widowControl/>
              <w:jc w:val="left"/>
              <w:rPr>
                <w:rFonts w:hint="eastAsia" w:ascii="宋体" w:hAnsi="宋体"/>
                <w:szCs w:val="21"/>
              </w:rPr>
            </w:pPr>
            <w:r>
              <w:rPr>
                <w:rFonts w:hint="eastAsia" w:ascii="宋体" w:hAnsi="宋体"/>
                <w:szCs w:val="21"/>
              </w:rPr>
              <w:t>高度不超过1U。</w:t>
            </w:r>
          </w:p>
        </w:tc>
      </w:tr>
      <w:tr w14:paraId="34AC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restart"/>
            <w:vAlign w:val="center"/>
          </w:tcPr>
          <w:p w14:paraId="3482EB07">
            <w:pPr>
              <w:widowControl/>
              <w:jc w:val="center"/>
              <w:rPr>
                <w:bCs/>
                <w:color w:val="000000"/>
                <w:kern w:val="0"/>
                <w:szCs w:val="21"/>
              </w:rPr>
            </w:pPr>
            <w:r>
              <w:rPr>
                <w:rFonts w:hint="eastAsia"/>
                <w:szCs w:val="21"/>
              </w:rPr>
              <w:t>★</w:t>
            </w:r>
            <w:r>
              <w:rPr>
                <w:rFonts w:hint="eastAsia" w:ascii="宋体" w:hAnsi="宋体" w:cs="宋体"/>
                <w:b/>
                <w:bCs/>
                <w:kern w:val="0"/>
                <w:szCs w:val="21"/>
              </w:rPr>
              <w:t>性能要求</w:t>
            </w:r>
          </w:p>
        </w:tc>
        <w:tc>
          <w:tcPr>
            <w:tcW w:w="7401" w:type="dxa"/>
            <w:vAlign w:val="bottom"/>
          </w:tcPr>
          <w:p w14:paraId="1D7F38A6">
            <w:pPr>
              <w:widowControl/>
              <w:jc w:val="left"/>
              <w:rPr>
                <w:color w:val="000000"/>
                <w:szCs w:val="21"/>
              </w:rPr>
            </w:pPr>
            <w:r>
              <w:rPr>
                <w:rFonts w:hint="eastAsia"/>
                <w:color w:val="000000"/>
                <w:szCs w:val="21"/>
              </w:rPr>
              <w:t>吞吐量</w:t>
            </w:r>
            <w:r>
              <w:rPr>
                <w:color w:val="000000"/>
                <w:szCs w:val="21"/>
              </w:rPr>
              <w:t>≥</w:t>
            </w:r>
            <w:r>
              <w:rPr>
                <w:rFonts w:hint="eastAsia" w:ascii="宋体" w:hAnsi="宋体"/>
                <w:szCs w:val="21"/>
              </w:rPr>
              <w:t>80Gbps。</w:t>
            </w:r>
          </w:p>
        </w:tc>
      </w:tr>
      <w:tr w14:paraId="1097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68570F67">
            <w:pPr>
              <w:widowControl/>
              <w:jc w:val="center"/>
              <w:rPr>
                <w:color w:val="000000"/>
                <w:szCs w:val="21"/>
              </w:rPr>
            </w:pPr>
          </w:p>
        </w:tc>
        <w:tc>
          <w:tcPr>
            <w:tcW w:w="7401" w:type="dxa"/>
            <w:vAlign w:val="bottom"/>
          </w:tcPr>
          <w:p w14:paraId="6EF6E40B">
            <w:pPr>
              <w:widowControl/>
              <w:jc w:val="left"/>
              <w:rPr>
                <w:color w:val="000000"/>
                <w:szCs w:val="21"/>
              </w:rPr>
            </w:pPr>
            <w:r>
              <w:rPr>
                <w:rFonts w:hint="eastAsia"/>
                <w:color w:val="000000"/>
                <w:szCs w:val="21"/>
              </w:rPr>
              <w:t>IPSEC VPN吞吐量≥45Gbps。</w:t>
            </w:r>
          </w:p>
        </w:tc>
      </w:tr>
      <w:tr w14:paraId="04A7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19D6BAB7">
            <w:pPr>
              <w:widowControl/>
              <w:jc w:val="center"/>
              <w:rPr>
                <w:color w:val="000000"/>
                <w:szCs w:val="21"/>
              </w:rPr>
            </w:pPr>
          </w:p>
        </w:tc>
        <w:tc>
          <w:tcPr>
            <w:tcW w:w="7401" w:type="dxa"/>
            <w:vAlign w:val="bottom"/>
          </w:tcPr>
          <w:p w14:paraId="5DC5B46D">
            <w:pPr>
              <w:widowControl/>
              <w:jc w:val="left"/>
              <w:rPr>
                <w:color w:val="000000"/>
                <w:szCs w:val="21"/>
              </w:rPr>
            </w:pPr>
            <w:r>
              <w:rPr>
                <w:rFonts w:hint="eastAsia"/>
                <w:color w:val="000000"/>
                <w:szCs w:val="21"/>
              </w:rPr>
              <w:t>每秒新建连接数≥90万。</w:t>
            </w:r>
          </w:p>
        </w:tc>
      </w:tr>
      <w:tr w14:paraId="452F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304DCDA1">
            <w:pPr>
              <w:widowControl/>
              <w:jc w:val="center"/>
              <w:rPr>
                <w:color w:val="000000"/>
                <w:szCs w:val="21"/>
              </w:rPr>
            </w:pPr>
          </w:p>
        </w:tc>
        <w:tc>
          <w:tcPr>
            <w:tcW w:w="7401" w:type="dxa"/>
            <w:vAlign w:val="bottom"/>
          </w:tcPr>
          <w:p w14:paraId="33D67414">
            <w:pPr>
              <w:widowControl/>
              <w:jc w:val="left"/>
              <w:rPr>
                <w:color w:val="000000"/>
                <w:szCs w:val="21"/>
              </w:rPr>
            </w:pPr>
            <w:r>
              <w:rPr>
                <w:rFonts w:hint="eastAsia"/>
                <w:color w:val="000000"/>
                <w:szCs w:val="21"/>
              </w:rPr>
              <w:t>最大并发连接数≥2</w:t>
            </w:r>
            <w:r>
              <w:rPr>
                <w:color w:val="000000"/>
                <w:szCs w:val="21"/>
              </w:rPr>
              <w:t>400</w:t>
            </w:r>
            <w:r>
              <w:rPr>
                <w:rFonts w:hint="eastAsia"/>
                <w:color w:val="000000"/>
                <w:szCs w:val="21"/>
              </w:rPr>
              <w:t>W。</w:t>
            </w:r>
          </w:p>
        </w:tc>
      </w:tr>
      <w:tr w14:paraId="7197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restart"/>
            <w:vAlign w:val="center"/>
          </w:tcPr>
          <w:p w14:paraId="5AC640BB">
            <w:pPr>
              <w:widowControl/>
              <w:jc w:val="center"/>
              <w:rPr>
                <w:color w:val="000000"/>
                <w:szCs w:val="21"/>
              </w:rPr>
            </w:pPr>
            <w:r>
              <w:rPr>
                <w:rFonts w:hint="eastAsia"/>
                <w:szCs w:val="21"/>
              </w:rPr>
              <w:t>★</w:t>
            </w:r>
            <w:r>
              <w:rPr>
                <w:rFonts w:hint="eastAsia"/>
                <w:b/>
                <w:szCs w:val="21"/>
              </w:rPr>
              <w:t>端口要求</w:t>
            </w:r>
          </w:p>
        </w:tc>
        <w:tc>
          <w:tcPr>
            <w:tcW w:w="7401" w:type="dxa"/>
            <w:vAlign w:val="bottom"/>
          </w:tcPr>
          <w:p w14:paraId="02AE3E46">
            <w:pPr>
              <w:widowControl/>
              <w:jc w:val="left"/>
              <w:rPr>
                <w:color w:val="000000"/>
                <w:szCs w:val="21"/>
              </w:rPr>
            </w:pPr>
            <w:r>
              <w:rPr>
                <w:rFonts w:hint="eastAsia"/>
                <w:color w:val="000000"/>
                <w:szCs w:val="21"/>
              </w:rPr>
              <w:t>≥1个HA接口。</w:t>
            </w:r>
          </w:p>
        </w:tc>
      </w:tr>
      <w:tr w14:paraId="5830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62AD06D6">
            <w:pPr>
              <w:widowControl/>
              <w:jc w:val="center"/>
              <w:rPr>
                <w:szCs w:val="21"/>
              </w:rPr>
            </w:pPr>
          </w:p>
        </w:tc>
        <w:tc>
          <w:tcPr>
            <w:tcW w:w="7401" w:type="dxa"/>
            <w:vAlign w:val="bottom"/>
          </w:tcPr>
          <w:p w14:paraId="22EC2413">
            <w:pPr>
              <w:widowControl/>
              <w:jc w:val="left"/>
              <w:rPr>
                <w:color w:val="000000"/>
                <w:szCs w:val="21"/>
              </w:rPr>
            </w:pPr>
            <w:r>
              <w:rPr>
                <w:rFonts w:hint="eastAsia"/>
                <w:color w:val="000000"/>
                <w:szCs w:val="21"/>
              </w:rPr>
              <w:t>≥1个MGT口。</w:t>
            </w:r>
          </w:p>
        </w:tc>
      </w:tr>
      <w:tr w14:paraId="3675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5DC48C8E">
            <w:pPr>
              <w:widowControl/>
              <w:jc w:val="left"/>
              <w:rPr>
                <w:color w:val="000000"/>
                <w:szCs w:val="21"/>
              </w:rPr>
            </w:pPr>
          </w:p>
        </w:tc>
        <w:tc>
          <w:tcPr>
            <w:tcW w:w="7401" w:type="dxa"/>
            <w:vAlign w:val="bottom"/>
          </w:tcPr>
          <w:p w14:paraId="5850FFE5">
            <w:pPr>
              <w:widowControl/>
              <w:jc w:val="left"/>
              <w:rPr>
                <w:color w:val="000000"/>
                <w:szCs w:val="21"/>
              </w:rPr>
            </w:pPr>
            <w:r>
              <w:rPr>
                <w:rFonts w:hint="eastAsia"/>
                <w:color w:val="000000"/>
                <w:szCs w:val="21"/>
              </w:rPr>
              <w:t>≥16</w:t>
            </w:r>
            <w:r>
              <w:rPr>
                <w:rFonts w:hint="eastAsia"/>
                <w:color w:val="000000"/>
                <w:kern w:val="0"/>
                <w:szCs w:val="21"/>
              </w:rPr>
              <w:t>个万兆SFP+光口。</w:t>
            </w:r>
          </w:p>
        </w:tc>
      </w:tr>
      <w:tr w14:paraId="4745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64EBA6D9">
            <w:pPr>
              <w:widowControl/>
              <w:jc w:val="left"/>
              <w:rPr>
                <w:color w:val="000000"/>
                <w:szCs w:val="21"/>
              </w:rPr>
            </w:pPr>
          </w:p>
        </w:tc>
        <w:tc>
          <w:tcPr>
            <w:tcW w:w="7401" w:type="dxa"/>
            <w:vAlign w:val="bottom"/>
          </w:tcPr>
          <w:p w14:paraId="3F6CAD6C">
            <w:pPr>
              <w:widowControl/>
              <w:jc w:val="left"/>
              <w:rPr>
                <w:color w:val="000000"/>
                <w:szCs w:val="21"/>
              </w:rPr>
            </w:pPr>
            <w:r>
              <w:rPr>
                <w:rFonts w:hint="eastAsia"/>
                <w:color w:val="000000"/>
                <w:szCs w:val="21"/>
              </w:rPr>
              <w:t>≥</w:t>
            </w:r>
            <w:r>
              <w:rPr>
                <w:rFonts w:hint="eastAsia"/>
                <w:color w:val="000000"/>
                <w:kern w:val="0"/>
                <w:szCs w:val="21"/>
              </w:rPr>
              <w:t>4</w:t>
            </w:r>
            <w:r>
              <w:rPr>
                <w:color w:val="000000"/>
                <w:kern w:val="0"/>
                <w:szCs w:val="21"/>
              </w:rPr>
              <w:t>个</w:t>
            </w:r>
            <w:r>
              <w:rPr>
                <w:rFonts w:hint="eastAsia"/>
                <w:color w:val="000000"/>
                <w:kern w:val="0"/>
                <w:szCs w:val="21"/>
              </w:rPr>
              <w:t>40G光口。</w:t>
            </w:r>
          </w:p>
        </w:tc>
      </w:tr>
      <w:tr w14:paraId="6F4E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5CB73ED3">
            <w:pPr>
              <w:widowControl/>
              <w:jc w:val="left"/>
              <w:rPr>
                <w:color w:val="000000"/>
                <w:szCs w:val="21"/>
              </w:rPr>
            </w:pPr>
          </w:p>
        </w:tc>
        <w:tc>
          <w:tcPr>
            <w:tcW w:w="7401" w:type="dxa"/>
            <w:vAlign w:val="bottom"/>
          </w:tcPr>
          <w:p w14:paraId="7CF21CFC">
            <w:pPr>
              <w:widowControl/>
              <w:jc w:val="left"/>
              <w:rPr>
                <w:color w:val="000000"/>
                <w:szCs w:val="21"/>
              </w:rPr>
            </w:pPr>
            <w:r>
              <w:rPr>
                <w:rFonts w:hint="eastAsia"/>
                <w:color w:val="000000"/>
                <w:szCs w:val="21"/>
              </w:rPr>
              <w:t>≥</w:t>
            </w:r>
            <w:r>
              <w:rPr>
                <w:rFonts w:hint="eastAsia"/>
                <w:color w:val="000000"/>
                <w:kern w:val="0"/>
                <w:szCs w:val="21"/>
              </w:rPr>
              <w:t>8</w:t>
            </w:r>
            <w:r>
              <w:rPr>
                <w:color w:val="000000"/>
                <w:kern w:val="0"/>
                <w:szCs w:val="21"/>
              </w:rPr>
              <w:t>个</w:t>
            </w:r>
            <w:r>
              <w:rPr>
                <w:rFonts w:hint="eastAsia"/>
                <w:color w:val="000000"/>
                <w:kern w:val="0"/>
                <w:szCs w:val="21"/>
              </w:rPr>
              <w:t>电口。</w:t>
            </w:r>
          </w:p>
        </w:tc>
      </w:tr>
      <w:tr w14:paraId="4414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Align w:val="center"/>
          </w:tcPr>
          <w:p w14:paraId="40ACBD61">
            <w:pPr>
              <w:widowControl/>
              <w:jc w:val="center"/>
              <w:rPr>
                <w:color w:val="000000"/>
                <w:szCs w:val="21"/>
              </w:rPr>
            </w:pPr>
            <w:r>
              <w:rPr>
                <w:rFonts w:hint="eastAsia"/>
                <w:szCs w:val="21"/>
              </w:rPr>
              <w:t>★</w:t>
            </w:r>
            <w:r>
              <w:rPr>
                <w:rFonts w:hint="eastAsia" w:ascii="宋体" w:hAnsi="宋体" w:cs="宋体"/>
                <w:b/>
                <w:bCs/>
                <w:kern w:val="0"/>
                <w:szCs w:val="21"/>
              </w:rPr>
              <w:t>模块要求</w:t>
            </w:r>
          </w:p>
        </w:tc>
        <w:tc>
          <w:tcPr>
            <w:tcW w:w="7401" w:type="dxa"/>
            <w:vAlign w:val="bottom"/>
          </w:tcPr>
          <w:p w14:paraId="3DEA0688">
            <w:pPr>
              <w:widowControl/>
              <w:jc w:val="left"/>
              <w:rPr>
                <w:color w:val="000000"/>
                <w:szCs w:val="21"/>
              </w:rPr>
            </w:pPr>
            <w:r>
              <w:rPr>
                <w:rFonts w:hint="eastAsia"/>
                <w:color w:val="000000"/>
                <w:szCs w:val="21"/>
              </w:rPr>
              <w:t>每台</w:t>
            </w:r>
            <w:r>
              <w:rPr>
                <w:color w:val="000000"/>
                <w:szCs w:val="21"/>
              </w:rPr>
              <w:t>配置：</w:t>
            </w:r>
          </w:p>
          <w:p w14:paraId="56097682">
            <w:pPr>
              <w:widowControl/>
              <w:jc w:val="left"/>
              <w:rPr>
                <w:color w:val="000000"/>
                <w:szCs w:val="21"/>
              </w:rPr>
            </w:pPr>
            <w:r>
              <w:rPr>
                <w:rFonts w:hint="eastAsia"/>
                <w:color w:val="000000"/>
                <w:szCs w:val="21"/>
              </w:rPr>
              <w:t>4个QSFP+40G多模光模块(MPO</w:t>
            </w:r>
            <w:r>
              <w:rPr>
                <w:color w:val="000000"/>
                <w:szCs w:val="21"/>
              </w:rPr>
              <w:t>接口</w:t>
            </w:r>
            <w:r>
              <w:rPr>
                <w:rFonts w:hint="eastAsia"/>
                <w:color w:val="000000"/>
                <w:szCs w:val="21"/>
              </w:rPr>
              <w:t>)。</w:t>
            </w:r>
          </w:p>
        </w:tc>
      </w:tr>
      <w:tr w14:paraId="6BF0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Align w:val="center"/>
          </w:tcPr>
          <w:p w14:paraId="559BE8FC">
            <w:pPr>
              <w:widowControl/>
              <w:jc w:val="center"/>
              <w:rPr>
                <w:color w:val="000000"/>
                <w:szCs w:val="21"/>
              </w:rPr>
            </w:pPr>
            <w:r>
              <w:rPr>
                <w:rFonts w:hint="eastAsia"/>
                <w:szCs w:val="21"/>
              </w:rPr>
              <w:t>★</w:t>
            </w:r>
            <w:r>
              <w:rPr>
                <w:rFonts w:hint="eastAsia" w:ascii="宋体" w:hAnsi="宋体" w:cs="宋体"/>
                <w:b/>
                <w:bCs/>
                <w:kern w:val="0"/>
                <w:szCs w:val="21"/>
              </w:rPr>
              <w:t>工作模式</w:t>
            </w:r>
          </w:p>
        </w:tc>
        <w:tc>
          <w:tcPr>
            <w:tcW w:w="7401" w:type="dxa"/>
            <w:vAlign w:val="bottom"/>
          </w:tcPr>
          <w:p w14:paraId="5945F5B8">
            <w:pPr>
              <w:widowControl/>
              <w:jc w:val="left"/>
              <w:rPr>
                <w:color w:val="000000"/>
                <w:szCs w:val="21"/>
              </w:rPr>
            </w:pPr>
            <w:r>
              <w:rPr>
                <w:rFonts w:hint="eastAsia"/>
                <w:color w:val="000000"/>
                <w:szCs w:val="21"/>
              </w:rPr>
              <w:t>支持NAT、路由、透明工作模式。</w:t>
            </w:r>
          </w:p>
        </w:tc>
      </w:tr>
      <w:tr w14:paraId="6C89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restart"/>
            <w:vAlign w:val="center"/>
          </w:tcPr>
          <w:p w14:paraId="03E2EAC6">
            <w:pPr>
              <w:widowControl/>
              <w:jc w:val="center"/>
              <w:rPr>
                <w:color w:val="000000"/>
                <w:szCs w:val="21"/>
              </w:rPr>
            </w:pPr>
            <w:r>
              <w:rPr>
                <w:rFonts w:hint="eastAsia"/>
                <w:szCs w:val="21"/>
              </w:rPr>
              <w:t>★</w:t>
            </w:r>
            <w:r>
              <w:rPr>
                <w:rFonts w:hint="eastAsia" w:ascii="宋体" w:hAnsi="宋体" w:cs="宋体"/>
                <w:b/>
                <w:bCs/>
                <w:kern w:val="0"/>
                <w:szCs w:val="21"/>
              </w:rPr>
              <w:t>路由协议</w:t>
            </w:r>
          </w:p>
        </w:tc>
        <w:tc>
          <w:tcPr>
            <w:tcW w:w="7401" w:type="dxa"/>
            <w:vAlign w:val="bottom"/>
          </w:tcPr>
          <w:p w14:paraId="33555AD0">
            <w:pPr>
              <w:widowControl/>
              <w:jc w:val="left"/>
              <w:rPr>
                <w:color w:val="000000"/>
                <w:szCs w:val="21"/>
              </w:rPr>
            </w:pPr>
            <w:r>
              <w:rPr>
                <w:color w:val="000000"/>
                <w:szCs w:val="21"/>
              </w:rPr>
              <w:t>支持静态路由、ISP路由，OSPF、BGP、RIP、ISIS、策略路由</w:t>
            </w:r>
            <w:r>
              <w:rPr>
                <w:rFonts w:hint="eastAsia"/>
                <w:color w:val="000000"/>
                <w:szCs w:val="21"/>
              </w:rPr>
              <w:t>，策略路由支持基于应用协议的路由功能，根据应用类型进行路由选择，提供产品界面截图证明。</w:t>
            </w:r>
          </w:p>
        </w:tc>
      </w:tr>
      <w:tr w14:paraId="3CF2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792B6926">
            <w:pPr>
              <w:widowControl/>
              <w:jc w:val="center"/>
              <w:rPr>
                <w:color w:val="000000"/>
                <w:szCs w:val="21"/>
              </w:rPr>
            </w:pPr>
          </w:p>
        </w:tc>
        <w:tc>
          <w:tcPr>
            <w:tcW w:w="7401" w:type="dxa"/>
            <w:vAlign w:val="bottom"/>
          </w:tcPr>
          <w:p w14:paraId="116DD0DE">
            <w:pPr>
              <w:widowControl/>
              <w:jc w:val="left"/>
              <w:rPr>
                <w:color w:val="000000"/>
                <w:szCs w:val="21"/>
              </w:rPr>
            </w:pPr>
            <w:r>
              <w:rPr>
                <w:rFonts w:hint="eastAsia"/>
                <w:color w:val="000000"/>
                <w:szCs w:val="21"/>
              </w:rPr>
              <w:t>支持BFD功能，支持BFD与静态路由/OSPF/BGP进行联动。快速检测到与相邻设备间的通信故障，减小设备故障对业务的影响。通过与动态路由协议联动，缩短收敛时间，提升可靠性。提供产品界面截图证明。</w:t>
            </w:r>
          </w:p>
        </w:tc>
      </w:tr>
      <w:tr w14:paraId="0189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87" w:type="dxa"/>
            <w:vMerge w:val="restart"/>
            <w:shd w:val="clear" w:color="auto" w:fill="auto"/>
            <w:vAlign w:val="center"/>
          </w:tcPr>
          <w:p w14:paraId="3EC1CC48">
            <w:pPr>
              <w:jc w:val="left"/>
              <w:rPr>
                <w:rFonts w:hint="eastAsia" w:ascii="宋体" w:hAnsi="宋体" w:cs="宋体"/>
                <w:b/>
                <w:bCs/>
                <w:kern w:val="0"/>
                <w:szCs w:val="21"/>
              </w:rPr>
            </w:pPr>
            <w:r>
              <w:rPr>
                <w:rFonts w:hint="eastAsia" w:ascii="宋体" w:hAnsi="宋体" w:cs="宋体"/>
                <w:b/>
                <w:bCs/>
                <w:kern w:val="0"/>
                <w:szCs w:val="21"/>
              </w:rPr>
              <w:t>网络适应性</w:t>
            </w:r>
          </w:p>
        </w:tc>
        <w:tc>
          <w:tcPr>
            <w:tcW w:w="7401" w:type="dxa"/>
            <w:shd w:val="clear" w:color="auto" w:fill="auto"/>
            <w:vAlign w:val="center"/>
          </w:tcPr>
          <w:p w14:paraId="2BC6B7E8">
            <w:pPr>
              <w:widowControl/>
              <w:jc w:val="left"/>
              <w:rPr>
                <w:color w:val="000000"/>
                <w:szCs w:val="21"/>
              </w:rPr>
            </w:pPr>
            <w:r>
              <w:rPr>
                <w:rFonts w:hint="eastAsia"/>
                <w:color w:val="000000"/>
                <w:szCs w:val="21"/>
              </w:rPr>
              <w:t>支持对</w:t>
            </w:r>
            <w:r>
              <w:rPr>
                <w:color w:val="000000"/>
                <w:szCs w:val="21"/>
              </w:rPr>
              <w:t>6</w:t>
            </w:r>
            <w:r>
              <w:rPr>
                <w:rFonts w:hint="eastAsia"/>
                <w:color w:val="000000"/>
                <w:szCs w:val="21"/>
              </w:rPr>
              <w:t>000+ 种应用的识别和控制，包括200+移动应用。</w:t>
            </w:r>
          </w:p>
        </w:tc>
      </w:tr>
      <w:tr w14:paraId="705B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252CE2E6">
            <w:pPr>
              <w:widowControl/>
              <w:jc w:val="center"/>
              <w:rPr>
                <w:color w:val="000000"/>
                <w:szCs w:val="21"/>
              </w:rPr>
            </w:pPr>
          </w:p>
        </w:tc>
        <w:tc>
          <w:tcPr>
            <w:tcW w:w="7401" w:type="dxa"/>
            <w:shd w:val="clear" w:color="auto" w:fill="auto"/>
          </w:tcPr>
          <w:p w14:paraId="46095DAF">
            <w:pPr>
              <w:widowControl/>
              <w:jc w:val="left"/>
              <w:rPr>
                <w:color w:val="000000"/>
                <w:szCs w:val="21"/>
              </w:rPr>
            </w:pPr>
            <w:r>
              <w:rPr>
                <w:rFonts w:hint="eastAsia"/>
                <w:color w:val="000000"/>
                <w:szCs w:val="21"/>
              </w:rPr>
              <w:t>要求支持多系统引导，并可在</w:t>
            </w:r>
            <w:r>
              <w:rPr>
                <w:color w:val="000000"/>
                <w:szCs w:val="21"/>
              </w:rPr>
              <w:t>WEB界面上直接配置启动顺序</w:t>
            </w:r>
            <w:r>
              <w:rPr>
                <w:rFonts w:hint="eastAsia"/>
                <w:color w:val="000000"/>
                <w:szCs w:val="21"/>
              </w:rPr>
              <w:t>。</w:t>
            </w:r>
          </w:p>
        </w:tc>
      </w:tr>
      <w:tr w14:paraId="63CB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0E41FA5F">
            <w:pPr>
              <w:widowControl/>
              <w:jc w:val="center"/>
              <w:rPr>
                <w:color w:val="000000"/>
                <w:szCs w:val="21"/>
              </w:rPr>
            </w:pPr>
          </w:p>
        </w:tc>
        <w:tc>
          <w:tcPr>
            <w:tcW w:w="7401" w:type="dxa"/>
            <w:shd w:val="clear" w:color="auto" w:fill="auto"/>
            <w:vAlign w:val="center"/>
          </w:tcPr>
          <w:p w14:paraId="142ED5C6">
            <w:pPr>
              <w:widowControl/>
              <w:jc w:val="left"/>
              <w:rPr>
                <w:color w:val="000000"/>
                <w:szCs w:val="21"/>
              </w:rPr>
            </w:pPr>
            <w:r>
              <w:rPr>
                <w:rFonts w:hint="eastAsia"/>
                <w:color w:val="000000"/>
                <w:szCs w:val="21"/>
              </w:rPr>
              <w:t>支持将任意接口数据完全镜像到设备自身的其他接口用于抓包分析，支持基于源IP、目的IP、源端口、目的端口、网络协议（TCP、UDP、ICMP）等条件对镜像流量进行过滤，并且支持选择入方向、出方向及双向流量镜像。</w:t>
            </w:r>
          </w:p>
        </w:tc>
      </w:tr>
      <w:tr w14:paraId="368B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1922D8A8">
            <w:pPr>
              <w:widowControl/>
              <w:jc w:val="center"/>
              <w:rPr>
                <w:color w:val="000000"/>
                <w:szCs w:val="21"/>
              </w:rPr>
            </w:pPr>
          </w:p>
        </w:tc>
        <w:tc>
          <w:tcPr>
            <w:tcW w:w="7401" w:type="dxa"/>
            <w:shd w:val="clear" w:color="auto" w:fill="auto"/>
            <w:vAlign w:val="center"/>
          </w:tcPr>
          <w:p w14:paraId="68DE6312">
            <w:pPr>
              <w:widowControl/>
              <w:jc w:val="left"/>
              <w:rPr>
                <w:color w:val="000000"/>
                <w:szCs w:val="21"/>
              </w:rPr>
            </w:pPr>
            <w:r>
              <w:rPr>
                <w:rFonts w:hint="eastAsia"/>
                <w:color w:val="000000"/>
                <w:szCs w:val="21"/>
              </w:rPr>
              <w:t>支持基于源地址、目的地址、生效时间、应用协议（http、https、mysql、ms-sql、sqlnet、sip等）限制新建连接、并发连接。</w:t>
            </w:r>
          </w:p>
        </w:tc>
      </w:tr>
      <w:tr w14:paraId="5B4D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23865788">
            <w:pPr>
              <w:widowControl/>
              <w:jc w:val="center"/>
              <w:rPr>
                <w:color w:val="000000"/>
                <w:szCs w:val="21"/>
              </w:rPr>
            </w:pPr>
          </w:p>
        </w:tc>
        <w:tc>
          <w:tcPr>
            <w:tcW w:w="7401" w:type="dxa"/>
            <w:shd w:val="clear" w:color="auto" w:fill="auto"/>
            <w:vAlign w:val="center"/>
          </w:tcPr>
          <w:p w14:paraId="73D8B2BA">
            <w:pPr>
              <w:widowControl/>
              <w:jc w:val="left"/>
              <w:rPr>
                <w:color w:val="000000"/>
                <w:szCs w:val="21"/>
              </w:rPr>
            </w:pPr>
            <w:r>
              <w:rPr>
                <w:rFonts w:hint="eastAsia"/>
                <w:color w:val="000000"/>
                <w:szCs w:val="21"/>
              </w:rPr>
              <w:t>支持基于应用协议的路由功能，根据应用类型进行路由选择。</w:t>
            </w:r>
          </w:p>
        </w:tc>
      </w:tr>
      <w:tr w14:paraId="7C1F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46E2372A">
            <w:pPr>
              <w:widowControl/>
              <w:jc w:val="center"/>
              <w:rPr>
                <w:color w:val="000000"/>
                <w:szCs w:val="21"/>
              </w:rPr>
            </w:pPr>
          </w:p>
        </w:tc>
        <w:tc>
          <w:tcPr>
            <w:tcW w:w="7401" w:type="dxa"/>
            <w:shd w:val="clear" w:color="auto" w:fill="auto"/>
          </w:tcPr>
          <w:p w14:paraId="6F6B22B7">
            <w:pPr>
              <w:widowControl/>
              <w:jc w:val="left"/>
              <w:rPr>
                <w:color w:val="000000"/>
                <w:szCs w:val="21"/>
              </w:rPr>
            </w:pPr>
            <w:r>
              <w:rPr>
                <w:rFonts w:hint="eastAsia"/>
                <w:color w:val="000000"/>
                <w:szCs w:val="21"/>
              </w:rPr>
              <w:t>★支持微型策略，采用源/目的地址、协议、目的端口、源/目的安全域作为流量的过滤条件、允许（Permit）或拒绝（Deny）作为处理行为的精简化的策略规则，支持配置大规模数量的微型策略，满足更多的策略存储需求，提供功能截图证明或检测报告。</w:t>
            </w:r>
          </w:p>
        </w:tc>
      </w:tr>
      <w:tr w14:paraId="6E9A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6AEAAFC0">
            <w:pPr>
              <w:widowControl/>
              <w:jc w:val="center"/>
              <w:rPr>
                <w:color w:val="000000"/>
                <w:szCs w:val="21"/>
              </w:rPr>
            </w:pPr>
          </w:p>
        </w:tc>
        <w:tc>
          <w:tcPr>
            <w:tcW w:w="7401" w:type="dxa"/>
            <w:shd w:val="clear" w:color="auto" w:fill="auto"/>
          </w:tcPr>
          <w:p w14:paraId="48653B21">
            <w:pPr>
              <w:widowControl/>
              <w:jc w:val="left"/>
              <w:rPr>
                <w:color w:val="000000"/>
                <w:szCs w:val="21"/>
              </w:rPr>
            </w:pPr>
            <w:r>
              <w:rPr>
                <w:rFonts w:hint="eastAsia"/>
                <w:color w:val="000000"/>
                <w:szCs w:val="21"/>
              </w:rPr>
              <w:t>支持策略助手功能，策略助手能够提取命中指定策略 ID的流量作为流量数据分析源，生成服务并且根据管理员设置的替换规则、聚合规则优化流量数据，最后自动生成符合管理员期望的安全策略规则。提供功能截图证明或检测报告。</w:t>
            </w:r>
          </w:p>
        </w:tc>
      </w:tr>
      <w:tr w14:paraId="2F99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30A9C7D7">
            <w:pPr>
              <w:widowControl/>
              <w:jc w:val="center"/>
              <w:rPr>
                <w:color w:val="000000"/>
                <w:szCs w:val="21"/>
              </w:rPr>
            </w:pPr>
          </w:p>
        </w:tc>
        <w:tc>
          <w:tcPr>
            <w:tcW w:w="7401" w:type="dxa"/>
            <w:shd w:val="clear" w:color="auto" w:fill="auto"/>
          </w:tcPr>
          <w:p w14:paraId="7C64518D">
            <w:pPr>
              <w:widowControl/>
              <w:jc w:val="left"/>
              <w:rPr>
                <w:color w:val="000000"/>
                <w:szCs w:val="21"/>
              </w:rPr>
            </w:pPr>
            <w:r>
              <w:rPr>
                <w:rFonts w:hint="eastAsia"/>
                <w:color w:val="000000"/>
                <w:szCs w:val="21"/>
              </w:rPr>
              <w:t>支持基于多出口的DNS代理功能，可根据配置实现对不同外网线路的DNS服务器地址管理，当一条链路出现故障时，流量自动切换到其他链路的同时将DNS服务器进行切换，避免出现跨运营商解析而导致访问变慢或中断；支持为不同运营商的DNS设置不同权重，用户根据权重比例选择不同运营商DNS进行解析实现不同线路的负载均衡功能。</w:t>
            </w:r>
          </w:p>
        </w:tc>
      </w:tr>
      <w:tr w14:paraId="43F6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31FF51A7">
            <w:pPr>
              <w:widowControl/>
              <w:jc w:val="center"/>
              <w:rPr>
                <w:color w:val="000000"/>
                <w:szCs w:val="21"/>
              </w:rPr>
            </w:pPr>
          </w:p>
        </w:tc>
        <w:tc>
          <w:tcPr>
            <w:tcW w:w="7401" w:type="dxa"/>
            <w:shd w:val="clear" w:color="auto" w:fill="auto"/>
          </w:tcPr>
          <w:p w14:paraId="2AEC3D40">
            <w:pPr>
              <w:widowControl/>
              <w:jc w:val="left"/>
              <w:rPr>
                <w:color w:val="000000"/>
                <w:szCs w:val="21"/>
              </w:rPr>
            </w:pPr>
            <w:r>
              <w:rPr>
                <w:rFonts w:hint="eastAsia"/>
                <w:color w:val="000000"/>
                <w:szCs w:val="21"/>
              </w:rPr>
              <w:t>支持线路过载保护功能，当某条外网线路拥塞时，自动将其流量切换到其他链路；系统对各出口的流量带宽进行实时监测，当自身接口的流量带宽超过配置的阈值时，新建会话的流量将不再从这个接口转发。当此接口的流量带宽回落到正常值以下时，新建会话的流量再恢复从这个接口转发。</w:t>
            </w:r>
          </w:p>
        </w:tc>
      </w:tr>
      <w:tr w14:paraId="4158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62E49FAB">
            <w:pPr>
              <w:widowControl/>
              <w:jc w:val="center"/>
              <w:rPr>
                <w:color w:val="000000"/>
                <w:szCs w:val="21"/>
              </w:rPr>
            </w:pPr>
          </w:p>
        </w:tc>
        <w:tc>
          <w:tcPr>
            <w:tcW w:w="7401" w:type="dxa"/>
            <w:shd w:val="clear" w:color="auto" w:fill="auto"/>
          </w:tcPr>
          <w:p w14:paraId="77CE5323">
            <w:pPr>
              <w:widowControl/>
              <w:jc w:val="left"/>
              <w:rPr>
                <w:color w:val="000000"/>
                <w:szCs w:val="21"/>
              </w:rPr>
            </w:pPr>
            <w:r>
              <w:rPr>
                <w:rFonts w:hint="eastAsia"/>
                <w:color w:val="000000"/>
                <w:szCs w:val="21"/>
              </w:rPr>
              <w:t>支持基于接口时延的动态切换能力：系统从多出接口向外部某一个或多个目的地址探测时延。当自身接口的时延超过配置的阈值时，新建会话的流量就不再从这个接口转发，而是走其它接口。当此接口的时延回落到正常值以下后，新建会话的流量再允许从这个接口转发。</w:t>
            </w:r>
          </w:p>
        </w:tc>
      </w:tr>
      <w:tr w14:paraId="1A80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restart"/>
            <w:vAlign w:val="center"/>
          </w:tcPr>
          <w:p w14:paraId="74B877CE">
            <w:pPr>
              <w:widowControl/>
              <w:jc w:val="center"/>
              <w:rPr>
                <w:color w:val="000000"/>
                <w:szCs w:val="21"/>
              </w:rPr>
            </w:pPr>
            <w:r>
              <w:rPr>
                <w:rFonts w:hint="eastAsia" w:ascii="宋体" w:hAnsi="宋体" w:cs="宋体"/>
                <w:b/>
                <w:bCs/>
                <w:kern w:val="0"/>
                <w:szCs w:val="21"/>
              </w:rPr>
              <w:t>NAT功能</w:t>
            </w:r>
          </w:p>
        </w:tc>
        <w:tc>
          <w:tcPr>
            <w:tcW w:w="7401" w:type="dxa"/>
            <w:shd w:val="clear" w:color="auto" w:fill="auto"/>
            <w:vAlign w:val="center"/>
          </w:tcPr>
          <w:p w14:paraId="63D9182A">
            <w:pPr>
              <w:widowControl/>
              <w:jc w:val="left"/>
              <w:rPr>
                <w:color w:val="000000"/>
                <w:szCs w:val="21"/>
              </w:rPr>
            </w:pPr>
            <w:r>
              <w:rPr>
                <w:rFonts w:hint="eastAsia"/>
                <w:color w:val="000000"/>
                <w:szCs w:val="21"/>
              </w:rPr>
              <w:t>★支持多对一、多对多的NAT地址转换，且公网地址池可选择逐一使用和同时使用两种模式。</w:t>
            </w:r>
          </w:p>
        </w:tc>
      </w:tr>
      <w:tr w14:paraId="1530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5E1EC933">
            <w:pPr>
              <w:widowControl/>
              <w:jc w:val="left"/>
              <w:rPr>
                <w:color w:val="000000"/>
                <w:szCs w:val="21"/>
              </w:rPr>
            </w:pPr>
          </w:p>
        </w:tc>
        <w:tc>
          <w:tcPr>
            <w:tcW w:w="7401" w:type="dxa"/>
            <w:shd w:val="clear" w:color="auto" w:fill="auto"/>
            <w:vAlign w:val="center"/>
          </w:tcPr>
          <w:p w14:paraId="5E198C82">
            <w:pPr>
              <w:widowControl/>
              <w:jc w:val="left"/>
              <w:rPr>
                <w:color w:val="000000"/>
                <w:szCs w:val="21"/>
              </w:rPr>
            </w:pPr>
            <w:r>
              <w:rPr>
                <w:rFonts w:hint="eastAsia"/>
                <w:color w:val="000000"/>
                <w:szCs w:val="21"/>
              </w:rPr>
              <w:t>为解决公网IP地址资源问题，要求支持NAT的端口扩展技术，支持</w:t>
            </w:r>
            <w:r>
              <w:rPr>
                <w:color w:val="000000"/>
                <w:szCs w:val="21"/>
              </w:rPr>
              <w:t>NAT full cone模式。</w:t>
            </w:r>
          </w:p>
        </w:tc>
      </w:tr>
      <w:tr w14:paraId="4A6A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74898E56">
            <w:pPr>
              <w:widowControl/>
              <w:jc w:val="left"/>
              <w:rPr>
                <w:color w:val="000000"/>
                <w:szCs w:val="21"/>
              </w:rPr>
            </w:pPr>
          </w:p>
        </w:tc>
        <w:tc>
          <w:tcPr>
            <w:tcW w:w="7401" w:type="dxa"/>
            <w:shd w:val="clear" w:color="auto" w:fill="auto"/>
            <w:vAlign w:val="center"/>
          </w:tcPr>
          <w:p w14:paraId="5C26752C">
            <w:pPr>
              <w:widowControl/>
              <w:jc w:val="left"/>
              <w:rPr>
                <w:color w:val="000000"/>
                <w:szCs w:val="21"/>
              </w:rPr>
            </w:pPr>
            <w:r>
              <w:rPr>
                <w:rFonts w:hint="eastAsia"/>
                <w:color w:val="000000"/>
                <w:szCs w:val="21"/>
              </w:rPr>
              <w:t>支持NAT公网地址池中IP有效性检测，避免因NAT地址无法使用导致业务中断，提供产品界面截图有效证明。</w:t>
            </w:r>
          </w:p>
        </w:tc>
      </w:tr>
      <w:tr w14:paraId="7AA2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restart"/>
            <w:vAlign w:val="center"/>
          </w:tcPr>
          <w:p w14:paraId="60193D5B">
            <w:pPr>
              <w:widowControl/>
              <w:jc w:val="center"/>
              <w:rPr>
                <w:color w:val="000000"/>
                <w:szCs w:val="21"/>
              </w:rPr>
            </w:pPr>
            <w:r>
              <w:rPr>
                <w:rFonts w:hint="eastAsia" w:ascii="宋体" w:hAnsi="宋体" w:cs="宋体"/>
                <w:b/>
                <w:bCs/>
                <w:kern w:val="0"/>
                <w:szCs w:val="21"/>
              </w:rPr>
              <w:t>IPv6功能</w:t>
            </w:r>
          </w:p>
        </w:tc>
        <w:tc>
          <w:tcPr>
            <w:tcW w:w="7401" w:type="dxa"/>
            <w:vAlign w:val="bottom"/>
          </w:tcPr>
          <w:p w14:paraId="4353A30D">
            <w:pPr>
              <w:widowControl/>
              <w:jc w:val="left"/>
              <w:rPr>
                <w:color w:val="000000"/>
                <w:szCs w:val="21"/>
              </w:rPr>
            </w:pPr>
            <w:r>
              <w:rPr>
                <w:rFonts w:hint="eastAsia"/>
                <w:color w:val="000000"/>
                <w:szCs w:val="21"/>
              </w:rPr>
              <w:t>★支持IPV6邻居发现协议、IPV6 SNMP管理、IPV6路由配置、IPV6 DNS配置、IPV6策略配置、IPV6 ALG配置、IPV6 6TO4隧道配置、IPV6 4to6隧道配置、NAT-PT配置、NAT64和DNS64配置。</w:t>
            </w:r>
          </w:p>
        </w:tc>
      </w:tr>
      <w:tr w14:paraId="0341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5A22E49D">
            <w:pPr>
              <w:widowControl/>
              <w:jc w:val="center"/>
              <w:rPr>
                <w:color w:val="000000"/>
                <w:szCs w:val="21"/>
              </w:rPr>
            </w:pPr>
          </w:p>
        </w:tc>
        <w:tc>
          <w:tcPr>
            <w:tcW w:w="7401" w:type="dxa"/>
            <w:vAlign w:val="bottom"/>
          </w:tcPr>
          <w:p w14:paraId="07A94177">
            <w:pPr>
              <w:widowControl/>
              <w:jc w:val="left"/>
              <w:rPr>
                <w:color w:val="000000"/>
                <w:szCs w:val="21"/>
              </w:rPr>
            </w:pPr>
            <w:r>
              <w:rPr>
                <w:rFonts w:hint="eastAsia"/>
                <w:color w:val="000000"/>
                <w:szCs w:val="21"/>
              </w:rPr>
              <w:t>★支持对IPV6用户的会话日志监控、流量监控、应用监控功能，并且能够对IPV6用户进行自定义监控统计功能，提供产品界面截图证明。</w:t>
            </w:r>
          </w:p>
        </w:tc>
      </w:tr>
      <w:tr w14:paraId="5B4C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770DEE61">
            <w:pPr>
              <w:widowControl/>
              <w:jc w:val="center"/>
              <w:rPr>
                <w:color w:val="000000"/>
                <w:szCs w:val="21"/>
              </w:rPr>
            </w:pPr>
          </w:p>
        </w:tc>
        <w:tc>
          <w:tcPr>
            <w:tcW w:w="7401" w:type="dxa"/>
            <w:vAlign w:val="bottom"/>
          </w:tcPr>
          <w:p w14:paraId="6C7EE60A">
            <w:pPr>
              <w:widowControl/>
              <w:jc w:val="left"/>
              <w:rPr>
                <w:color w:val="000000"/>
                <w:szCs w:val="21"/>
              </w:rPr>
            </w:pPr>
            <w:r>
              <w:rPr>
                <w:rFonts w:hint="eastAsia"/>
                <w:color w:val="000000"/>
                <w:szCs w:val="21"/>
              </w:rPr>
              <w:t>支持对IPV6协议的网络层攻击防护功能、支持扩展IPV6协议的IPS入侵防御、AV病毒过滤功能。</w:t>
            </w:r>
          </w:p>
        </w:tc>
      </w:tr>
      <w:tr w14:paraId="2A83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487" w:type="dxa"/>
            <w:vMerge w:val="restart"/>
            <w:vAlign w:val="center"/>
          </w:tcPr>
          <w:p w14:paraId="0EA7A8E8">
            <w:pPr>
              <w:widowControl/>
              <w:jc w:val="center"/>
              <w:rPr>
                <w:color w:val="000000"/>
                <w:szCs w:val="21"/>
              </w:rPr>
            </w:pPr>
            <w:r>
              <w:rPr>
                <w:rFonts w:hint="eastAsia"/>
                <w:szCs w:val="21"/>
              </w:rPr>
              <w:t>★</w:t>
            </w:r>
            <w:r>
              <w:rPr>
                <w:rFonts w:hint="eastAsia" w:ascii="宋体" w:hAnsi="宋体" w:cs="宋体"/>
                <w:b/>
                <w:bCs/>
                <w:kern w:val="0"/>
                <w:szCs w:val="21"/>
              </w:rPr>
              <w:t>链路功能</w:t>
            </w:r>
          </w:p>
        </w:tc>
        <w:tc>
          <w:tcPr>
            <w:tcW w:w="7401" w:type="dxa"/>
            <w:vAlign w:val="bottom"/>
          </w:tcPr>
          <w:p w14:paraId="51079243">
            <w:pPr>
              <w:widowControl/>
              <w:jc w:val="left"/>
              <w:rPr>
                <w:color w:val="000000"/>
                <w:szCs w:val="21"/>
              </w:rPr>
            </w:pPr>
            <w:r>
              <w:rPr>
                <w:rFonts w:hint="eastAsia"/>
                <w:color w:val="000000"/>
                <w:szCs w:val="21"/>
              </w:rPr>
              <w:t>支持接口链路聚合功能，能捆绑多条线路提高系统的性能与可用性，同时可以将多个物理接口捆绑成交换接口。</w:t>
            </w:r>
          </w:p>
        </w:tc>
      </w:tr>
      <w:tr w14:paraId="3A4A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vMerge w:val="continue"/>
            <w:vAlign w:val="center"/>
          </w:tcPr>
          <w:p w14:paraId="7FB8412F">
            <w:pPr>
              <w:widowControl/>
              <w:jc w:val="left"/>
              <w:rPr>
                <w:color w:val="000000"/>
                <w:szCs w:val="21"/>
              </w:rPr>
            </w:pPr>
          </w:p>
        </w:tc>
        <w:tc>
          <w:tcPr>
            <w:tcW w:w="7401" w:type="dxa"/>
            <w:vAlign w:val="bottom"/>
          </w:tcPr>
          <w:p w14:paraId="5AA9AC79">
            <w:pPr>
              <w:widowControl/>
              <w:jc w:val="left"/>
            </w:pPr>
            <w:r>
              <w:rPr>
                <w:rFonts w:hint="eastAsia"/>
                <w:color w:val="000000"/>
                <w:szCs w:val="21"/>
              </w:rPr>
              <w:t>支持出站链路负载均衡功能，能够自动探测多出口，选择最快的出口转发。</w:t>
            </w:r>
          </w:p>
        </w:tc>
      </w:tr>
      <w:tr w14:paraId="3266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shd w:val="clear" w:color="auto" w:fill="auto"/>
            <w:vAlign w:val="center"/>
          </w:tcPr>
          <w:p w14:paraId="55A9215E">
            <w:pPr>
              <w:widowControl/>
              <w:jc w:val="center"/>
              <w:rPr>
                <w:rFonts w:hint="eastAsia" w:cs="仿宋" w:asciiTheme="minorEastAsia" w:hAnsiTheme="minorEastAsia"/>
                <w:b/>
                <w:bCs/>
                <w:kern w:val="0"/>
                <w:szCs w:val="21"/>
              </w:rPr>
            </w:pPr>
            <w:r>
              <w:rPr>
                <w:rFonts w:hint="eastAsia" w:cs="仿宋" w:asciiTheme="minorEastAsia" w:hAnsiTheme="minorEastAsia"/>
                <w:b/>
                <w:bCs/>
                <w:kern w:val="0"/>
                <w:szCs w:val="21"/>
              </w:rPr>
              <w:t>IOT安全</w:t>
            </w:r>
          </w:p>
        </w:tc>
        <w:tc>
          <w:tcPr>
            <w:tcW w:w="7401" w:type="dxa"/>
            <w:shd w:val="clear" w:color="auto" w:fill="auto"/>
            <w:vAlign w:val="center"/>
          </w:tcPr>
          <w:p w14:paraId="5471F23B">
            <w:pPr>
              <w:widowControl/>
              <w:jc w:val="left"/>
              <w:rPr>
                <w:color w:val="000000"/>
                <w:szCs w:val="21"/>
              </w:rPr>
            </w:pPr>
            <w:r>
              <w:rPr>
                <w:rFonts w:hint="eastAsia"/>
                <w:color w:val="000000"/>
                <w:szCs w:val="21"/>
              </w:rPr>
              <w:t>支持通过分析流经设备的流量，识别视频监控中的IPC (网络摄像机)和NVR (网络硬盘录像机)等网络视频监控设备，并对识别出的设备进行实时监控，根据自定义配置对出现非法行为的网络视频监控设备进行阻断等操作。提供功能截图证明或检测报告。</w:t>
            </w:r>
          </w:p>
        </w:tc>
      </w:tr>
      <w:tr w14:paraId="0DCB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shd w:val="clear" w:color="auto" w:fill="auto"/>
            <w:vAlign w:val="center"/>
          </w:tcPr>
          <w:p w14:paraId="28425CDE">
            <w:pPr>
              <w:widowControl/>
              <w:jc w:val="center"/>
              <w:rPr>
                <w:rFonts w:hint="eastAsia" w:ascii="宋体" w:hAnsi="宋体" w:cs="宋体"/>
                <w:b/>
                <w:bCs/>
                <w:kern w:val="0"/>
                <w:szCs w:val="21"/>
              </w:rPr>
            </w:pPr>
            <w:r>
              <w:rPr>
                <w:rFonts w:hint="eastAsia" w:cs="仿宋" w:asciiTheme="minorEastAsia" w:hAnsiTheme="minorEastAsia"/>
                <w:b/>
                <w:bCs/>
                <w:kern w:val="0"/>
                <w:szCs w:val="21"/>
              </w:rPr>
              <w:t>可扩展性</w:t>
            </w:r>
          </w:p>
        </w:tc>
        <w:tc>
          <w:tcPr>
            <w:tcW w:w="7401" w:type="dxa"/>
            <w:shd w:val="clear" w:color="auto" w:fill="auto"/>
            <w:vAlign w:val="center"/>
          </w:tcPr>
          <w:p w14:paraId="14F172BD">
            <w:pPr>
              <w:widowControl/>
              <w:jc w:val="left"/>
              <w:rPr>
                <w:color w:val="262626"/>
                <w:szCs w:val="21"/>
              </w:rPr>
            </w:pPr>
            <w:r>
              <w:rPr>
                <w:rFonts w:hint="eastAsia"/>
                <w:color w:val="000000"/>
                <w:szCs w:val="21"/>
              </w:rPr>
              <w:t>可扩展支持第三方Docker镜像版本的导入和更新，支持第三方Docker运行信息查看，支持第三方 Docker的停止重启操作，提供功能截图证明或检测报告。</w:t>
            </w:r>
          </w:p>
        </w:tc>
      </w:tr>
      <w:tr w14:paraId="7933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7" w:type="dxa"/>
            <w:shd w:val="clear" w:color="auto" w:fill="auto"/>
            <w:vAlign w:val="center"/>
          </w:tcPr>
          <w:p w14:paraId="51CA72AD">
            <w:pPr>
              <w:widowControl/>
              <w:jc w:val="center"/>
              <w:rPr>
                <w:rFonts w:hint="eastAsia" w:ascii="宋体" w:hAnsi="宋体" w:cs="宋体"/>
                <w:b/>
                <w:bCs/>
                <w:kern w:val="0"/>
                <w:szCs w:val="21"/>
              </w:rPr>
            </w:pPr>
            <w:r>
              <w:rPr>
                <w:rFonts w:hint="eastAsia" w:ascii="宋体" w:hAnsi="宋体" w:cs="宋体"/>
                <w:b/>
                <w:bCs/>
                <w:kern w:val="0"/>
                <w:szCs w:val="21"/>
              </w:rPr>
              <w:t>云安全运维</w:t>
            </w:r>
          </w:p>
        </w:tc>
        <w:tc>
          <w:tcPr>
            <w:tcW w:w="7401" w:type="dxa"/>
            <w:shd w:val="clear" w:color="auto" w:fill="auto"/>
            <w:vAlign w:val="center"/>
          </w:tcPr>
          <w:p w14:paraId="5E9E47C3">
            <w:pPr>
              <w:widowControl/>
              <w:jc w:val="left"/>
              <w:rPr>
                <w:color w:val="262626"/>
                <w:szCs w:val="21"/>
              </w:rPr>
            </w:pPr>
            <w:r>
              <w:rPr>
                <w:rFonts w:hint="eastAsia"/>
                <w:color w:val="262626"/>
                <w:szCs w:val="21"/>
              </w:rPr>
              <w:t>提供SaaS模式的安全运维APP：通过手机可以第一时间获知设备的实时CPU、内存、流量趋势，以及应用、用户排名、威胁信息等安全状态、 帮助快速定位问题、安全可视化实时呈现。提供App下载URL。该APP不能是VPN 客户端软件。该APP不限制使用用户数，提供产品界面截图有效证明。</w:t>
            </w:r>
          </w:p>
        </w:tc>
      </w:tr>
      <w:tr w14:paraId="6C96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87" w:type="dxa"/>
            <w:vMerge w:val="restart"/>
            <w:vAlign w:val="center"/>
          </w:tcPr>
          <w:p w14:paraId="5A021D62">
            <w:pPr>
              <w:widowControl/>
              <w:jc w:val="center"/>
              <w:rPr>
                <w:rFonts w:hint="eastAsia" w:ascii="宋体" w:hAnsi="宋体"/>
                <w:color w:val="000000"/>
                <w:kern w:val="0"/>
                <w:sz w:val="24"/>
              </w:rPr>
            </w:pPr>
            <w:r>
              <w:rPr>
                <w:rFonts w:hint="eastAsia" w:ascii="宋体" w:hAnsi="宋体" w:cs="宋体"/>
                <w:b/>
                <w:bCs/>
                <w:kern w:val="0"/>
                <w:szCs w:val="21"/>
              </w:rPr>
              <w:t>管理特性</w:t>
            </w:r>
          </w:p>
        </w:tc>
        <w:tc>
          <w:tcPr>
            <w:tcW w:w="7401" w:type="dxa"/>
            <w:vAlign w:val="center"/>
          </w:tcPr>
          <w:p w14:paraId="1E2E2D91">
            <w:pPr>
              <w:widowControl/>
              <w:jc w:val="left"/>
              <w:rPr>
                <w:color w:val="262626"/>
                <w:szCs w:val="21"/>
              </w:rPr>
            </w:pPr>
            <w:r>
              <w:rPr>
                <w:rFonts w:hint="eastAsia"/>
                <w:color w:val="262626"/>
                <w:szCs w:val="21"/>
              </w:rPr>
              <w:t>支持不少于8个配置文件并存，并支持配置文件备注以便配置回退。</w:t>
            </w:r>
          </w:p>
        </w:tc>
      </w:tr>
      <w:tr w14:paraId="4B70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87" w:type="dxa"/>
            <w:vMerge w:val="continue"/>
            <w:vAlign w:val="center"/>
          </w:tcPr>
          <w:p w14:paraId="727F3104">
            <w:pPr>
              <w:widowControl/>
              <w:jc w:val="left"/>
              <w:rPr>
                <w:color w:val="000000"/>
                <w:szCs w:val="21"/>
              </w:rPr>
            </w:pPr>
          </w:p>
        </w:tc>
        <w:tc>
          <w:tcPr>
            <w:tcW w:w="7401" w:type="dxa"/>
            <w:vAlign w:val="center"/>
          </w:tcPr>
          <w:p w14:paraId="14884949">
            <w:pPr>
              <w:widowControl/>
              <w:jc w:val="left"/>
              <w:rPr>
                <w:color w:val="262626"/>
                <w:szCs w:val="21"/>
              </w:rPr>
            </w:pPr>
            <w:r>
              <w:rPr>
                <w:rFonts w:hint="eastAsia"/>
                <w:color w:val="262626"/>
                <w:szCs w:val="21"/>
              </w:rPr>
              <w:t>提供标准的SNMPV1/V2/V3协议管理方式。</w:t>
            </w:r>
          </w:p>
        </w:tc>
      </w:tr>
      <w:tr w14:paraId="0B00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87" w:type="dxa"/>
            <w:vMerge w:val="continue"/>
            <w:vAlign w:val="center"/>
          </w:tcPr>
          <w:p w14:paraId="2C3FE983">
            <w:pPr>
              <w:jc w:val="left"/>
              <w:rPr>
                <w:color w:val="000000"/>
                <w:szCs w:val="21"/>
              </w:rPr>
            </w:pPr>
          </w:p>
        </w:tc>
        <w:tc>
          <w:tcPr>
            <w:tcW w:w="7401" w:type="dxa"/>
            <w:vAlign w:val="center"/>
          </w:tcPr>
          <w:p w14:paraId="2AEE174A">
            <w:pPr>
              <w:widowControl/>
              <w:jc w:val="left"/>
              <w:rPr>
                <w:color w:val="262626"/>
                <w:szCs w:val="21"/>
              </w:rPr>
            </w:pPr>
            <w:r>
              <w:rPr>
                <w:rFonts w:hint="eastAsia"/>
                <w:color w:val="262626"/>
                <w:szCs w:val="21"/>
              </w:rPr>
              <w:t>支持基于IP地址的流量统计、支持基于应用的流量统计、支持基于IP地址的会话统计功能，支持基于应用的会话统计包括短时间周期和长时间周期。</w:t>
            </w:r>
          </w:p>
        </w:tc>
      </w:tr>
      <w:tr w14:paraId="67E2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87" w:type="dxa"/>
            <w:vAlign w:val="center"/>
          </w:tcPr>
          <w:p w14:paraId="2340C295">
            <w:pPr>
              <w:widowControl/>
              <w:jc w:val="left"/>
              <w:rPr>
                <w:color w:val="262626"/>
                <w:kern w:val="0"/>
                <w:szCs w:val="21"/>
              </w:rPr>
            </w:pPr>
            <w:r>
              <w:rPr>
                <w:rFonts w:hint="eastAsia"/>
                <w:szCs w:val="21"/>
              </w:rPr>
              <w:t>★</w:t>
            </w:r>
            <w:r>
              <w:rPr>
                <w:rFonts w:hint="eastAsia" w:ascii="宋体" w:hAnsi="宋体" w:cs="宋体"/>
                <w:b/>
                <w:bCs/>
                <w:kern w:val="0"/>
                <w:szCs w:val="21"/>
              </w:rPr>
              <w:t>安装要求</w:t>
            </w:r>
          </w:p>
        </w:tc>
        <w:tc>
          <w:tcPr>
            <w:tcW w:w="7401" w:type="dxa"/>
            <w:vAlign w:val="center"/>
          </w:tcPr>
          <w:p w14:paraId="06759504">
            <w:pPr>
              <w:widowControl/>
              <w:jc w:val="left"/>
              <w:rPr>
                <w:color w:val="262626"/>
                <w:kern w:val="0"/>
                <w:szCs w:val="21"/>
              </w:rPr>
            </w:pPr>
            <w:r>
              <w:rPr>
                <w:rFonts w:hint="eastAsia"/>
                <w:color w:val="262626"/>
                <w:szCs w:val="21"/>
              </w:rPr>
              <w:t>导轨、相关缆线（电源线、接地线等）必须齐全并满足机房实际布局连接要求。负责货物的搬运、安装和系统集成，并免费提供所需的各类连接线、光纤线、网线、电源线等相关配件，并负责根据用户现场环境做好地板承重加固、按照用户要求做好机房电源连接等工作。负责硬件操作系统等相关软件安装、系统集成、测试，并协助用户部署现有其他应用设备。</w:t>
            </w:r>
          </w:p>
        </w:tc>
      </w:tr>
      <w:tr w14:paraId="6B02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87" w:type="dxa"/>
            <w:vAlign w:val="center"/>
          </w:tcPr>
          <w:p w14:paraId="73A8E041">
            <w:pPr>
              <w:widowControl/>
              <w:jc w:val="left"/>
              <w:rPr>
                <w:color w:val="262626"/>
                <w:kern w:val="0"/>
                <w:szCs w:val="21"/>
              </w:rPr>
            </w:pPr>
            <w:r>
              <w:rPr>
                <w:rFonts w:hint="eastAsia"/>
                <w:szCs w:val="21"/>
              </w:rPr>
              <w:t>★</w:t>
            </w:r>
            <w:r>
              <w:rPr>
                <w:rFonts w:hint="eastAsia" w:ascii="宋体" w:hAnsi="宋体" w:cs="宋体"/>
                <w:b/>
                <w:bCs/>
                <w:kern w:val="0"/>
                <w:szCs w:val="21"/>
              </w:rPr>
              <w:t>服务要求</w:t>
            </w:r>
          </w:p>
        </w:tc>
        <w:tc>
          <w:tcPr>
            <w:tcW w:w="7401" w:type="dxa"/>
            <w:vAlign w:val="center"/>
          </w:tcPr>
          <w:p w14:paraId="30B00025">
            <w:pPr>
              <w:jc w:val="left"/>
              <w:rPr>
                <w:color w:val="262626"/>
                <w:szCs w:val="21"/>
              </w:rPr>
            </w:pPr>
            <w:r>
              <w:rPr>
                <w:rFonts w:hint="eastAsia"/>
                <w:color w:val="262626"/>
              </w:rPr>
              <w:t>提供5年原厂</w:t>
            </w:r>
            <w:r>
              <w:rPr>
                <w:color w:val="262626"/>
              </w:rPr>
              <w:t>7</w:t>
            </w:r>
            <w:r>
              <w:rPr>
                <w:rFonts w:hint="eastAsia"/>
                <w:color w:val="262626"/>
              </w:rPr>
              <w:t>×</w:t>
            </w:r>
            <w:r>
              <w:rPr>
                <w:color w:val="262626"/>
              </w:rPr>
              <w:t>24</w:t>
            </w:r>
            <w:r>
              <w:rPr>
                <w:rFonts w:hint="eastAsia"/>
                <w:color w:val="262626"/>
              </w:rPr>
              <w:t>免费现场包修服务和现场技术支持服务，提供5年软件升级服务。</w:t>
            </w:r>
          </w:p>
        </w:tc>
      </w:tr>
    </w:tbl>
    <w:p w14:paraId="55255623"/>
    <w:p w14:paraId="1466726E">
      <w:pPr>
        <w:spacing w:line="360" w:lineRule="auto"/>
        <w:outlineLvl w:val="2"/>
        <w:rPr>
          <w:sz w:val="24"/>
        </w:rPr>
      </w:pPr>
      <w:r>
        <w:rPr>
          <w:rFonts w:hint="eastAsia"/>
          <w:sz w:val="24"/>
        </w:rPr>
        <w:t>★</w:t>
      </w:r>
      <w:r>
        <w:rPr>
          <w:sz w:val="24"/>
        </w:rPr>
        <w:t>2.2</w:t>
      </w:r>
      <w:r>
        <w:rPr>
          <w:rFonts w:hint="eastAsia"/>
          <w:sz w:val="24"/>
        </w:rPr>
        <w:t xml:space="preserve"> 中标后测试要求</w:t>
      </w:r>
    </w:p>
    <w:p w14:paraId="3940A726">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与供应商签订合同且产品到货部署完毕后，采购人组织标后测试，测试内容为本技术需求书“二、技术要求”中“</w:t>
      </w:r>
      <w:r>
        <w:rPr>
          <w:sz w:val="24"/>
        </w:rPr>
        <w:t>2.1</w:t>
      </w:r>
      <w:r>
        <w:rPr>
          <w:rFonts w:hint="eastAsia"/>
          <w:sz w:val="24"/>
        </w:rPr>
        <w:t xml:space="preserve"> 防火墙技术</w:t>
      </w:r>
      <w:r>
        <w:rPr>
          <w:sz w:val="24"/>
        </w:rPr>
        <w:t>参数</w:t>
      </w:r>
      <w:r>
        <w:rPr>
          <w:rFonts w:hint="eastAsia" w:ascii="宋体" w:hAnsi="宋体"/>
          <w:color w:val="000000"/>
          <w:sz w:val="24"/>
          <w:szCs w:val="21"/>
        </w:rPr>
        <w:t>”章节中</w:t>
      </w:r>
      <w:r>
        <w:rPr>
          <w:rFonts w:ascii="宋体" w:hAnsi="宋体"/>
          <w:color w:val="000000"/>
          <w:sz w:val="24"/>
          <w:szCs w:val="21"/>
        </w:rPr>
        <w:t>的</w:t>
      </w:r>
      <w:r>
        <w:rPr>
          <w:rFonts w:hint="eastAsia" w:ascii="宋体" w:hAnsi="宋体"/>
          <w:color w:val="000000"/>
          <w:sz w:val="24"/>
          <w:szCs w:val="21"/>
        </w:rPr>
        <w:t>★条款，及中标人响应满足的非★条款。测试项全部满足则视为测试通过。</w:t>
      </w:r>
    </w:p>
    <w:p w14:paraId="005937B2">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原则上设备到货一周内，供应商须完成产品规划、安装、布线、压测等上线前准备工作，并立即向采购人申请中标后测试。测试内容有一项未满足的，或供应商未及时申请中标后测试，或未及时配合采购人完成测试工作且未给出合理理由的，视为测试不通过。</w:t>
      </w:r>
    </w:p>
    <w:p w14:paraId="79BA67CD">
      <w:pPr>
        <w:spacing w:line="360" w:lineRule="auto"/>
        <w:outlineLvl w:val="2"/>
        <w:rPr>
          <w:sz w:val="24"/>
        </w:rPr>
      </w:pPr>
      <w:r>
        <w:rPr>
          <w:rFonts w:hint="eastAsia"/>
          <w:sz w:val="24"/>
        </w:rPr>
        <w:t>★</w:t>
      </w:r>
      <w:r>
        <w:rPr>
          <w:sz w:val="24"/>
        </w:rPr>
        <w:t>2.3</w:t>
      </w:r>
      <w:r>
        <w:rPr>
          <w:rFonts w:hint="eastAsia"/>
          <w:sz w:val="24"/>
        </w:rPr>
        <w:t xml:space="preserve"> 平台割接要求</w:t>
      </w:r>
    </w:p>
    <w:p w14:paraId="7F2D0FE4">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为</w:t>
      </w:r>
      <w:r>
        <w:rPr>
          <w:rFonts w:ascii="宋体" w:hAnsi="宋体"/>
          <w:color w:val="000000"/>
          <w:sz w:val="24"/>
          <w:szCs w:val="21"/>
        </w:rPr>
        <w:t>保证</w:t>
      </w:r>
      <w:r>
        <w:rPr>
          <w:rFonts w:hint="eastAsia" w:ascii="宋体" w:hAnsi="宋体"/>
          <w:color w:val="000000"/>
          <w:sz w:val="24"/>
          <w:szCs w:val="21"/>
        </w:rPr>
        <w:t>本次</w:t>
      </w:r>
      <w:r>
        <w:rPr>
          <w:rFonts w:ascii="宋体" w:hAnsi="宋体"/>
          <w:color w:val="000000"/>
          <w:sz w:val="24"/>
          <w:szCs w:val="21"/>
        </w:rPr>
        <w:t>采购</w:t>
      </w:r>
      <w:r>
        <w:rPr>
          <w:rFonts w:hint="eastAsia" w:ascii="宋体" w:hAnsi="宋体"/>
          <w:color w:val="000000"/>
          <w:sz w:val="24"/>
          <w:szCs w:val="21"/>
        </w:rPr>
        <w:t>的</w:t>
      </w:r>
      <w:r>
        <w:rPr>
          <w:rFonts w:ascii="宋体" w:hAnsi="宋体"/>
          <w:color w:val="000000"/>
          <w:sz w:val="24"/>
          <w:szCs w:val="21"/>
        </w:rPr>
        <w:t>2台</w:t>
      </w:r>
      <w:r>
        <w:rPr>
          <w:rFonts w:hint="eastAsia" w:ascii="宋体" w:hAnsi="宋体"/>
          <w:color w:val="000000"/>
          <w:sz w:val="24"/>
          <w:szCs w:val="21"/>
        </w:rPr>
        <w:t>防火墙能够</w:t>
      </w:r>
      <w:r>
        <w:rPr>
          <w:rFonts w:ascii="宋体" w:hAnsi="宋体"/>
          <w:color w:val="000000"/>
          <w:sz w:val="24"/>
          <w:szCs w:val="21"/>
        </w:rPr>
        <w:t>顺利</w:t>
      </w:r>
      <w:r>
        <w:rPr>
          <w:rFonts w:hint="eastAsia" w:ascii="宋体" w:hAnsi="宋体"/>
          <w:color w:val="000000"/>
          <w:sz w:val="24"/>
          <w:szCs w:val="21"/>
        </w:rPr>
        <w:t>割接上线，供应商须负责割接期间的原防火墙厂商的沟通协调工作，包括且不限于前期准备、割接方案制定、割接实施、割接后保障等工作及承担可能存在的相关费用。</w:t>
      </w:r>
    </w:p>
    <w:p w14:paraId="7EC7A61F"/>
    <w:p w14:paraId="4C3CDCAF">
      <w:pPr>
        <w:spacing w:line="360" w:lineRule="auto"/>
        <w:outlineLvl w:val="1"/>
        <w:rPr>
          <w:b/>
          <w:sz w:val="24"/>
        </w:rPr>
      </w:pPr>
      <w:bookmarkStart w:id="67" w:name="_Toc17914"/>
      <w:r>
        <w:rPr>
          <w:rFonts w:hint="eastAsia"/>
          <w:b/>
          <w:sz w:val="24"/>
        </w:rPr>
        <w:t>三、</w:t>
      </w:r>
      <w:bookmarkEnd w:id="67"/>
      <w:r>
        <w:rPr>
          <w:rFonts w:hint="eastAsia"/>
          <w:b/>
          <w:sz w:val="24"/>
        </w:rPr>
        <w:t>防火墙割接方案</w:t>
      </w:r>
    </w:p>
    <w:p w14:paraId="55EB154B">
      <w:pPr>
        <w:spacing w:line="360" w:lineRule="auto"/>
        <w:ind w:firstLine="480" w:firstLineChars="200"/>
        <w:rPr>
          <w:sz w:val="24"/>
        </w:rPr>
      </w:pPr>
      <w:r>
        <w:rPr>
          <w:rFonts w:hint="eastAsia"/>
          <w:sz w:val="24"/>
        </w:rPr>
        <w:t>目前江苏有线云平台播出域资源池主要承载公司核心播出系统，平台稳定性和可用性要求极高，云平台播出域的网络拓扑架构如下所示：</w:t>
      </w:r>
    </w:p>
    <w:p w14:paraId="369CB16B">
      <w:pPr>
        <w:spacing w:line="360" w:lineRule="auto"/>
        <w:jc w:val="center"/>
        <w:rPr>
          <w:sz w:val="24"/>
        </w:rPr>
      </w:pPr>
      <w:r>
        <w:rPr>
          <w:sz w:val="24"/>
        </w:rPr>
        <w:object>
          <v:shape id="_x0000_i1025" o:spt="75" type="#_x0000_t75" style="height:259.5pt;width:437.2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14:paraId="344F212D">
      <w:pPr>
        <w:spacing w:line="360" w:lineRule="auto"/>
        <w:outlineLvl w:val="2"/>
        <w:rPr>
          <w:sz w:val="24"/>
        </w:rPr>
      </w:pPr>
      <w:r>
        <w:rPr>
          <w:sz w:val="24"/>
        </w:rPr>
        <w:t xml:space="preserve">3.1 </w:t>
      </w:r>
      <w:r>
        <w:rPr>
          <w:rFonts w:hint="eastAsia"/>
          <w:sz w:val="24"/>
        </w:rPr>
        <w:t>割接方案</w:t>
      </w:r>
    </w:p>
    <w:p w14:paraId="5AB883E0">
      <w:pPr>
        <w:spacing w:line="360" w:lineRule="auto"/>
        <w:ind w:firstLine="480" w:firstLineChars="200"/>
        <w:rPr>
          <w:sz w:val="24"/>
        </w:rPr>
      </w:pPr>
      <w:r>
        <w:rPr>
          <w:rFonts w:hint="eastAsia"/>
          <w:sz w:val="24"/>
        </w:rPr>
        <w:t>目前云平台播出域的两台防火墙为</w:t>
      </w:r>
      <w:r>
        <w:rPr>
          <w:sz w:val="24"/>
        </w:rPr>
        <w:t>2</w:t>
      </w:r>
      <w:r>
        <w:rPr>
          <w:rFonts w:hint="eastAsia"/>
          <w:sz w:val="24"/>
        </w:rPr>
        <w:t>台山石网科</w:t>
      </w:r>
      <w:r>
        <w:rPr>
          <w:sz w:val="24"/>
        </w:rPr>
        <w:t>SG-6000-P1266</w:t>
      </w:r>
      <w:r>
        <w:rPr>
          <w:rFonts w:hint="eastAsia"/>
          <w:sz w:val="24"/>
        </w:rPr>
        <w:t>防火墙，本次采购的两台防火墙用于替换以上山石网科</w:t>
      </w:r>
      <w:r>
        <w:rPr>
          <w:sz w:val="24"/>
        </w:rPr>
        <w:t>SG-6000-P1266</w:t>
      </w:r>
      <w:r>
        <w:rPr>
          <w:rFonts w:hint="eastAsia"/>
          <w:sz w:val="24"/>
        </w:rPr>
        <w:t>防火墙。请供应商从防火墙的平滑割接方案、业务计划中断时长及割接前后所需的配合工作（包括但不限于其它厂商人员、设备工具及外围对接系统等内容）等方面提供割接升级方案。</w:t>
      </w:r>
    </w:p>
    <w:p w14:paraId="73A821FB">
      <w:pPr>
        <w:spacing w:line="360" w:lineRule="auto"/>
        <w:outlineLvl w:val="2"/>
        <w:rPr>
          <w:sz w:val="24"/>
          <w:szCs w:val="21"/>
        </w:rPr>
      </w:pPr>
      <w:r>
        <w:rPr>
          <w:sz w:val="24"/>
          <w:szCs w:val="21"/>
        </w:rPr>
        <w:t>3.2</w:t>
      </w:r>
      <w:r>
        <w:rPr>
          <w:sz w:val="24"/>
        </w:rPr>
        <w:t xml:space="preserve"> </w:t>
      </w:r>
      <w:r>
        <w:rPr>
          <w:rFonts w:hint="eastAsia"/>
          <w:sz w:val="24"/>
          <w:szCs w:val="21"/>
        </w:rPr>
        <w:t>割接窗口</w:t>
      </w:r>
    </w:p>
    <w:p w14:paraId="142C92D2">
      <w:pPr>
        <w:spacing w:line="360" w:lineRule="auto"/>
        <w:ind w:firstLine="480" w:firstLineChars="200"/>
        <w:rPr>
          <w:sz w:val="24"/>
        </w:rPr>
      </w:pPr>
      <w:r>
        <w:rPr>
          <w:rFonts w:hint="eastAsia"/>
          <w:sz w:val="24"/>
        </w:rPr>
        <w:t>请供应商根据江苏有线云平台播出域当前网络架构，评估防火墙割接上线时需预留的时间窗口。响应情况将列入后续合同内。</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2736"/>
        <w:gridCol w:w="1719"/>
        <w:gridCol w:w="2390"/>
      </w:tblGrid>
      <w:tr w14:paraId="5B3A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0D0946DA">
            <w:pPr>
              <w:spacing w:line="360" w:lineRule="auto"/>
              <w:jc w:val="center"/>
              <w:rPr>
                <w:szCs w:val="21"/>
              </w:rPr>
            </w:pPr>
            <w:r>
              <w:rPr>
                <w:rFonts w:hint="eastAsia"/>
                <w:szCs w:val="21"/>
              </w:rPr>
              <w:t>投标人名称</w:t>
            </w:r>
          </w:p>
        </w:tc>
        <w:tc>
          <w:tcPr>
            <w:tcW w:w="2910" w:type="dxa"/>
            <w:vAlign w:val="center"/>
          </w:tcPr>
          <w:p w14:paraId="37EFD464">
            <w:pPr>
              <w:spacing w:line="360" w:lineRule="auto"/>
              <w:jc w:val="center"/>
              <w:rPr>
                <w:szCs w:val="21"/>
              </w:rPr>
            </w:pPr>
            <w:r>
              <w:rPr>
                <w:rFonts w:hint="eastAsia"/>
                <w:szCs w:val="21"/>
              </w:rPr>
              <w:t>本次投标产品品牌型号</w:t>
            </w:r>
          </w:p>
        </w:tc>
        <w:tc>
          <w:tcPr>
            <w:tcW w:w="1800" w:type="dxa"/>
            <w:vAlign w:val="center"/>
          </w:tcPr>
          <w:p w14:paraId="06B3C6D7">
            <w:pPr>
              <w:spacing w:line="360" w:lineRule="auto"/>
              <w:jc w:val="center"/>
              <w:rPr>
                <w:szCs w:val="21"/>
              </w:rPr>
            </w:pPr>
            <w:r>
              <w:rPr>
                <w:rFonts w:hint="eastAsia"/>
                <w:szCs w:val="21"/>
              </w:rPr>
              <w:t>需申请的割接时间窗口（分钟）</w:t>
            </w:r>
          </w:p>
        </w:tc>
        <w:tc>
          <w:tcPr>
            <w:tcW w:w="2522" w:type="dxa"/>
            <w:vAlign w:val="center"/>
          </w:tcPr>
          <w:p w14:paraId="39DFD6A9">
            <w:pPr>
              <w:spacing w:line="360" w:lineRule="auto"/>
              <w:jc w:val="center"/>
              <w:rPr>
                <w:szCs w:val="21"/>
              </w:rPr>
            </w:pPr>
            <w:r>
              <w:rPr>
                <w:rFonts w:hint="eastAsia"/>
                <w:szCs w:val="21"/>
              </w:rPr>
              <w:t>备注</w:t>
            </w:r>
          </w:p>
        </w:tc>
      </w:tr>
      <w:tr w14:paraId="27FE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1771" w:type="dxa"/>
            <w:vAlign w:val="center"/>
          </w:tcPr>
          <w:p w14:paraId="7CAA421F">
            <w:pPr>
              <w:spacing w:line="360" w:lineRule="auto"/>
              <w:jc w:val="center"/>
              <w:rPr>
                <w:szCs w:val="21"/>
              </w:rPr>
            </w:pPr>
          </w:p>
        </w:tc>
        <w:tc>
          <w:tcPr>
            <w:tcW w:w="2910" w:type="dxa"/>
            <w:vAlign w:val="center"/>
          </w:tcPr>
          <w:p w14:paraId="2AB7AB9B">
            <w:pPr>
              <w:spacing w:line="360" w:lineRule="auto"/>
              <w:jc w:val="center"/>
              <w:rPr>
                <w:szCs w:val="21"/>
              </w:rPr>
            </w:pPr>
          </w:p>
        </w:tc>
        <w:tc>
          <w:tcPr>
            <w:tcW w:w="1800" w:type="dxa"/>
            <w:vAlign w:val="center"/>
          </w:tcPr>
          <w:p w14:paraId="633F1506">
            <w:pPr>
              <w:spacing w:line="360" w:lineRule="auto"/>
              <w:jc w:val="center"/>
              <w:rPr>
                <w:szCs w:val="21"/>
              </w:rPr>
            </w:pPr>
          </w:p>
        </w:tc>
        <w:tc>
          <w:tcPr>
            <w:tcW w:w="2522" w:type="dxa"/>
            <w:vAlign w:val="center"/>
          </w:tcPr>
          <w:p w14:paraId="06167E78">
            <w:pPr>
              <w:spacing w:line="360" w:lineRule="auto"/>
              <w:jc w:val="center"/>
              <w:rPr>
                <w:szCs w:val="21"/>
              </w:rPr>
            </w:pPr>
            <w:r>
              <w:rPr>
                <w:rFonts w:hint="eastAsia"/>
                <w:szCs w:val="21"/>
              </w:rPr>
              <w:t>割接时间窗口具体指防火墙割接期间的业务中断时间（以中断时间最长的业务为准）</w:t>
            </w:r>
          </w:p>
        </w:tc>
      </w:tr>
    </w:tbl>
    <w:p w14:paraId="68DAF9D4">
      <w:pPr>
        <w:spacing w:line="360" w:lineRule="auto"/>
        <w:outlineLvl w:val="1"/>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四、服务内容</w:t>
      </w:r>
    </w:p>
    <w:p w14:paraId="33AF2863">
      <w:pPr>
        <w:spacing w:line="360" w:lineRule="auto"/>
        <w:outlineLvl w:val="2"/>
        <w:rPr>
          <w:sz w:val="24"/>
        </w:rPr>
      </w:pPr>
      <w:r>
        <w:rPr>
          <w:sz w:val="24"/>
        </w:rPr>
        <w:t xml:space="preserve">4.1 </w:t>
      </w:r>
      <w:r>
        <w:rPr>
          <w:rFonts w:hint="eastAsia"/>
          <w:sz w:val="24"/>
        </w:rPr>
        <w:t>实施要求</w:t>
      </w:r>
    </w:p>
    <w:p w14:paraId="61AD26CB">
      <w:pPr>
        <w:numPr>
          <w:ilvl w:val="0"/>
          <w:numId w:val="16"/>
        </w:numPr>
        <w:spacing w:line="360" w:lineRule="auto"/>
        <w:ind w:left="-2" w:leftChars="-1" w:firstLine="487" w:firstLineChars="203"/>
        <w:rPr>
          <w:rFonts w:hint="eastAsia" w:ascii="宋体" w:hAnsi="宋体"/>
          <w:sz w:val="24"/>
        </w:rPr>
      </w:pPr>
      <w:r>
        <w:rPr>
          <w:rFonts w:hint="eastAsia" w:ascii="宋体" w:hAnsi="宋体"/>
          <w:color w:val="000000"/>
          <w:kern w:val="0"/>
          <w:sz w:val="24"/>
        </w:rPr>
        <w:t>供应商成立由到货上架、布线</w:t>
      </w:r>
      <w:r>
        <w:rPr>
          <w:rFonts w:ascii="宋体" w:hAnsi="宋体"/>
          <w:color w:val="000000"/>
          <w:kern w:val="0"/>
          <w:sz w:val="24"/>
        </w:rPr>
        <w:t>、上电、</w:t>
      </w:r>
      <w:r>
        <w:rPr>
          <w:rFonts w:hint="eastAsia" w:ascii="宋体" w:hAnsi="宋体"/>
          <w:color w:val="000000"/>
          <w:kern w:val="0"/>
          <w:sz w:val="24"/>
        </w:rPr>
        <w:t>安装</w:t>
      </w:r>
      <w:r>
        <w:rPr>
          <w:rFonts w:ascii="宋体" w:hAnsi="宋体"/>
          <w:color w:val="000000"/>
          <w:kern w:val="0"/>
          <w:sz w:val="24"/>
        </w:rPr>
        <w:t>部署</w:t>
      </w:r>
      <w:r>
        <w:rPr>
          <w:rFonts w:hint="eastAsia" w:ascii="宋体" w:hAnsi="宋体"/>
          <w:color w:val="000000"/>
          <w:kern w:val="0"/>
          <w:sz w:val="24"/>
        </w:rPr>
        <w:t>、</w:t>
      </w:r>
      <w:r>
        <w:rPr>
          <w:rFonts w:ascii="宋体" w:hAnsi="宋体"/>
          <w:color w:val="000000"/>
          <w:kern w:val="0"/>
          <w:sz w:val="24"/>
        </w:rPr>
        <w:t>高可用测试等</w:t>
      </w:r>
      <w:r>
        <w:rPr>
          <w:rFonts w:hint="eastAsia" w:ascii="宋体" w:hAnsi="宋体"/>
          <w:color w:val="000000"/>
          <w:kern w:val="0"/>
          <w:sz w:val="24"/>
        </w:rPr>
        <w:t>服务组成的项目团队，团队成员必须由经验丰富的人员组成，团队成员应具有强烈的服务意识和高度的责任感。项目团队人员包</w:t>
      </w:r>
      <w:r>
        <w:rPr>
          <w:rFonts w:hint="eastAsia" w:ascii="宋体" w:hAnsi="宋体"/>
          <w:sz w:val="24"/>
        </w:rPr>
        <w:t>项目经理、系统架构师等项目核心成员须具备本科及以上学历、主持相关大型项目的实施经验，供应商未经采购</w:t>
      </w:r>
      <w:r>
        <w:rPr>
          <w:rFonts w:ascii="宋体" w:hAnsi="宋体"/>
          <w:sz w:val="24"/>
        </w:rPr>
        <w:t>人</w:t>
      </w:r>
      <w:r>
        <w:rPr>
          <w:rFonts w:hint="eastAsia" w:ascii="宋体" w:hAnsi="宋体"/>
          <w:sz w:val="24"/>
        </w:rPr>
        <w:t>同意项目经理、系统架构师及各分项目负责人在项目结束前不得变更。</w:t>
      </w:r>
      <w:r>
        <w:rPr>
          <w:rFonts w:hint="eastAsia" w:ascii="宋体" w:hAnsi="宋体"/>
          <w:color w:val="000000"/>
          <w:kern w:val="0"/>
          <w:sz w:val="24"/>
        </w:rPr>
        <w:t>供应商</w:t>
      </w:r>
      <w:r>
        <w:rPr>
          <w:rFonts w:hint="eastAsia" w:ascii="宋体" w:hAnsi="宋体"/>
          <w:sz w:val="24"/>
        </w:rPr>
        <w:t>需提供项目实施的人员组织架构图以及项目组人员情况表。</w:t>
      </w:r>
    </w:p>
    <w:tbl>
      <w:tblPr>
        <w:tblStyle w:val="19"/>
        <w:tblW w:w="8604"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0"/>
        <w:gridCol w:w="850"/>
        <w:gridCol w:w="1093"/>
        <w:gridCol w:w="1692"/>
        <w:gridCol w:w="1043"/>
        <w:gridCol w:w="1559"/>
        <w:gridCol w:w="1367"/>
      </w:tblGrid>
      <w:tr w14:paraId="414EE8F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00" w:type="dxa"/>
            <w:tcBorders>
              <w:left w:val="single" w:color="auto" w:sz="4" w:space="0"/>
              <w:bottom w:val="single" w:color="auto" w:sz="4" w:space="0"/>
            </w:tcBorders>
          </w:tcPr>
          <w:p w14:paraId="4AB628DD">
            <w:pPr>
              <w:spacing w:line="360" w:lineRule="auto"/>
              <w:jc w:val="center"/>
              <w:rPr>
                <w:rFonts w:hint="eastAsia" w:ascii="宋体" w:hAnsi="宋体"/>
                <w:sz w:val="24"/>
              </w:rPr>
            </w:pPr>
            <w:r>
              <w:rPr>
                <w:rFonts w:hint="eastAsia" w:ascii="宋体" w:hAnsi="宋体"/>
                <w:sz w:val="24"/>
              </w:rPr>
              <w:t>序号</w:t>
            </w:r>
          </w:p>
        </w:tc>
        <w:tc>
          <w:tcPr>
            <w:tcW w:w="850" w:type="dxa"/>
            <w:tcBorders>
              <w:left w:val="single" w:color="auto" w:sz="4" w:space="0"/>
              <w:bottom w:val="single" w:color="auto" w:sz="4" w:space="0"/>
            </w:tcBorders>
          </w:tcPr>
          <w:p w14:paraId="494A8E6F">
            <w:pPr>
              <w:spacing w:line="360" w:lineRule="auto"/>
              <w:jc w:val="center"/>
              <w:rPr>
                <w:rFonts w:hint="eastAsia" w:ascii="宋体" w:hAnsi="宋体"/>
                <w:sz w:val="24"/>
              </w:rPr>
            </w:pPr>
            <w:r>
              <w:rPr>
                <w:rFonts w:hint="eastAsia" w:ascii="宋体" w:hAnsi="宋体"/>
                <w:sz w:val="24"/>
              </w:rPr>
              <w:t>姓名</w:t>
            </w:r>
          </w:p>
        </w:tc>
        <w:tc>
          <w:tcPr>
            <w:tcW w:w="1093" w:type="dxa"/>
            <w:tcBorders>
              <w:left w:val="single" w:color="auto" w:sz="4" w:space="0"/>
              <w:bottom w:val="single" w:color="auto" w:sz="4" w:space="0"/>
            </w:tcBorders>
          </w:tcPr>
          <w:p w14:paraId="4C472498">
            <w:pPr>
              <w:spacing w:line="360" w:lineRule="auto"/>
              <w:jc w:val="center"/>
              <w:rPr>
                <w:rFonts w:hint="eastAsia" w:ascii="宋体" w:hAnsi="宋体"/>
                <w:sz w:val="24"/>
              </w:rPr>
            </w:pPr>
            <w:r>
              <w:rPr>
                <w:rFonts w:hint="eastAsia" w:ascii="宋体" w:hAnsi="宋体"/>
                <w:sz w:val="24"/>
              </w:rPr>
              <w:t>角色</w:t>
            </w:r>
          </w:p>
        </w:tc>
        <w:tc>
          <w:tcPr>
            <w:tcW w:w="1692" w:type="dxa"/>
            <w:tcBorders>
              <w:left w:val="single" w:color="auto" w:sz="4" w:space="0"/>
              <w:bottom w:val="single" w:color="auto" w:sz="4" w:space="0"/>
              <w:right w:val="single" w:color="auto" w:sz="4" w:space="0"/>
            </w:tcBorders>
          </w:tcPr>
          <w:p w14:paraId="6053C71D">
            <w:pPr>
              <w:spacing w:line="360" w:lineRule="auto"/>
              <w:jc w:val="center"/>
              <w:rPr>
                <w:rFonts w:hint="eastAsia" w:ascii="宋体" w:hAnsi="宋体"/>
                <w:sz w:val="24"/>
              </w:rPr>
            </w:pPr>
            <w:r>
              <w:rPr>
                <w:rFonts w:hint="eastAsia" w:ascii="宋体" w:hAnsi="宋体"/>
                <w:sz w:val="24"/>
              </w:rPr>
              <w:t>职责</w:t>
            </w:r>
          </w:p>
        </w:tc>
        <w:tc>
          <w:tcPr>
            <w:tcW w:w="1043" w:type="dxa"/>
            <w:tcBorders>
              <w:left w:val="single" w:color="auto" w:sz="4" w:space="0"/>
              <w:bottom w:val="single" w:color="auto" w:sz="4" w:space="0"/>
              <w:right w:val="single" w:color="auto" w:sz="4" w:space="0"/>
            </w:tcBorders>
          </w:tcPr>
          <w:p w14:paraId="090A92F5">
            <w:pPr>
              <w:spacing w:line="360" w:lineRule="auto"/>
              <w:jc w:val="center"/>
              <w:rPr>
                <w:rFonts w:hint="eastAsia" w:ascii="宋体" w:hAnsi="宋体"/>
                <w:sz w:val="24"/>
              </w:rPr>
            </w:pPr>
            <w:r>
              <w:rPr>
                <w:rFonts w:hint="eastAsia" w:ascii="宋体" w:hAnsi="宋体"/>
                <w:sz w:val="24"/>
              </w:rPr>
              <w:t>年龄</w:t>
            </w:r>
          </w:p>
        </w:tc>
        <w:tc>
          <w:tcPr>
            <w:tcW w:w="1559" w:type="dxa"/>
            <w:tcBorders>
              <w:left w:val="single" w:color="auto" w:sz="4" w:space="0"/>
              <w:bottom w:val="single" w:color="auto" w:sz="4" w:space="0"/>
              <w:right w:val="single" w:color="auto" w:sz="4" w:space="0"/>
            </w:tcBorders>
          </w:tcPr>
          <w:p w14:paraId="75B4784C">
            <w:pPr>
              <w:spacing w:line="360" w:lineRule="auto"/>
              <w:jc w:val="center"/>
              <w:rPr>
                <w:rFonts w:hint="eastAsia" w:ascii="宋体" w:hAnsi="宋体"/>
                <w:sz w:val="24"/>
              </w:rPr>
            </w:pPr>
            <w:r>
              <w:rPr>
                <w:rFonts w:hint="eastAsia" w:ascii="宋体" w:hAnsi="宋体"/>
                <w:sz w:val="24"/>
              </w:rPr>
              <w:t>项目</w:t>
            </w:r>
            <w:r>
              <w:rPr>
                <w:rFonts w:ascii="宋体" w:hAnsi="宋体"/>
                <w:sz w:val="24"/>
              </w:rPr>
              <w:t>经验</w:t>
            </w:r>
          </w:p>
        </w:tc>
        <w:tc>
          <w:tcPr>
            <w:tcW w:w="1367" w:type="dxa"/>
            <w:tcBorders>
              <w:left w:val="single" w:color="auto" w:sz="4" w:space="0"/>
              <w:bottom w:val="single" w:color="auto" w:sz="4" w:space="0"/>
              <w:right w:val="single" w:color="auto" w:sz="4" w:space="0"/>
            </w:tcBorders>
          </w:tcPr>
          <w:p w14:paraId="2777FDC3">
            <w:pPr>
              <w:spacing w:line="360" w:lineRule="auto"/>
              <w:jc w:val="center"/>
              <w:rPr>
                <w:rFonts w:hint="eastAsia" w:ascii="宋体" w:hAnsi="宋体"/>
                <w:sz w:val="24"/>
              </w:rPr>
            </w:pPr>
            <w:r>
              <w:rPr>
                <w:rFonts w:hint="eastAsia" w:ascii="宋体" w:hAnsi="宋体"/>
                <w:sz w:val="24"/>
              </w:rPr>
              <w:t>现场/远程</w:t>
            </w:r>
          </w:p>
        </w:tc>
      </w:tr>
      <w:tr w14:paraId="6BD7738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1000" w:type="dxa"/>
            <w:tcBorders>
              <w:top w:val="single" w:color="auto" w:sz="4" w:space="0"/>
              <w:left w:val="single" w:color="auto" w:sz="4" w:space="0"/>
              <w:bottom w:val="single" w:color="auto" w:sz="4" w:space="0"/>
            </w:tcBorders>
          </w:tcPr>
          <w:p w14:paraId="0B4B7438">
            <w:pPr>
              <w:spacing w:line="360" w:lineRule="auto"/>
              <w:jc w:val="center"/>
              <w:rPr>
                <w:rFonts w:hint="eastAsia" w:ascii="宋体" w:hAnsi="宋体"/>
                <w:sz w:val="24"/>
              </w:rPr>
            </w:pPr>
          </w:p>
        </w:tc>
        <w:tc>
          <w:tcPr>
            <w:tcW w:w="850" w:type="dxa"/>
            <w:tcBorders>
              <w:top w:val="single" w:color="auto" w:sz="4" w:space="0"/>
              <w:left w:val="single" w:color="auto" w:sz="4" w:space="0"/>
              <w:bottom w:val="single" w:color="auto" w:sz="4" w:space="0"/>
            </w:tcBorders>
          </w:tcPr>
          <w:p w14:paraId="68B635D3">
            <w:pPr>
              <w:spacing w:line="360" w:lineRule="auto"/>
              <w:jc w:val="center"/>
              <w:rPr>
                <w:rFonts w:hint="eastAsia" w:ascii="宋体" w:hAnsi="宋体"/>
                <w:sz w:val="24"/>
              </w:rPr>
            </w:pPr>
          </w:p>
        </w:tc>
        <w:tc>
          <w:tcPr>
            <w:tcW w:w="1093" w:type="dxa"/>
            <w:tcBorders>
              <w:top w:val="single" w:color="auto" w:sz="4" w:space="0"/>
              <w:left w:val="single" w:color="auto" w:sz="4" w:space="0"/>
              <w:bottom w:val="single" w:color="auto" w:sz="4" w:space="0"/>
            </w:tcBorders>
          </w:tcPr>
          <w:p w14:paraId="313BC34F">
            <w:pPr>
              <w:spacing w:line="360" w:lineRule="auto"/>
              <w:jc w:val="center"/>
              <w:rPr>
                <w:rFonts w:hint="eastAsia" w:ascii="宋体" w:hAnsi="宋体"/>
                <w:sz w:val="24"/>
              </w:rPr>
            </w:pPr>
          </w:p>
        </w:tc>
        <w:tc>
          <w:tcPr>
            <w:tcW w:w="1692" w:type="dxa"/>
            <w:tcBorders>
              <w:top w:val="single" w:color="auto" w:sz="4" w:space="0"/>
              <w:left w:val="single" w:color="auto" w:sz="4" w:space="0"/>
              <w:bottom w:val="single" w:color="auto" w:sz="4" w:space="0"/>
              <w:right w:val="single" w:color="auto" w:sz="4" w:space="0"/>
            </w:tcBorders>
          </w:tcPr>
          <w:p w14:paraId="5CC07781">
            <w:pPr>
              <w:spacing w:line="360" w:lineRule="auto"/>
              <w:jc w:val="center"/>
              <w:rPr>
                <w:rFonts w:hint="eastAsia" w:ascii="宋体" w:hAnsi="宋体"/>
                <w:sz w:val="24"/>
              </w:rPr>
            </w:pPr>
          </w:p>
        </w:tc>
        <w:tc>
          <w:tcPr>
            <w:tcW w:w="1043" w:type="dxa"/>
            <w:tcBorders>
              <w:top w:val="single" w:color="auto" w:sz="4" w:space="0"/>
              <w:left w:val="single" w:color="auto" w:sz="4" w:space="0"/>
              <w:bottom w:val="single" w:color="auto" w:sz="4" w:space="0"/>
              <w:right w:val="single" w:color="auto" w:sz="4" w:space="0"/>
            </w:tcBorders>
          </w:tcPr>
          <w:p w14:paraId="5EB5667B">
            <w:pPr>
              <w:spacing w:line="360" w:lineRule="auto"/>
              <w:jc w:val="center"/>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7029559F">
            <w:pPr>
              <w:spacing w:line="360" w:lineRule="auto"/>
              <w:jc w:val="center"/>
              <w:rPr>
                <w:rFonts w:hint="eastAsia" w:ascii="宋体" w:hAnsi="宋体"/>
                <w:sz w:val="24"/>
              </w:rPr>
            </w:pPr>
          </w:p>
        </w:tc>
        <w:tc>
          <w:tcPr>
            <w:tcW w:w="1367" w:type="dxa"/>
            <w:tcBorders>
              <w:top w:val="single" w:color="auto" w:sz="4" w:space="0"/>
              <w:left w:val="single" w:color="auto" w:sz="4" w:space="0"/>
              <w:bottom w:val="single" w:color="auto" w:sz="4" w:space="0"/>
              <w:right w:val="single" w:color="auto" w:sz="4" w:space="0"/>
            </w:tcBorders>
          </w:tcPr>
          <w:p w14:paraId="7CC6A5E6">
            <w:pPr>
              <w:spacing w:line="360" w:lineRule="auto"/>
              <w:jc w:val="center"/>
              <w:rPr>
                <w:rFonts w:hint="eastAsia" w:ascii="宋体" w:hAnsi="宋体"/>
                <w:sz w:val="24"/>
              </w:rPr>
            </w:pPr>
          </w:p>
        </w:tc>
      </w:tr>
    </w:tbl>
    <w:p w14:paraId="4378999A">
      <w:pPr>
        <w:numPr>
          <w:ilvl w:val="0"/>
          <w:numId w:val="16"/>
        </w:numPr>
        <w:spacing w:line="360" w:lineRule="auto"/>
        <w:ind w:left="-2" w:leftChars="-1" w:firstLine="480" w:firstLineChars="200"/>
        <w:rPr>
          <w:rFonts w:hint="eastAsia" w:ascii="宋体" w:hAnsi="宋体"/>
          <w:color w:val="000000"/>
          <w:kern w:val="0"/>
          <w:sz w:val="24"/>
        </w:rPr>
      </w:pPr>
      <w:r>
        <w:rPr>
          <w:rFonts w:hint="eastAsia" w:ascii="宋体" w:hAnsi="宋体"/>
          <w:color w:val="000000"/>
          <w:kern w:val="0"/>
          <w:sz w:val="24"/>
        </w:rPr>
        <w:t>供应商提供详细的实施方案，实施方案中要明确实施步骤及每步骤的工作量、工作内容、交付成果，</w:t>
      </w:r>
      <w:r>
        <w:rPr>
          <w:rFonts w:ascii="宋体" w:hAnsi="宋体"/>
          <w:color w:val="000000"/>
          <w:kern w:val="0"/>
          <w:sz w:val="24"/>
        </w:rPr>
        <w:t>检验方法</w:t>
      </w:r>
      <w:r>
        <w:rPr>
          <w:rFonts w:hint="eastAsia" w:ascii="宋体" w:hAnsi="宋体"/>
          <w:color w:val="000000"/>
          <w:kern w:val="0"/>
          <w:sz w:val="24"/>
        </w:rPr>
        <w:t>。</w:t>
      </w:r>
    </w:p>
    <w:p w14:paraId="04A97766">
      <w:pPr>
        <w:numPr>
          <w:ilvl w:val="0"/>
          <w:numId w:val="16"/>
        </w:numPr>
        <w:spacing w:line="360" w:lineRule="auto"/>
        <w:rPr>
          <w:rFonts w:hint="eastAsia" w:ascii="宋体" w:hAnsi="宋体"/>
          <w:color w:val="000000"/>
          <w:kern w:val="0"/>
          <w:sz w:val="24"/>
        </w:rPr>
      </w:pPr>
      <w:r>
        <w:rPr>
          <w:rFonts w:hint="eastAsia" w:ascii="宋体" w:hAnsi="宋体"/>
          <w:color w:val="000000"/>
          <w:kern w:val="0"/>
          <w:sz w:val="24"/>
        </w:rPr>
        <w:t>在试运行阶段，承建单位应进行全程跟踪，提供全面技术支持服务，确保试运行的顺利进行，达到检验系统、完善系统的目的。</w:t>
      </w:r>
    </w:p>
    <w:p w14:paraId="74563E59">
      <w:pPr>
        <w:numPr>
          <w:ilvl w:val="0"/>
          <w:numId w:val="16"/>
        </w:numPr>
        <w:spacing w:line="360" w:lineRule="auto"/>
        <w:rPr>
          <w:rFonts w:hint="eastAsia" w:ascii="宋体" w:hAnsi="宋体"/>
          <w:color w:val="000000"/>
          <w:kern w:val="0"/>
          <w:sz w:val="24"/>
        </w:rPr>
      </w:pPr>
      <w:r>
        <w:rPr>
          <w:rFonts w:hint="eastAsia" w:ascii="宋体" w:hAnsi="宋体"/>
          <w:color w:val="000000"/>
          <w:kern w:val="0"/>
          <w:sz w:val="24"/>
        </w:rPr>
        <w:t>要求供应商在方案中列出服务期内的免费服务项目以及收费项目和收费标准。</w:t>
      </w:r>
    </w:p>
    <w:p w14:paraId="2BA2C250">
      <w:pPr>
        <w:numPr>
          <w:ilvl w:val="0"/>
          <w:numId w:val="16"/>
        </w:numPr>
        <w:spacing w:line="360" w:lineRule="auto"/>
        <w:rPr>
          <w:rFonts w:hint="eastAsia" w:ascii="宋体" w:hAnsi="宋体"/>
          <w:color w:val="000000"/>
          <w:kern w:val="0"/>
          <w:sz w:val="24"/>
        </w:rPr>
      </w:pPr>
      <w:r>
        <w:rPr>
          <w:rFonts w:hint="eastAsia" w:ascii="宋体" w:hAnsi="宋体"/>
          <w:color w:val="000000"/>
          <w:kern w:val="0"/>
          <w:sz w:val="24"/>
        </w:rPr>
        <w:t>项目验收以完成既定的项目任务及交付成果/文档为标准。</w:t>
      </w:r>
    </w:p>
    <w:p w14:paraId="1E0532C8">
      <w:pPr>
        <w:spacing w:line="360" w:lineRule="auto"/>
        <w:outlineLvl w:val="2"/>
        <w:rPr>
          <w:sz w:val="24"/>
        </w:rPr>
      </w:pPr>
      <w:bookmarkStart w:id="68" w:name="_Toc184198651"/>
      <w:r>
        <w:rPr>
          <w:sz w:val="24"/>
        </w:rPr>
        <w:t>4.2</w:t>
      </w:r>
      <w:r>
        <w:rPr>
          <w:rFonts w:hint="eastAsia"/>
          <w:sz w:val="24"/>
        </w:rPr>
        <w:t xml:space="preserve"> 项目实施方案</w:t>
      </w:r>
      <w:bookmarkEnd w:id="68"/>
    </w:p>
    <w:p w14:paraId="4879F394">
      <w:pPr>
        <w:spacing w:line="360" w:lineRule="auto"/>
        <w:ind w:firstLine="480" w:firstLineChars="200"/>
        <w:rPr>
          <w:rFonts w:hint="eastAsia" w:ascii="宋体" w:hAnsi="宋体"/>
          <w:sz w:val="24"/>
        </w:rPr>
      </w:pPr>
      <w:r>
        <w:rPr>
          <w:rFonts w:hint="eastAsia" w:ascii="宋体" w:hAnsi="宋体"/>
          <w:sz w:val="24"/>
        </w:rPr>
        <w:t>根据</w:t>
      </w:r>
      <w:r>
        <w:rPr>
          <w:rFonts w:hint="eastAsia" w:ascii="宋体" w:hAnsi="宋体"/>
          <w:color w:val="000000"/>
          <w:kern w:val="0"/>
          <w:sz w:val="24"/>
        </w:rPr>
        <w:t>供应商</w:t>
      </w:r>
      <w:r>
        <w:rPr>
          <w:rFonts w:hint="eastAsia" w:ascii="宋体" w:hAnsi="宋体"/>
          <w:sz w:val="24"/>
        </w:rPr>
        <w:t>的技术方案，提供项目人员安排、实施计划、实施步骤、测试计划和培训计划，保证项目顺利完成。</w:t>
      </w:r>
    </w:p>
    <w:p w14:paraId="09825534">
      <w:pPr>
        <w:numPr>
          <w:ilvl w:val="0"/>
          <w:numId w:val="16"/>
        </w:numPr>
        <w:spacing w:line="360" w:lineRule="auto"/>
        <w:rPr>
          <w:rFonts w:hint="eastAsia" w:ascii="宋体" w:hAnsi="宋体"/>
          <w:kern w:val="0"/>
          <w:sz w:val="24"/>
        </w:rPr>
      </w:pPr>
      <w:r>
        <w:rPr>
          <w:rFonts w:hint="eastAsia" w:ascii="宋体" w:hAnsi="宋体"/>
          <w:kern w:val="0"/>
          <w:sz w:val="24"/>
        </w:rPr>
        <w:t>实施方案</w:t>
      </w:r>
    </w:p>
    <w:p w14:paraId="680B5699">
      <w:pPr>
        <w:spacing w:line="360" w:lineRule="auto"/>
        <w:ind w:firstLine="480" w:firstLineChars="200"/>
        <w:rPr>
          <w:rFonts w:hint="eastAsia" w:ascii="宋体" w:hAnsi="宋体"/>
          <w:sz w:val="24"/>
        </w:rPr>
      </w:pPr>
      <w:r>
        <w:rPr>
          <w:rFonts w:hint="eastAsia" w:ascii="宋体" w:hAnsi="宋体"/>
          <w:sz w:val="24"/>
        </w:rPr>
        <w:t>请</w:t>
      </w:r>
      <w:r>
        <w:rPr>
          <w:rFonts w:hint="eastAsia" w:ascii="宋体" w:hAnsi="宋体"/>
          <w:color w:val="000000"/>
          <w:kern w:val="0"/>
          <w:sz w:val="24"/>
        </w:rPr>
        <w:t>供应商</w:t>
      </w:r>
      <w:r>
        <w:rPr>
          <w:rFonts w:hint="eastAsia" w:ascii="宋体" w:hAnsi="宋体"/>
          <w:sz w:val="24"/>
        </w:rPr>
        <w:t>根据以上时间要求，提出具体到货、安装、调试、运行等工程进度表和分工界面。包括：</w:t>
      </w:r>
    </w:p>
    <w:p w14:paraId="160619F4">
      <w:pPr>
        <w:numPr>
          <w:ilvl w:val="0"/>
          <w:numId w:val="17"/>
        </w:numPr>
        <w:spacing w:line="360" w:lineRule="auto"/>
        <w:ind w:left="0" w:firstLine="480" w:firstLineChars="200"/>
        <w:rPr>
          <w:rFonts w:hint="eastAsia" w:ascii="宋体" w:hAnsi="宋体" w:cs="宋体"/>
          <w:color w:val="000000"/>
          <w:kern w:val="0"/>
          <w:sz w:val="24"/>
        </w:rPr>
      </w:pPr>
      <w:r>
        <w:rPr>
          <w:rFonts w:hint="eastAsia" w:ascii="宋体" w:hAnsi="宋体" w:cs="宋体"/>
          <w:color w:val="000000"/>
          <w:kern w:val="0"/>
          <w:sz w:val="24"/>
        </w:rPr>
        <w:t>需求调研、方案规划、设备上架、系统配置、系统测试、系统培训等，对应主要阶段性成果；</w:t>
      </w:r>
    </w:p>
    <w:p w14:paraId="031E6E7A">
      <w:pPr>
        <w:numPr>
          <w:ilvl w:val="0"/>
          <w:numId w:val="17"/>
        </w:numPr>
        <w:spacing w:line="360" w:lineRule="auto"/>
        <w:ind w:left="0" w:firstLine="480" w:firstLineChars="200"/>
        <w:rPr>
          <w:rFonts w:hint="eastAsia" w:ascii="宋体" w:hAnsi="宋体" w:cs="宋体"/>
          <w:color w:val="000000"/>
          <w:kern w:val="0"/>
          <w:sz w:val="24"/>
        </w:rPr>
      </w:pPr>
      <w:r>
        <w:rPr>
          <w:rFonts w:hint="eastAsia" w:ascii="宋体" w:hAnsi="宋体" w:cs="宋体"/>
          <w:color w:val="000000"/>
          <w:kern w:val="0"/>
          <w:sz w:val="24"/>
        </w:rPr>
        <w:t>实际项目组人员配备数量和素质，列出具体名单和投入时间段；</w:t>
      </w:r>
    </w:p>
    <w:p w14:paraId="4180E0B6">
      <w:pPr>
        <w:numPr>
          <w:ilvl w:val="0"/>
          <w:numId w:val="17"/>
        </w:numPr>
        <w:spacing w:line="360" w:lineRule="auto"/>
        <w:ind w:left="0" w:firstLine="480" w:firstLineChars="200"/>
        <w:rPr>
          <w:rFonts w:hint="eastAsia" w:ascii="宋体" w:hAnsi="宋体" w:cs="宋体"/>
          <w:color w:val="000000"/>
          <w:kern w:val="0"/>
          <w:sz w:val="24"/>
        </w:rPr>
      </w:pPr>
      <w:r>
        <w:rPr>
          <w:rFonts w:hint="eastAsia" w:ascii="宋体" w:hAnsi="宋体" w:cs="宋体"/>
          <w:color w:val="000000"/>
          <w:kern w:val="0"/>
          <w:sz w:val="24"/>
        </w:rPr>
        <w:t>进度计划和进度把控方案、输出成果；</w:t>
      </w:r>
    </w:p>
    <w:p w14:paraId="08398E46">
      <w:pPr>
        <w:numPr>
          <w:ilvl w:val="0"/>
          <w:numId w:val="17"/>
        </w:numPr>
        <w:spacing w:line="360" w:lineRule="auto"/>
        <w:ind w:left="0" w:firstLine="480" w:firstLineChars="200"/>
        <w:rPr>
          <w:rFonts w:hint="eastAsia" w:ascii="宋体" w:hAnsi="宋体" w:cs="宋体"/>
          <w:color w:val="000000"/>
          <w:kern w:val="0"/>
          <w:sz w:val="24"/>
        </w:rPr>
      </w:pPr>
      <w:r>
        <w:rPr>
          <w:rFonts w:hint="eastAsia" w:ascii="宋体" w:hAnsi="宋体" w:cs="宋体"/>
          <w:color w:val="000000"/>
          <w:kern w:val="0"/>
          <w:sz w:val="24"/>
        </w:rPr>
        <w:t>主要工作量评估、风险点及风险控制方法；</w:t>
      </w:r>
    </w:p>
    <w:p w14:paraId="2313C9FB">
      <w:pPr>
        <w:numPr>
          <w:ilvl w:val="0"/>
          <w:numId w:val="17"/>
        </w:numPr>
        <w:spacing w:line="360" w:lineRule="auto"/>
        <w:ind w:left="0" w:firstLine="480" w:firstLineChars="200"/>
        <w:rPr>
          <w:sz w:val="24"/>
        </w:rPr>
      </w:pPr>
      <w:r>
        <w:rPr>
          <w:rFonts w:hint="eastAsia" w:ascii="宋体" w:hAnsi="宋体" w:cs="宋体"/>
          <w:color w:val="000000"/>
          <w:kern w:val="0"/>
          <w:sz w:val="24"/>
        </w:rPr>
        <w:t>对采购人日常生产活动如日常维护监控等工作量的影响情况等。</w:t>
      </w:r>
    </w:p>
    <w:p w14:paraId="49385EA7">
      <w:pPr>
        <w:spacing w:line="360" w:lineRule="auto"/>
        <w:outlineLvl w:val="2"/>
        <w:rPr>
          <w:sz w:val="24"/>
        </w:rPr>
      </w:pPr>
      <w:bookmarkStart w:id="69" w:name="_Toc184198652"/>
      <w:r>
        <w:rPr>
          <w:sz w:val="24"/>
        </w:rPr>
        <w:t>4.3</w:t>
      </w:r>
      <w:r>
        <w:rPr>
          <w:rFonts w:hint="eastAsia"/>
          <w:sz w:val="24"/>
        </w:rPr>
        <w:t xml:space="preserve"> 技术培训</w:t>
      </w:r>
      <w:bookmarkEnd w:id="69"/>
    </w:p>
    <w:p w14:paraId="1293F68D">
      <w:pPr>
        <w:numPr>
          <w:ilvl w:val="0"/>
          <w:numId w:val="16"/>
        </w:numPr>
        <w:spacing w:line="360" w:lineRule="auto"/>
        <w:rPr>
          <w:rFonts w:hint="eastAsia" w:ascii="宋体" w:hAnsi="宋体"/>
          <w:kern w:val="0"/>
          <w:sz w:val="24"/>
        </w:rPr>
      </w:pPr>
      <w:r>
        <w:rPr>
          <w:rFonts w:hint="eastAsia" w:ascii="宋体" w:hAnsi="宋体"/>
          <w:color w:val="000000"/>
          <w:kern w:val="0"/>
          <w:sz w:val="24"/>
        </w:rPr>
        <w:t>供应商</w:t>
      </w:r>
      <w:r>
        <w:rPr>
          <w:rFonts w:hint="eastAsia" w:ascii="宋体" w:hAnsi="宋体"/>
          <w:kern w:val="0"/>
          <w:sz w:val="24"/>
        </w:rPr>
        <w:t>应负责采购人技术人员和管理专家的技术培训,培训讲师、</w:t>
      </w:r>
      <w:r>
        <w:rPr>
          <w:rFonts w:ascii="宋体" w:hAnsi="宋体"/>
          <w:kern w:val="0"/>
          <w:sz w:val="24"/>
        </w:rPr>
        <w:t>课程和内容须由</w:t>
      </w:r>
      <w:r>
        <w:rPr>
          <w:rFonts w:hint="eastAsia" w:ascii="宋体" w:hAnsi="宋体"/>
          <w:kern w:val="0"/>
          <w:sz w:val="24"/>
        </w:rPr>
        <w:t>制造商</w:t>
      </w:r>
      <w:r>
        <w:rPr>
          <w:rFonts w:ascii="宋体" w:hAnsi="宋体"/>
          <w:kern w:val="0"/>
          <w:sz w:val="24"/>
        </w:rPr>
        <w:t>直接提供，</w:t>
      </w:r>
      <w:r>
        <w:rPr>
          <w:rFonts w:hint="eastAsia" w:ascii="宋体" w:hAnsi="宋体"/>
          <w:kern w:val="0"/>
          <w:sz w:val="24"/>
        </w:rPr>
        <w:t>关于培训做以下说明：</w:t>
      </w:r>
    </w:p>
    <w:p w14:paraId="51663672">
      <w:pPr>
        <w:pStyle w:val="29"/>
        <w:numPr>
          <w:ilvl w:val="0"/>
          <w:numId w:val="18"/>
        </w:numPr>
        <w:spacing w:line="360" w:lineRule="auto"/>
        <w:ind w:firstLineChars="0"/>
        <w:rPr>
          <w:rFonts w:hint="eastAsia"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应提供预培训的详细计划（包括人数、时间、课程等）及培训所需的教材和教师讲解和说明。教材和讲解说明要求用中文（或其他经双方商定的文字）编写。</w:t>
      </w:r>
    </w:p>
    <w:p w14:paraId="5943883B">
      <w:pPr>
        <w:pStyle w:val="29"/>
        <w:numPr>
          <w:ilvl w:val="0"/>
          <w:numId w:val="18"/>
        </w:numPr>
        <w:spacing w:line="360" w:lineRule="auto"/>
        <w:ind w:firstLineChars="0"/>
        <w:rPr>
          <w:rFonts w:hint="eastAsia" w:ascii="宋体" w:hAnsi="宋体" w:eastAsia="宋体"/>
          <w:sz w:val="24"/>
          <w:szCs w:val="24"/>
        </w:rPr>
      </w:pPr>
      <w:r>
        <w:rPr>
          <w:rFonts w:ascii="宋体" w:hAnsi="宋体" w:eastAsia="宋体"/>
          <w:sz w:val="24"/>
          <w:szCs w:val="24"/>
        </w:rPr>
        <w:t>为使维护人员能独立进行设备及软件的安装、测试、运营、维护以及元部件的修理等。要求</w:t>
      </w:r>
      <w:r>
        <w:rPr>
          <w:rFonts w:hint="eastAsia" w:ascii="宋体" w:hAnsi="宋体" w:eastAsia="宋体"/>
          <w:sz w:val="24"/>
          <w:szCs w:val="24"/>
        </w:rPr>
        <w:t>供应商</w:t>
      </w:r>
      <w:r>
        <w:rPr>
          <w:rFonts w:ascii="宋体" w:hAnsi="宋体" w:eastAsia="宋体"/>
          <w:sz w:val="24"/>
          <w:szCs w:val="24"/>
        </w:rPr>
        <w:t>负责对维护人员进行现场培训。现场培训可在安装调测阶段及移交后进行。</w:t>
      </w:r>
    </w:p>
    <w:p w14:paraId="0ECE30F4">
      <w:pPr>
        <w:numPr>
          <w:ilvl w:val="0"/>
          <w:numId w:val="16"/>
        </w:numPr>
        <w:spacing w:line="360" w:lineRule="auto"/>
        <w:rPr>
          <w:rFonts w:hint="eastAsia" w:ascii="宋体" w:hAnsi="宋体"/>
          <w:kern w:val="0"/>
          <w:sz w:val="24"/>
        </w:rPr>
      </w:pPr>
      <w:r>
        <w:rPr>
          <w:rFonts w:hint="eastAsia" w:ascii="宋体" w:hAnsi="宋体"/>
          <w:kern w:val="0"/>
          <w:sz w:val="24"/>
        </w:rPr>
        <w:t>培训教材、设备，供应商应提供全套培训教材。培训使用教材应包括相关的安装测试和维护技术。操作维护培训和高级培训应包括所提供操作维护方法、安装调测、排除故障等各个方面。</w:t>
      </w:r>
    </w:p>
    <w:p w14:paraId="1738BB3D">
      <w:pPr>
        <w:numPr>
          <w:ilvl w:val="0"/>
          <w:numId w:val="16"/>
        </w:numPr>
        <w:spacing w:line="360" w:lineRule="auto"/>
        <w:rPr>
          <w:rFonts w:hint="eastAsia" w:ascii="宋体" w:hAnsi="宋体"/>
          <w:kern w:val="0"/>
          <w:sz w:val="24"/>
        </w:rPr>
      </w:pPr>
      <w:r>
        <w:rPr>
          <w:rFonts w:hint="eastAsia" w:ascii="宋体" w:hAnsi="宋体"/>
          <w:sz w:val="24"/>
        </w:rPr>
        <w:t>供应商</w:t>
      </w:r>
      <w:r>
        <w:rPr>
          <w:rFonts w:hint="eastAsia" w:ascii="宋体" w:hAnsi="宋体"/>
          <w:kern w:val="0"/>
          <w:sz w:val="24"/>
        </w:rPr>
        <w:t>应该保证采购人技术人员接受培训后能熟练掌握系统的使用和维护。</w:t>
      </w:r>
    </w:p>
    <w:p w14:paraId="7673C848">
      <w:pPr>
        <w:numPr>
          <w:ilvl w:val="0"/>
          <w:numId w:val="16"/>
        </w:numPr>
        <w:spacing w:line="360" w:lineRule="auto"/>
        <w:rPr>
          <w:rFonts w:hint="eastAsia" w:ascii="宋体" w:hAnsi="宋体"/>
          <w:kern w:val="0"/>
          <w:sz w:val="24"/>
        </w:rPr>
      </w:pPr>
      <w:r>
        <w:rPr>
          <w:rFonts w:hint="eastAsia" w:ascii="宋体" w:hAnsi="宋体"/>
          <w:sz w:val="24"/>
        </w:rPr>
        <w:t>供应商</w:t>
      </w:r>
      <w:r>
        <w:rPr>
          <w:rFonts w:hint="eastAsia" w:ascii="宋体" w:hAnsi="宋体"/>
          <w:kern w:val="0"/>
          <w:sz w:val="24"/>
        </w:rPr>
        <w:t>免费提供运维人员的相关技能、使用及维护等培训。</w:t>
      </w:r>
    </w:p>
    <w:p w14:paraId="52D76A0A">
      <w:pPr>
        <w:numPr>
          <w:ilvl w:val="0"/>
          <w:numId w:val="16"/>
        </w:numPr>
        <w:spacing w:line="360" w:lineRule="auto"/>
        <w:rPr>
          <w:rFonts w:hint="eastAsia" w:ascii="宋体" w:hAnsi="宋体"/>
          <w:kern w:val="0"/>
          <w:sz w:val="24"/>
        </w:rPr>
      </w:pPr>
      <w:r>
        <w:rPr>
          <w:rFonts w:hint="eastAsia" w:ascii="宋体" w:hAnsi="宋体"/>
          <w:sz w:val="24"/>
        </w:rPr>
        <w:t>供应商</w:t>
      </w:r>
      <w:r>
        <w:rPr>
          <w:rFonts w:hint="eastAsia" w:ascii="宋体" w:hAnsi="宋体"/>
          <w:kern w:val="0"/>
          <w:sz w:val="24"/>
        </w:rPr>
        <w:t>承担培训任务的师资具有相当的理论实践水平和实际工作经验。</w:t>
      </w:r>
    </w:p>
    <w:p w14:paraId="2D0BF373">
      <w:pPr>
        <w:numPr>
          <w:ilvl w:val="0"/>
          <w:numId w:val="16"/>
        </w:numPr>
        <w:spacing w:line="360" w:lineRule="auto"/>
        <w:rPr>
          <w:rFonts w:hint="eastAsia" w:ascii="宋体" w:hAnsi="宋体"/>
          <w:kern w:val="0"/>
          <w:sz w:val="24"/>
        </w:rPr>
      </w:pPr>
      <w:r>
        <w:rPr>
          <w:rFonts w:hint="eastAsia" w:ascii="宋体" w:hAnsi="宋体"/>
          <w:sz w:val="24"/>
        </w:rPr>
        <w:t>供应商</w:t>
      </w:r>
      <w:r>
        <w:rPr>
          <w:rFonts w:hint="eastAsia" w:ascii="宋体" w:hAnsi="宋体"/>
          <w:kern w:val="0"/>
          <w:sz w:val="24"/>
        </w:rPr>
        <w:t>负责提供教材和实际的操作环境，保证培训的质量和效果。</w:t>
      </w:r>
    </w:p>
    <w:p w14:paraId="3E87593F">
      <w:pPr>
        <w:numPr>
          <w:ilvl w:val="0"/>
          <w:numId w:val="16"/>
        </w:numPr>
        <w:spacing w:line="360" w:lineRule="auto"/>
        <w:rPr>
          <w:rFonts w:hint="eastAsia" w:ascii="宋体" w:hAnsi="宋体"/>
          <w:kern w:val="0"/>
          <w:sz w:val="24"/>
        </w:rPr>
      </w:pPr>
      <w:r>
        <w:rPr>
          <w:rFonts w:hint="eastAsia" w:ascii="宋体" w:hAnsi="宋体"/>
          <w:kern w:val="0"/>
          <w:sz w:val="24"/>
        </w:rPr>
        <w:t>通过培训，使采购人的技术人员能够达到能对系统独立进行管理、维护测试和故障处理等工作，以便系统能正常、安全地运行。</w:t>
      </w:r>
    </w:p>
    <w:p w14:paraId="697790E3">
      <w:pPr>
        <w:spacing w:line="360" w:lineRule="auto"/>
        <w:outlineLvl w:val="2"/>
        <w:rPr>
          <w:sz w:val="24"/>
        </w:rPr>
      </w:pPr>
      <w:bookmarkStart w:id="70" w:name="_Toc184198653"/>
      <w:r>
        <w:rPr>
          <w:sz w:val="24"/>
        </w:rPr>
        <w:t>4.4</w:t>
      </w:r>
      <w:r>
        <w:rPr>
          <w:rFonts w:hint="eastAsia"/>
          <w:sz w:val="24"/>
        </w:rPr>
        <w:t xml:space="preserve"> 技术服务</w:t>
      </w:r>
      <w:bookmarkEnd w:id="70"/>
    </w:p>
    <w:p w14:paraId="2AFE4DDA">
      <w:pPr>
        <w:spacing w:line="360" w:lineRule="auto"/>
        <w:ind w:firstLine="480" w:firstLineChars="200"/>
        <w:rPr>
          <w:rFonts w:hint="eastAsia" w:ascii="宋体" w:hAnsi="宋体"/>
          <w:sz w:val="24"/>
        </w:rPr>
      </w:pPr>
      <w:r>
        <w:rPr>
          <w:rFonts w:hint="eastAsia" w:ascii="宋体" w:hAnsi="宋体"/>
          <w:sz w:val="24"/>
        </w:rPr>
        <w:t>详细</w:t>
      </w:r>
      <w:r>
        <w:rPr>
          <w:rFonts w:ascii="宋体" w:hAnsi="宋体"/>
          <w:sz w:val="24"/>
        </w:rPr>
        <w:t>描述</w:t>
      </w:r>
      <w:r>
        <w:rPr>
          <w:rFonts w:hint="eastAsia" w:ascii="宋体" w:hAnsi="宋体"/>
          <w:sz w:val="24"/>
        </w:rPr>
        <w:t>针对本项目</w:t>
      </w:r>
      <w:r>
        <w:rPr>
          <w:rFonts w:ascii="宋体" w:hAnsi="宋体"/>
          <w:sz w:val="24"/>
        </w:rPr>
        <w:t>的</w:t>
      </w:r>
      <w:r>
        <w:rPr>
          <w:rFonts w:hint="eastAsia" w:ascii="宋体" w:hAnsi="宋体"/>
          <w:sz w:val="24"/>
        </w:rPr>
        <w:t>运维</w:t>
      </w:r>
      <w:r>
        <w:rPr>
          <w:rFonts w:ascii="宋体" w:hAnsi="宋体"/>
          <w:sz w:val="24"/>
        </w:rPr>
        <w:t>服务</w:t>
      </w:r>
      <w:r>
        <w:rPr>
          <w:rFonts w:hint="eastAsia" w:ascii="宋体" w:hAnsi="宋体"/>
          <w:sz w:val="24"/>
        </w:rPr>
        <w:t>渠道</w:t>
      </w:r>
      <w:r>
        <w:rPr>
          <w:rFonts w:ascii="宋体" w:hAnsi="宋体"/>
          <w:sz w:val="24"/>
        </w:rPr>
        <w:t>、</w:t>
      </w:r>
      <w:r>
        <w:rPr>
          <w:rFonts w:hint="eastAsia" w:ascii="宋体" w:hAnsi="宋体"/>
          <w:sz w:val="24"/>
        </w:rPr>
        <w:t>运维</w:t>
      </w:r>
      <w:r>
        <w:rPr>
          <w:rFonts w:ascii="宋体" w:hAnsi="宋体"/>
          <w:sz w:val="24"/>
        </w:rPr>
        <w:t>服务</w:t>
      </w:r>
      <w:r>
        <w:rPr>
          <w:rFonts w:hint="eastAsia" w:ascii="宋体" w:hAnsi="宋体"/>
          <w:sz w:val="24"/>
        </w:rPr>
        <w:t>内容</w:t>
      </w:r>
      <w:r>
        <w:rPr>
          <w:rFonts w:ascii="宋体" w:hAnsi="宋体"/>
          <w:sz w:val="24"/>
        </w:rPr>
        <w:t>和</w:t>
      </w:r>
      <w:r>
        <w:rPr>
          <w:rFonts w:hint="eastAsia" w:ascii="宋体" w:hAnsi="宋体"/>
          <w:sz w:val="24"/>
        </w:rPr>
        <w:t>各级</w:t>
      </w:r>
      <w:r>
        <w:rPr>
          <w:rFonts w:ascii="宋体" w:hAnsi="宋体"/>
          <w:sz w:val="24"/>
        </w:rPr>
        <w:t>故障</w:t>
      </w:r>
      <w:r>
        <w:rPr>
          <w:rFonts w:hint="eastAsia" w:ascii="宋体" w:hAnsi="宋体"/>
          <w:sz w:val="24"/>
        </w:rPr>
        <w:t>的</w:t>
      </w:r>
      <w:r>
        <w:rPr>
          <w:rFonts w:ascii="宋体" w:hAnsi="宋体"/>
          <w:sz w:val="24"/>
        </w:rPr>
        <w:t>RTO和RPO</w:t>
      </w:r>
      <w:r>
        <w:rPr>
          <w:rFonts w:hint="eastAsia" w:ascii="宋体" w:hAnsi="宋体"/>
          <w:sz w:val="24"/>
        </w:rPr>
        <w:t>指标标准</w:t>
      </w:r>
      <w:r>
        <w:rPr>
          <w:rFonts w:ascii="宋体" w:hAnsi="宋体"/>
          <w:sz w:val="24"/>
        </w:rPr>
        <w:t>。</w:t>
      </w:r>
    </w:p>
    <w:p w14:paraId="78FD618F">
      <w:pPr>
        <w:numPr>
          <w:ilvl w:val="0"/>
          <w:numId w:val="16"/>
        </w:numPr>
        <w:spacing w:line="360" w:lineRule="auto"/>
        <w:rPr>
          <w:rFonts w:hint="eastAsia" w:ascii="宋体" w:hAnsi="宋体"/>
          <w:color w:val="000000"/>
          <w:kern w:val="0"/>
          <w:sz w:val="24"/>
        </w:rPr>
      </w:pPr>
      <w:r>
        <w:rPr>
          <w:rFonts w:hint="eastAsia" w:ascii="宋体" w:hAnsi="宋体"/>
          <w:color w:val="000000"/>
          <w:kern w:val="0"/>
          <w:sz w:val="24"/>
        </w:rPr>
        <w:t>“服务”系指</w:t>
      </w:r>
      <w:r>
        <w:rPr>
          <w:rFonts w:hint="eastAsia" w:ascii="宋体" w:hAnsi="宋体"/>
          <w:sz w:val="24"/>
        </w:rPr>
        <w:t>供应商</w:t>
      </w:r>
      <w:r>
        <w:rPr>
          <w:rFonts w:hint="eastAsia" w:ascii="宋体" w:hAnsi="宋体"/>
          <w:color w:val="000000"/>
          <w:kern w:val="0"/>
          <w:sz w:val="24"/>
        </w:rPr>
        <w:t>须免费承担的安装、指导、调试、技术协助、培训以及其他类似的义务。服务又具体包括如下几种：</w:t>
      </w:r>
    </w:p>
    <w:p w14:paraId="2B94A216">
      <w:pPr>
        <w:pStyle w:val="29"/>
        <w:numPr>
          <w:ilvl w:val="0"/>
          <w:numId w:val="19"/>
        </w:numPr>
        <w:spacing w:line="360" w:lineRule="auto"/>
        <w:ind w:firstLineChars="0"/>
        <w:rPr>
          <w:rFonts w:hint="eastAsia" w:ascii="宋体" w:hAnsi="宋体" w:eastAsia="宋体"/>
          <w:szCs w:val="21"/>
        </w:rPr>
      </w:pPr>
      <w:r>
        <w:rPr>
          <w:rFonts w:ascii="宋体" w:hAnsi="宋体" w:eastAsia="宋体"/>
          <w:szCs w:val="21"/>
        </w:rPr>
        <w:t>“电话支持服务”系指</w:t>
      </w:r>
      <w:r>
        <w:rPr>
          <w:rFonts w:hint="eastAsia" w:ascii="宋体" w:hAnsi="宋体" w:eastAsia="宋体"/>
          <w:szCs w:val="21"/>
        </w:rPr>
        <w:t>供应商</w:t>
      </w:r>
      <w:r>
        <w:rPr>
          <w:rFonts w:ascii="宋体" w:hAnsi="宋体" w:eastAsia="宋体"/>
          <w:szCs w:val="21"/>
        </w:rPr>
        <w:t>将为</w:t>
      </w:r>
      <w:r>
        <w:rPr>
          <w:rFonts w:hint="eastAsia" w:ascii="宋体" w:hAnsi="宋体" w:eastAsia="宋体"/>
          <w:szCs w:val="21"/>
        </w:rPr>
        <w:t>采购</w:t>
      </w:r>
      <w:r>
        <w:rPr>
          <w:rFonts w:ascii="宋体" w:hAnsi="宋体" w:eastAsia="宋体"/>
          <w:szCs w:val="21"/>
        </w:rPr>
        <w:t>人提供响应电话。当</w:t>
      </w:r>
      <w:r>
        <w:rPr>
          <w:rFonts w:hint="eastAsia" w:ascii="宋体" w:hAnsi="宋体" w:eastAsia="宋体"/>
          <w:szCs w:val="21"/>
        </w:rPr>
        <w:t>采购</w:t>
      </w:r>
      <w:r>
        <w:rPr>
          <w:rFonts w:ascii="宋体" w:hAnsi="宋体" w:eastAsia="宋体"/>
          <w:szCs w:val="21"/>
        </w:rPr>
        <w:t>人遇到产品使用故障后,可直接拨打</w:t>
      </w:r>
      <w:r>
        <w:rPr>
          <w:rFonts w:hint="eastAsia" w:ascii="宋体" w:hAnsi="宋体" w:eastAsia="宋体"/>
          <w:szCs w:val="21"/>
        </w:rPr>
        <w:t>供应商</w:t>
      </w:r>
      <w:r>
        <w:rPr>
          <w:rFonts w:ascii="宋体" w:hAnsi="宋体" w:eastAsia="宋体"/>
          <w:szCs w:val="21"/>
        </w:rPr>
        <w:t>提供的响应电话，并提供合同号，</w:t>
      </w:r>
      <w:r>
        <w:rPr>
          <w:rFonts w:hint="eastAsia" w:ascii="宋体" w:hAnsi="宋体" w:eastAsia="宋体"/>
          <w:szCs w:val="21"/>
        </w:rPr>
        <w:t>采购</w:t>
      </w:r>
      <w:r>
        <w:rPr>
          <w:rFonts w:ascii="宋体" w:hAnsi="宋体" w:eastAsia="宋体"/>
          <w:szCs w:val="21"/>
        </w:rPr>
        <w:t>方产品所在地，故障现象及产品序列号等信息以要求</w:t>
      </w:r>
      <w:r>
        <w:rPr>
          <w:rFonts w:hint="eastAsia" w:ascii="宋体" w:hAnsi="宋体" w:eastAsia="宋体"/>
          <w:szCs w:val="21"/>
        </w:rPr>
        <w:t>供应商</w:t>
      </w:r>
      <w:r>
        <w:rPr>
          <w:rFonts w:ascii="宋体" w:hAnsi="宋体" w:eastAsia="宋体"/>
          <w:szCs w:val="21"/>
        </w:rPr>
        <w:t>提供免费服务。响应人员在接到</w:t>
      </w:r>
      <w:r>
        <w:rPr>
          <w:rFonts w:hint="eastAsia" w:ascii="宋体" w:hAnsi="宋体" w:eastAsia="宋体"/>
          <w:szCs w:val="21"/>
        </w:rPr>
        <w:t>采购</w:t>
      </w:r>
      <w:r>
        <w:rPr>
          <w:rFonts w:ascii="宋体" w:hAnsi="宋体" w:eastAsia="宋体"/>
          <w:szCs w:val="21"/>
        </w:rPr>
        <w:t>方电话后会指派工程师向</w:t>
      </w:r>
      <w:r>
        <w:rPr>
          <w:rFonts w:hint="eastAsia" w:ascii="宋体" w:hAnsi="宋体" w:eastAsia="宋体"/>
          <w:szCs w:val="21"/>
        </w:rPr>
        <w:t>采购</w:t>
      </w:r>
      <w:r>
        <w:rPr>
          <w:rFonts w:ascii="宋体" w:hAnsi="宋体" w:eastAsia="宋体"/>
          <w:szCs w:val="21"/>
        </w:rPr>
        <w:t>人提供电话诊断及现场服务。工程师将通过电话诊断故障及解决问题。如果</w:t>
      </w:r>
      <w:r>
        <w:rPr>
          <w:rFonts w:hint="eastAsia" w:ascii="宋体" w:hAnsi="宋体" w:eastAsia="宋体"/>
          <w:szCs w:val="21"/>
        </w:rPr>
        <w:t>采购</w:t>
      </w:r>
      <w:r>
        <w:rPr>
          <w:rFonts w:ascii="宋体" w:hAnsi="宋体" w:eastAsia="宋体"/>
          <w:szCs w:val="21"/>
        </w:rPr>
        <w:t>产品故障无法通过电话解决，工程师将到</w:t>
      </w:r>
      <w:r>
        <w:rPr>
          <w:rFonts w:hint="eastAsia" w:ascii="宋体" w:hAnsi="宋体" w:eastAsia="宋体"/>
          <w:szCs w:val="21"/>
        </w:rPr>
        <w:t>采购</w:t>
      </w:r>
      <w:r>
        <w:rPr>
          <w:rFonts w:ascii="宋体" w:hAnsi="宋体" w:eastAsia="宋体"/>
          <w:szCs w:val="21"/>
        </w:rPr>
        <w:t>方产品现场提供现场支持服务。</w:t>
      </w:r>
    </w:p>
    <w:p w14:paraId="001AF8A4">
      <w:pPr>
        <w:pStyle w:val="29"/>
        <w:numPr>
          <w:ilvl w:val="0"/>
          <w:numId w:val="19"/>
        </w:numPr>
        <w:spacing w:line="360" w:lineRule="auto"/>
        <w:ind w:firstLineChars="0"/>
        <w:rPr>
          <w:rFonts w:hint="eastAsia" w:ascii="宋体" w:hAnsi="宋体" w:eastAsia="宋体"/>
          <w:szCs w:val="21"/>
        </w:rPr>
      </w:pPr>
      <w:r>
        <w:rPr>
          <w:rFonts w:ascii="宋体" w:hAnsi="宋体" w:eastAsia="宋体"/>
          <w:szCs w:val="21"/>
        </w:rPr>
        <w:t>“现场支持服务”系指如果</w:t>
      </w:r>
      <w:r>
        <w:rPr>
          <w:rFonts w:hint="eastAsia" w:ascii="宋体" w:hAnsi="宋体" w:eastAsia="宋体"/>
          <w:szCs w:val="21"/>
        </w:rPr>
        <w:t>采购</w:t>
      </w:r>
      <w:r>
        <w:rPr>
          <w:rFonts w:ascii="宋体" w:hAnsi="宋体" w:eastAsia="宋体"/>
          <w:szCs w:val="21"/>
        </w:rPr>
        <w:t>人的</w:t>
      </w:r>
      <w:r>
        <w:rPr>
          <w:rFonts w:hint="eastAsia" w:ascii="宋体" w:hAnsi="宋体" w:eastAsia="宋体"/>
          <w:szCs w:val="21"/>
        </w:rPr>
        <w:t>采购</w:t>
      </w:r>
      <w:r>
        <w:rPr>
          <w:rFonts w:ascii="宋体" w:hAnsi="宋体" w:eastAsia="宋体"/>
          <w:szCs w:val="21"/>
        </w:rPr>
        <w:t>产品故障无法通过电话解决，</w:t>
      </w:r>
      <w:r>
        <w:rPr>
          <w:rFonts w:hint="eastAsia" w:ascii="宋体" w:hAnsi="宋体" w:eastAsia="宋体"/>
          <w:szCs w:val="21"/>
        </w:rPr>
        <w:t>供应商</w:t>
      </w:r>
      <w:r>
        <w:rPr>
          <w:rFonts w:ascii="宋体" w:hAnsi="宋体" w:eastAsia="宋体"/>
          <w:szCs w:val="21"/>
        </w:rPr>
        <w:t>云服务商工程师将于1小时内到达产品现场进行故障排查。</w:t>
      </w:r>
    </w:p>
    <w:p w14:paraId="25C16C78">
      <w:pPr>
        <w:pStyle w:val="29"/>
        <w:numPr>
          <w:ilvl w:val="0"/>
          <w:numId w:val="19"/>
        </w:numPr>
        <w:spacing w:line="360" w:lineRule="auto"/>
        <w:ind w:firstLineChars="0"/>
        <w:rPr>
          <w:rFonts w:hint="eastAsia" w:ascii="宋体" w:hAnsi="宋体" w:eastAsia="宋体"/>
          <w:szCs w:val="21"/>
        </w:rPr>
      </w:pPr>
      <w:r>
        <w:rPr>
          <w:rFonts w:ascii="宋体" w:hAnsi="宋体" w:eastAsia="宋体"/>
          <w:szCs w:val="21"/>
        </w:rPr>
        <w:t>“主动预防性服务”系指</w:t>
      </w:r>
      <w:r>
        <w:rPr>
          <w:rFonts w:hint="eastAsia" w:ascii="宋体" w:hAnsi="宋体" w:eastAsia="宋体"/>
          <w:szCs w:val="21"/>
        </w:rPr>
        <w:t>供应商</w:t>
      </w:r>
      <w:r>
        <w:rPr>
          <w:rFonts w:ascii="宋体" w:hAnsi="宋体" w:eastAsia="宋体"/>
          <w:szCs w:val="21"/>
        </w:rPr>
        <w:t>之特定服务工程师将定期电话联络</w:t>
      </w:r>
      <w:r>
        <w:rPr>
          <w:rFonts w:hint="eastAsia" w:ascii="宋体" w:hAnsi="宋体" w:eastAsia="宋体"/>
          <w:szCs w:val="21"/>
        </w:rPr>
        <w:t>采购</w:t>
      </w:r>
      <w:r>
        <w:rPr>
          <w:rFonts w:ascii="宋体" w:hAnsi="宋体" w:eastAsia="宋体"/>
          <w:szCs w:val="21"/>
        </w:rPr>
        <w:t>人项目负责人，了解</w:t>
      </w:r>
      <w:r>
        <w:rPr>
          <w:rFonts w:hint="eastAsia" w:ascii="宋体" w:hAnsi="宋体" w:eastAsia="宋体"/>
          <w:szCs w:val="21"/>
        </w:rPr>
        <w:t>采购</w:t>
      </w:r>
      <w:r>
        <w:rPr>
          <w:rFonts w:ascii="宋体" w:hAnsi="宋体" w:eastAsia="宋体"/>
          <w:szCs w:val="21"/>
        </w:rPr>
        <w:t>产品使用状况，进行问题咨询，并对</w:t>
      </w:r>
      <w:r>
        <w:rPr>
          <w:rFonts w:hint="eastAsia" w:ascii="宋体" w:hAnsi="宋体" w:eastAsia="宋体"/>
          <w:szCs w:val="21"/>
        </w:rPr>
        <w:t>采购</w:t>
      </w:r>
      <w:r>
        <w:rPr>
          <w:rFonts w:ascii="宋体" w:hAnsi="宋体" w:eastAsia="宋体"/>
          <w:szCs w:val="21"/>
        </w:rPr>
        <w:t>人</w:t>
      </w:r>
      <w:r>
        <w:rPr>
          <w:rFonts w:hint="eastAsia" w:ascii="宋体" w:hAnsi="宋体" w:eastAsia="宋体"/>
          <w:szCs w:val="21"/>
        </w:rPr>
        <w:t>采购</w:t>
      </w:r>
      <w:r>
        <w:rPr>
          <w:rFonts w:ascii="宋体" w:hAnsi="宋体" w:eastAsia="宋体"/>
          <w:szCs w:val="21"/>
        </w:rPr>
        <w:t>产品提供定期的主动预防性维护。预防性维护服务包括系统健康检查，合同服务期内的软件系统免费升级。</w:t>
      </w:r>
      <w:r>
        <w:rPr>
          <w:rFonts w:hint="eastAsia" w:ascii="宋体" w:hAnsi="宋体" w:eastAsia="宋体"/>
          <w:szCs w:val="21"/>
        </w:rPr>
        <w:t>供应商</w:t>
      </w:r>
      <w:r>
        <w:rPr>
          <w:rFonts w:ascii="宋体" w:hAnsi="宋体" w:eastAsia="宋体"/>
          <w:szCs w:val="21"/>
        </w:rPr>
        <w:t>将与</w:t>
      </w:r>
      <w:r>
        <w:rPr>
          <w:rFonts w:hint="eastAsia" w:ascii="宋体" w:hAnsi="宋体" w:eastAsia="宋体"/>
          <w:szCs w:val="21"/>
        </w:rPr>
        <w:t>采购</w:t>
      </w:r>
      <w:r>
        <w:rPr>
          <w:rFonts w:ascii="宋体" w:hAnsi="宋体" w:eastAsia="宋体"/>
          <w:szCs w:val="21"/>
        </w:rPr>
        <w:t>人在定期维护服务时间上达成一致，制定合理的预防性维护服务计划。服务检测的时间应在不影响</w:t>
      </w:r>
      <w:r>
        <w:rPr>
          <w:rFonts w:hint="eastAsia" w:ascii="宋体" w:hAnsi="宋体" w:eastAsia="宋体"/>
          <w:szCs w:val="21"/>
        </w:rPr>
        <w:t>采购</w:t>
      </w:r>
      <w:r>
        <w:rPr>
          <w:rFonts w:ascii="宋体" w:hAnsi="宋体" w:eastAsia="宋体"/>
          <w:szCs w:val="21"/>
        </w:rPr>
        <w:t>人产品使用的时间进行。任何调整必须事先与</w:t>
      </w:r>
      <w:r>
        <w:rPr>
          <w:rFonts w:hint="eastAsia" w:ascii="宋体" w:hAnsi="宋体" w:eastAsia="宋体"/>
          <w:szCs w:val="21"/>
        </w:rPr>
        <w:t>采购</w:t>
      </w:r>
      <w:r>
        <w:rPr>
          <w:rFonts w:ascii="宋体" w:hAnsi="宋体" w:eastAsia="宋体"/>
          <w:szCs w:val="21"/>
        </w:rPr>
        <w:t>人协商。</w:t>
      </w:r>
    </w:p>
    <w:p w14:paraId="086AF69D">
      <w:pPr>
        <w:pStyle w:val="29"/>
        <w:numPr>
          <w:ilvl w:val="0"/>
          <w:numId w:val="19"/>
        </w:numPr>
        <w:spacing w:line="360" w:lineRule="auto"/>
        <w:ind w:firstLineChars="0"/>
        <w:rPr>
          <w:rFonts w:hint="eastAsia" w:ascii="宋体" w:hAnsi="宋体" w:eastAsia="宋体"/>
          <w:szCs w:val="21"/>
        </w:rPr>
      </w:pPr>
      <w:r>
        <w:rPr>
          <w:rFonts w:ascii="宋体" w:hAnsi="宋体" w:eastAsia="宋体"/>
          <w:szCs w:val="21"/>
        </w:rPr>
        <w:t>电话支持服务：7×24小时服务；产品故障现场响应时间不得大于1小时。</w:t>
      </w:r>
    </w:p>
    <w:p w14:paraId="0A839DAF">
      <w:pPr>
        <w:pStyle w:val="29"/>
        <w:numPr>
          <w:ilvl w:val="0"/>
          <w:numId w:val="19"/>
        </w:numPr>
        <w:spacing w:line="360" w:lineRule="auto"/>
        <w:ind w:firstLineChars="0"/>
        <w:rPr>
          <w:rFonts w:hint="eastAsia" w:ascii="宋体" w:hAnsi="宋体" w:eastAsia="宋体"/>
          <w:szCs w:val="21"/>
        </w:rPr>
      </w:pPr>
      <w:r>
        <w:rPr>
          <w:rFonts w:ascii="宋体" w:hAnsi="宋体" w:eastAsia="宋体"/>
          <w:szCs w:val="21"/>
        </w:rPr>
        <w:t>现场支持服务：7×24小时现场服务；产品故障现场响应时间不得大于1小时。</w:t>
      </w:r>
    </w:p>
    <w:p w14:paraId="76450256">
      <w:pPr>
        <w:pStyle w:val="29"/>
        <w:numPr>
          <w:ilvl w:val="0"/>
          <w:numId w:val="19"/>
        </w:numPr>
        <w:spacing w:line="360" w:lineRule="auto"/>
        <w:ind w:firstLineChars="0"/>
        <w:rPr>
          <w:rFonts w:hint="eastAsia" w:ascii="宋体" w:hAnsi="宋体" w:eastAsia="宋体"/>
          <w:szCs w:val="21"/>
        </w:rPr>
      </w:pPr>
      <w:r>
        <w:rPr>
          <w:rFonts w:ascii="宋体" w:hAnsi="宋体" w:eastAsia="宋体"/>
          <w:szCs w:val="21"/>
        </w:rPr>
        <w:t>主动预防性服务：服务期内，中标人必须提供每季度一次的巡检服务，在实施前提供相关详细实施方案。</w:t>
      </w:r>
    </w:p>
    <w:p w14:paraId="50778D2F">
      <w:pPr>
        <w:numPr>
          <w:ilvl w:val="0"/>
          <w:numId w:val="16"/>
        </w:numPr>
        <w:spacing w:line="360" w:lineRule="auto"/>
        <w:rPr>
          <w:rFonts w:hint="eastAsia" w:ascii="宋体" w:hAnsi="宋体"/>
          <w:color w:val="000000"/>
          <w:kern w:val="0"/>
          <w:sz w:val="24"/>
        </w:rPr>
      </w:pPr>
      <w:r>
        <w:rPr>
          <w:rFonts w:hint="eastAsia" w:ascii="宋体" w:hAnsi="宋体"/>
          <w:color w:val="000000"/>
          <w:kern w:val="0"/>
          <w:sz w:val="24"/>
        </w:rPr>
        <w:t>维护规范的制定：项目投入正式使用前，</w:t>
      </w:r>
      <w:r>
        <w:rPr>
          <w:rFonts w:hint="eastAsia" w:ascii="宋体" w:hAnsi="宋体"/>
          <w:sz w:val="24"/>
        </w:rPr>
        <w:t>供应商</w:t>
      </w:r>
      <w:r>
        <w:rPr>
          <w:rFonts w:hint="eastAsia" w:ascii="宋体" w:hAnsi="宋体"/>
          <w:color w:val="000000"/>
          <w:kern w:val="0"/>
          <w:sz w:val="24"/>
        </w:rPr>
        <w:t>针对采购人技术人员制定日常技术巡检技术方案。</w:t>
      </w:r>
    </w:p>
    <w:p w14:paraId="15702C4D">
      <w:pPr>
        <w:numPr>
          <w:ilvl w:val="0"/>
          <w:numId w:val="16"/>
        </w:numPr>
        <w:spacing w:line="360" w:lineRule="auto"/>
        <w:rPr>
          <w:rFonts w:hint="eastAsia" w:ascii="宋体" w:hAnsi="宋体"/>
          <w:color w:val="000000"/>
          <w:kern w:val="0"/>
          <w:sz w:val="24"/>
        </w:rPr>
      </w:pPr>
      <w:r>
        <w:rPr>
          <w:rFonts w:hint="eastAsia" w:ascii="宋体" w:hAnsi="宋体"/>
          <w:color w:val="000000"/>
          <w:kern w:val="0"/>
          <w:sz w:val="24"/>
        </w:rPr>
        <w:t>咨询服务，服务期内</w:t>
      </w:r>
      <w:r>
        <w:rPr>
          <w:rFonts w:hint="eastAsia" w:ascii="宋体" w:hAnsi="宋体"/>
          <w:sz w:val="24"/>
        </w:rPr>
        <w:t>供应商</w:t>
      </w:r>
      <w:r>
        <w:rPr>
          <w:rFonts w:hint="eastAsia" w:ascii="宋体" w:hAnsi="宋体"/>
          <w:color w:val="000000"/>
          <w:kern w:val="0"/>
          <w:sz w:val="24"/>
        </w:rPr>
        <w:t>为采购人提供免费IT咨询服务。</w:t>
      </w:r>
    </w:p>
    <w:p w14:paraId="0B6052DA">
      <w:pPr>
        <w:numPr>
          <w:ilvl w:val="0"/>
          <w:numId w:val="16"/>
        </w:numPr>
        <w:spacing w:line="360" w:lineRule="auto"/>
        <w:rPr>
          <w:rFonts w:hint="eastAsia" w:ascii="宋体" w:hAnsi="宋体"/>
          <w:color w:val="000000"/>
          <w:kern w:val="0"/>
          <w:sz w:val="24"/>
        </w:rPr>
      </w:pPr>
      <w:r>
        <w:rPr>
          <w:rFonts w:hint="eastAsia" w:ascii="宋体" w:hAnsi="宋体"/>
          <w:sz w:val="24"/>
        </w:rPr>
        <w:t>供应商</w:t>
      </w:r>
      <w:r>
        <w:rPr>
          <w:rFonts w:hint="eastAsia" w:ascii="宋体" w:hAnsi="宋体"/>
          <w:color w:val="000000"/>
          <w:kern w:val="0"/>
          <w:sz w:val="24"/>
        </w:rPr>
        <w:t>应指定固定的制造商人员组成为服务团队，服务团队成员必须参加过本次集成项目并熟悉本系统环境，遇到工作任务冲突时，必须优先服务于</w:t>
      </w:r>
      <w:r>
        <w:rPr>
          <w:rFonts w:hint="eastAsia" w:ascii="宋体" w:hAnsi="宋体"/>
          <w:sz w:val="24"/>
        </w:rPr>
        <w:t>供应商</w:t>
      </w:r>
      <w:r>
        <w:rPr>
          <w:rFonts w:hint="eastAsia" w:ascii="宋体" w:hAnsi="宋体"/>
          <w:color w:val="000000"/>
          <w:kern w:val="0"/>
          <w:sz w:val="24"/>
        </w:rPr>
        <w:t>，服务团队成员必须稳定。</w:t>
      </w:r>
    </w:p>
    <w:p w14:paraId="0957369D">
      <w:pPr>
        <w:numPr>
          <w:ilvl w:val="0"/>
          <w:numId w:val="16"/>
        </w:numPr>
        <w:spacing w:line="360" w:lineRule="auto"/>
        <w:rPr>
          <w:rFonts w:hint="eastAsia" w:ascii="宋体" w:hAnsi="宋体"/>
          <w:color w:val="000000"/>
          <w:kern w:val="0"/>
          <w:sz w:val="24"/>
        </w:rPr>
      </w:pPr>
      <w:r>
        <w:rPr>
          <w:rFonts w:hint="eastAsia" w:ascii="宋体" w:hAnsi="宋体"/>
          <w:color w:val="000000"/>
          <w:kern w:val="0"/>
          <w:sz w:val="24"/>
        </w:rPr>
        <w:t>本服务期内，</w:t>
      </w:r>
      <w:r>
        <w:rPr>
          <w:rFonts w:hint="eastAsia" w:ascii="宋体" w:hAnsi="宋体"/>
          <w:sz w:val="24"/>
        </w:rPr>
        <w:t>供应商</w:t>
      </w:r>
      <w:r>
        <w:rPr>
          <w:rFonts w:hint="eastAsia" w:ascii="宋体" w:hAnsi="宋体"/>
          <w:color w:val="000000"/>
          <w:kern w:val="0"/>
          <w:sz w:val="24"/>
        </w:rPr>
        <w:t>应为采购人提供免费的软硬件同址搬迁类的服务支撑。</w:t>
      </w:r>
    </w:p>
    <w:p w14:paraId="71D6C819">
      <w:pPr>
        <w:pStyle w:val="2"/>
        <w:spacing w:before="312" w:after="312"/>
        <w:ind w:firstLine="400"/>
        <w:rPr>
          <w:color w:val="000000" w:themeColor="text1"/>
          <w14:textFill>
            <w14:solidFill>
              <w14:schemeClr w14:val="tx1"/>
            </w14:solidFill>
          </w14:textFill>
        </w:rPr>
      </w:pPr>
    </w:p>
    <w:bookmarkEnd w:id="14"/>
    <w:bookmarkEnd w:id="15"/>
    <w:bookmarkEnd w:id="16"/>
    <w:p w14:paraId="57C76795">
      <w:pPr>
        <w:spacing w:before="312" w:after="312" w:line="360" w:lineRule="auto"/>
        <w:ind w:firstLine="420" w:firstLineChars="200"/>
        <w:rPr>
          <w:rFonts w:eastAsia="黑体"/>
          <w:b/>
          <w:bCs/>
          <w:color w:val="000000" w:themeColor="text1"/>
          <w:kern w:val="44"/>
          <w:sz w:val="36"/>
          <w:szCs w:val="36"/>
          <w14:textFill>
            <w14:solidFill>
              <w14:schemeClr w14:val="tx1"/>
            </w14:solidFill>
          </w14:textFill>
        </w:rPr>
      </w:pPr>
      <w:bookmarkStart w:id="71" w:name="_Toc502914229"/>
      <w:r>
        <w:rPr>
          <w:color w:val="000000" w:themeColor="text1"/>
          <w14:textFill>
            <w14:solidFill>
              <w14:schemeClr w14:val="tx1"/>
            </w14:solidFill>
          </w14:textFill>
        </w:rPr>
        <w:br w:type="page"/>
      </w:r>
    </w:p>
    <w:bookmarkEnd w:id="71"/>
    <w:p w14:paraId="17DDACC0">
      <w:pPr>
        <w:pStyle w:val="3"/>
        <w:spacing w:before="0" w:after="0" w:line="360" w:lineRule="auto"/>
        <w:rPr>
          <w:b/>
          <w:color w:val="000000" w:themeColor="text1"/>
          <w:sz w:val="36"/>
          <w:szCs w:val="36"/>
          <w14:textFill>
            <w14:solidFill>
              <w14:schemeClr w14:val="tx1"/>
            </w14:solidFill>
          </w14:textFill>
        </w:rPr>
      </w:pPr>
      <w:bookmarkStart w:id="72" w:name="_Toc10238"/>
      <w:r>
        <w:rPr>
          <w:rFonts w:hint="eastAsia"/>
          <w:b/>
          <w:color w:val="000000" w:themeColor="text1"/>
          <w:sz w:val="36"/>
          <w:szCs w:val="36"/>
          <w14:textFill>
            <w14:solidFill>
              <w14:schemeClr w14:val="tx1"/>
            </w14:solidFill>
          </w14:textFill>
        </w:rPr>
        <w:t>第六章竞争性谈判响应文件格式</w:t>
      </w:r>
      <w:bookmarkEnd w:id="72"/>
    </w:p>
    <w:p w14:paraId="2E3911A0">
      <w:pPr>
        <w:ind w:firstLine="420"/>
        <w:rPr>
          <w:color w:val="000000" w:themeColor="text1"/>
          <w14:textFill>
            <w14:solidFill>
              <w14:schemeClr w14:val="tx1"/>
            </w14:solidFill>
          </w14:textFill>
        </w:rPr>
      </w:pPr>
    </w:p>
    <w:p w14:paraId="5E65F2BA">
      <w:pPr>
        <w:ind w:firstLine="420"/>
        <w:rPr>
          <w:color w:val="000000" w:themeColor="text1"/>
          <w14:textFill>
            <w14:solidFill>
              <w14:schemeClr w14:val="tx1"/>
            </w14:solidFill>
          </w14:textFill>
        </w:rPr>
      </w:pPr>
    </w:p>
    <w:p w14:paraId="081DADFA">
      <w:pPr>
        <w:ind w:firstLine="420"/>
        <w:rPr>
          <w:color w:val="000000" w:themeColor="text1"/>
          <w14:textFill>
            <w14:solidFill>
              <w14:schemeClr w14:val="tx1"/>
            </w14:solidFill>
          </w14:textFill>
        </w:rPr>
      </w:pPr>
    </w:p>
    <w:p w14:paraId="75A81294">
      <w:pPr>
        <w:ind w:firstLine="420"/>
        <w:rPr>
          <w:color w:val="000000" w:themeColor="text1"/>
          <w14:textFill>
            <w14:solidFill>
              <w14:schemeClr w14:val="tx1"/>
            </w14:solidFill>
          </w14:textFill>
        </w:rPr>
      </w:pPr>
    </w:p>
    <w:p w14:paraId="4BDDB1E6">
      <w:pPr>
        <w:ind w:firstLine="420"/>
        <w:rPr>
          <w:color w:val="000000" w:themeColor="text1"/>
          <w14:textFill>
            <w14:solidFill>
              <w14:schemeClr w14:val="tx1"/>
            </w14:solidFill>
          </w14:textFill>
        </w:rPr>
      </w:pPr>
    </w:p>
    <w:p w14:paraId="12FEA165">
      <w:pPr>
        <w:ind w:firstLine="420"/>
        <w:rPr>
          <w:color w:val="000000" w:themeColor="text1"/>
          <w14:textFill>
            <w14:solidFill>
              <w14:schemeClr w14:val="tx1"/>
            </w14:solidFill>
          </w14:textFill>
        </w:rPr>
      </w:pPr>
    </w:p>
    <w:p w14:paraId="4D825531">
      <w:pPr>
        <w:ind w:firstLine="420"/>
        <w:rPr>
          <w:color w:val="000000" w:themeColor="text1"/>
          <w14:textFill>
            <w14:solidFill>
              <w14:schemeClr w14:val="tx1"/>
            </w14:solidFill>
          </w14:textFill>
        </w:rPr>
      </w:pPr>
    </w:p>
    <w:p w14:paraId="1C0B06CE">
      <w:pPr>
        <w:jc w:val="center"/>
        <w:rPr>
          <w:rFonts w:hint="eastAsia"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江苏省广电有线信息网络股份有限公司</w:t>
      </w:r>
    </w:p>
    <w:p w14:paraId="6E10C3AE">
      <w:pPr>
        <w:pStyle w:val="9"/>
        <w:adjustRightInd w:val="0"/>
        <w:snapToGrid w:val="0"/>
        <w:spacing w:before="312" w:beforeLines="100" w:after="312" w:afterLines="100"/>
        <w:ind w:right="210" w:rightChars="100"/>
        <w:jc w:val="center"/>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防火墙采购项目</w:t>
      </w:r>
    </w:p>
    <w:p w14:paraId="142FE8EB">
      <w:pPr>
        <w:pStyle w:val="9"/>
        <w:adjustRightInd w:val="0"/>
        <w:snapToGrid w:val="0"/>
        <w:spacing w:before="312" w:beforeLines="100" w:after="312" w:afterLines="100"/>
        <w:ind w:right="210" w:rightChars="100"/>
        <w:jc w:val="center"/>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竞争性谈判响应文件</w:t>
      </w:r>
    </w:p>
    <w:p w14:paraId="0D0738D8">
      <w:pPr>
        <w:pStyle w:val="9"/>
        <w:kinsoku w:val="0"/>
        <w:overflowPunct w:val="0"/>
        <w:adjustRightInd w:val="0"/>
        <w:snapToGrid w:val="0"/>
        <w:spacing w:before="312" w:beforeLines="100" w:after="312" w:afterLines="100"/>
        <w:ind w:left="210" w:leftChars="100" w:right="210" w:rightChars="100" w:firstLine="880" w:firstLineChars="200"/>
        <w:jc w:val="left"/>
        <w:rPr>
          <w:color w:val="000000" w:themeColor="text1"/>
          <w:sz w:val="44"/>
          <w:szCs w:val="44"/>
          <w14:textFill>
            <w14:solidFill>
              <w14:schemeClr w14:val="tx1"/>
            </w14:solidFill>
          </w14:textFill>
        </w:rPr>
      </w:pPr>
    </w:p>
    <w:p w14:paraId="691C7628">
      <w:pPr>
        <w:pStyle w:val="9"/>
        <w:kinsoku w:val="0"/>
        <w:overflowPunct w:val="0"/>
        <w:adjustRightInd w:val="0"/>
        <w:snapToGrid w:val="0"/>
        <w:spacing w:before="312" w:beforeLines="100" w:after="312" w:afterLines="100"/>
        <w:ind w:right="210" w:rightChars="100" w:firstLine="880"/>
        <w:jc w:val="left"/>
        <w:rPr>
          <w:color w:val="000000" w:themeColor="text1"/>
          <w:sz w:val="44"/>
          <w:szCs w:val="44"/>
          <w14:textFill>
            <w14:solidFill>
              <w14:schemeClr w14:val="tx1"/>
            </w14:solidFill>
          </w14:textFill>
        </w:rPr>
      </w:pPr>
    </w:p>
    <w:p w14:paraId="03EDC583">
      <w:pPr>
        <w:pStyle w:val="9"/>
        <w:kinsoku w:val="0"/>
        <w:overflowPunct w:val="0"/>
        <w:adjustRightInd w:val="0"/>
        <w:snapToGrid w:val="0"/>
        <w:spacing w:before="312" w:beforeLines="100" w:after="312" w:afterLines="100"/>
        <w:ind w:right="210" w:rightChars="100" w:firstLine="880"/>
        <w:jc w:val="left"/>
        <w:rPr>
          <w:color w:val="000000" w:themeColor="text1"/>
          <w:sz w:val="44"/>
          <w:szCs w:val="44"/>
          <w14:textFill>
            <w14:solidFill>
              <w14:schemeClr w14:val="tx1"/>
            </w14:solidFill>
          </w14:textFill>
        </w:rPr>
      </w:pPr>
    </w:p>
    <w:p w14:paraId="53BED20F">
      <w:pPr>
        <w:pStyle w:val="9"/>
        <w:kinsoku w:val="0"/>
        <w:overflowPunct w:val="0"/>
        <w:adjustRightInd w:val="0"/>
        <w:snapToGrid w:val="0"/>
        <w:spacing w:before="312" w:beforeLines="100" w:after="312" w:afterLines="100"/>
        <w:ind w:right="210" w:rightChars="100" w:firstLine="880"/>
        <w:jc w:val="left"/>
        <w:rPr>
          <w:color w:val="000000" w:themeColor="text1"/>
          <w:sz w:val="44"/>
          <w:szCs w:val="44"/>
          <w14:textFill>
            <w14:solidFill>
              <w14:schemeClr w14:val="tx1"/>
            </w14:solidFill>
          </w14:textFill>
        </w:rPr>
      </w:pPr>
    </w:p>
    <w:p w14:paraId="5A8D6E60">
      <w:pPr>
        <w:pStyle w:val="9"/>
        <w:kinsoku w:val="0"/>
        <w:overflowPunct w:val="0"/>
        <w:adjustRightInd w:val="0"/>
        <w:snapToGrid w:val="0"/>
        <w:spacing w:before="312" w:beforeLines="100" w:after="312" w:afterLines="100"/>
        <w:ind w:right="210" w:rightChars="100" w:firstLine="880"/>
        <w:jc w:val="left"/>
        <w:rPr>
          <w:color w:val="000000" w:themeColor="text1"/>
          <w:sz w:val="44"/>
          <w:szCs w:val="44"/>
          <w14:textFill>
            <w14:solidFill>
              <w14:schemeClr w14:val="tx1"/>
            </w14:solidFill>
          </w14:textFill>
        </w:rPr>
      </w:pPr>
    </w:p>
    <w:p w14:paraId="7ED04C69">
      <w:pPr>
        <w:pStyle w:val="9"/>
        <w:kinsoku w:val="0"/>
        <w:overflowPunct w:val="0"/>
        <w:adjustRightInd w:val="0"/>
        <w:snapToGrid w:val="0"/>
        <w:spacing w:before="312" w:beforeLines="100" w:after="312" w:afterLines="100"/>
        <w:ind w:left="210" w:leftChars="100" w:right="210" w:rightChars="100" w:firstLine="1220" w:firstLineChars="200"/>
        <w:jc w:val="left"/>
        <w:rPr>
          <w:color w:val="000000" w:themeColor="text1"/>
          <w:sz w:val="61"/>
          <w:szCs w:val="61"/>
          <w14:textFill>
            <w14:solidFill>
              <w14:schemeClr w14:val="tx1"/>
            </w14:solidFill>
          </w14:textFill>
        </w:rPr>
      </w:pPr>
    </w:p>
    <w:p w14:paraId="18105BCC">
      <w:pPr>
        <w:pStyle w:val="9"/>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供应商：（盖单位章）</w:t>
      </w:r>
    </w:p>
    <w:p w14:paraId="469E5A21">
      <w:pPr>
        <w:pStyle w:val="9"/>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法定代表人或其委托代理人：（签字）</w:t>
      </w:r>
    </w:p>
    <w:p w14:paraId="43F48698">
      <w:pPr>
        <w:pStyle w:val="9"/>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年月日</w:t>
      </w:r>
      <w:r>
        <w:rPr>
          <w:color w:val="000000" w:themeColor="text1"/>
          <w:szCs w:val="28"/>
          <w14:textFill>
            <w14:solidFill>
              <w14:schemeClr w14:val="tx1"/>
            </w14:solidFill>
          </w14:textFill>
        </w:rPr>
        <w:br w:type="page"/>
      </w:r>
    </w:p>
    <w:p w14:paraId="16DC508F">
      <w:pPr>
        <w:pStyle w:val="4"/>
        <w:snapToGrid/>
        <w:spacing w:beforeLines="0" w:afterLines="0" w:line="416" w:lineRule="auto"/>
        <w:ind w:right="0" w:rightChars="0"/>
        <w:jc w:val="center"/>
        <w:rPr>
          <w:rFonts w:hAnsi="Arial"/>
          <w:sz w:val="28"/>
          <w:szCs w:val="32"/>
        </w:rPr>
      </w:pPr>
      <w:bookmarkStart w:id="73" w:name="_Toc32384"/>
      <w:r>
        <w:rPr>
          <w:rFonts w:hint="eastAsia" w:hAnsi="Arial"/>
          <w:sz w:val="28"/>
          <w:szCs w:val="32"/>
        </w:rPr>
        <w:t>评审索引表</w:t>
      </w:r>
      <w:bookmarkEnd w:id="73"/>
    </w:p>
    <w:p w14:paraId="1D0B4189">
      <w:pPr>
        <w:spacing w:before="312" w:after="312" w:line="276" w:lineRule="auto"/>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53DDF877">
      <w:pPr>
        <w:pStyle w:val="7"/>
        <w:spacing w:before="312" w:after="312"/>
        <w:ind w:firstLine="482"/>
        <w:rPr>
          <w:rFonts w:hint="eastAsia" w:ascii="宋体" w:hAnsi="宋体" w:eastAsia="宋体"/>
          <w:b/>
          <w:color w:val="000000" w:themeColor="text1"/>
          <w:sz w:val="24"/>
          <w14:textFill>
            <w14:solidFill>
              <w14:schemeClr w14:val="tx1"/>
            </w14:solidFill>
          </w14:textFill>
        </w:rPr>
      </w:pPr>
    </w:p>
    <w:p w14:paraId="0591C2F4">
      <w:pPr>
        <w:pStyle w:val="5"/>
        <w:spacing w:before="260" w:after="156" w:line="415" w:lineRule="auto"/>
        <w:ind w:firstLine="442"/>
        <w:jc w:val="center"/>
        <w:rPr>
          <w:rFonts w:hint="eastAsia" w:ascii="宋体" w:hAnsi="宋体" w:eastAsia="宋体"/>
          <w:b/>
          <w:bCs/>
          <w:color w:val="000000" w:themeColor="text1"/>
          <w:sz w:val="22"/>
          <w:szCs w:val="28"/>
          <w14:textFill>
            <w14:solidFill>
              <w14:schemeClr w14:val="tx1"/>
            </w14:solidFill>
          </w14:textFill>
        </w:rPr>
      </w:pPr>
      <w:bookmarkStart w:id="74" w:name="_Toc30919"/>
      <w:r>
        <w:rPr>
          <w:rFonts w:hint="eastAsia" w:ascii="宋体" w:hAnsi="宋体" w:eastAsia="宋体"/>
          <w:b/>
          <w:bCs/>
          <w:color w:val="000000" w:themeColor="text1"/>
          <w:sz w:val="22"/>
          <w:szCs w:val="28"/>
          <w14:textFill>
            <w14:solidFill>
              <w14:schemeClr w14:val="tx1"/>
            </w14:solidFill>
          </w14:textFill>
        </w:rPr>
        <w:t>初步</w:t>
      </w:r>
      <w:r>
        <w:rPr>
          <w:rFonts w:ascii="宋体" w:hAnsi="宋体" w:eastAsia="宋体"/>
          <w:b/>
          <w:bCs/>
          <w:color w:val="000000" w:themeColor="text1"/>
          <w:sz w:val="22"/>
          <w:szCs w:val="28"/>
          <w14:textFill>
            <w14:solidFill>
              <w14:schemeClr w14:val="tx1"/>
            </w14:solidFill>
          </w14:textFill>
        </w:rPr>
        <w:t>评审索引表</w:t>
      </w:r>
      <w:bookmarkEnd w:id="74"/>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6431"/>
        <w:gridCol w:w="1108"/>
      </w:tblGrid>
      <w:tr w14:paraId="0221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43F0B653">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3774" w:type="pct"/>
            <w:tcBorders>
              <w:top w:val="single" w:color="auto" w:sz="4" w:space="0"/>
              <w:left w:val="single" w:color="auto" w:sz="4" w:space="0"/>
              <w:bottom w:val="single" w:color="auto" w:sz="4" w:space="0"/>
              <w:right w:val="single" w:color="auto" w:sz="4" w:space="0"/>
            </w:tcBorders>
            <w:vAlign w:val="center"/>
          </w:tcPr>
          <w:p w14:paraId="048F6406">
            <w:pPr>
              <w:widowControl/>
              <w:jc w:val="center"/>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评审因素</w:t>
            </w:r>
          </w:p>
        </w:tc>
        <w:tc>
          <w:tcPr>
            <w:tcW w:w="650" w:type="pct"/>
            <w:tcBorders>
              <w:top w:val="single" w:color="auto" w:sz="4" w:space="0"/>
              <w:left w:val="single" w:color="auto" w:sz="4" w:space="0"/>
              <w:bottom w:val="single" w:color="auto" w:sz="4" w:space="0"/>
              <w:right w:val="single" w:color="auto" w:sz="4" w:space="0"/>
            </w:tcBorders>
            <w:vAlign w:val="center"/>
          </w:tcPr>
          <w:p w14:paraId="0BFCF3CE">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证明材料对应页码</w:t>
            </w:r>
          </w:p>
        </w:tc>
      </w:tr>
      <w:tr w14:paraId="196F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5C618D0">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3774" w:type="pct"/>
            <w:tcBorders>
              <w:top w:val="single" w:color="auto" w:sz="4" w:space="0"/>
              <w:left w:val="single" w:color="auto" w:sz="4" w:space="0"/>
              <w:bottom w:val="single" w:color="auto" w:sz="4" w:space="0"/>
              <w:right w:val="single" w:color="auto" w:sz="4" w:space="0"/>
            </w:tcBorders>
            <w:vAlign w:val="center"/>
          </w:tcPr>
          <w:p w14:paraId="7BB2D082">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15F6001E">
            <w:pPr>
              <w:widowControl/>
              <w:jc w:val="center"/>
              <w:rPr>
                <w:rFonts w:hint="eastAsia" w:ascii="宋体" w:hAnsi="宋体" w:cs="宋体"/>
                <w:color w:val="000000" w:themeColor="text1"/>
                <w:kern w:val="0"/>
                <w:szCs w:val="21"/>
                <w14:textFill>
                  <w14:solidFill>
                    <w14:schemeClr w14:val="tx1"/>
                  </w14:solidFill>
                </w14:textFill>
              </w:rPr>
            </w:pPr>
          </w:p>
        </w:tc>
      </w:tr>
      <w:tr w14:paraId="60FB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5BFD46C0">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3774" w:type="pct"/>
            <w:tcBorders>
              <w:top w:val="single" w:color="auto" w:sz="4" w:space="0"/>
              <w:left w:val="single" w:color="auto" w:sz="4" w:space="0"/>
              <w:bottom w:val="single" w:color="auto" w:sz="4" w:space="0"/>
              <w:right w:val="single" w:color="auto" w:sz="4" w:space="0"/>
            </w:tcBorders>
            <w:vAlign w:val="center"/>
          </w:tcPr>
          <w:p w14:paraId="1E901622">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18ADDCC9">
            <w:pPr>
              <w:widowControl/>
              <w:jc w:val="center"/>
              <w:rPr>
                <w:rFonts w:hint="eastAsia" w:ascii="宋体" w:hAnsi="宋体" w:cs="宋体"/>
                <w:color w:val="000000" w:themeColor="text1"/>
                <w:kern w:val="0"/>
                <w:szCs w:val="21"/>
                <w14:textFill>
                  <w14:solidFill>
                    <w14:schemeClr w14:val="tx1"/>
                  </w14:solidFill>
                </w14:textFill>
              </w:rPr>
            </w:pPr>
          </w:p>
        </w:tc>
      </w:tr>
      <w:tr w14:paraId="659F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90C2EAA">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3774" w:type="pct"/>
            <w:tcBorders>
              <w:top w:val="single" w:color="auto" w:sz="4" w:space="0"/>
              <w:left w:val="single" w:color="auto" w:sz="4" w:space="0"/>
              <w:bottom w:val="single" w:color="auto" w:sz="4" w:space="0"/>
              <w:right w:val="single" w:color="auto" w:sz="4" w:space="0"/>
            </w:tcBorders>
            <w:vAlign w:val="center"/>
          </w:tcPr>
          <w:p w14:paraId="2367100B">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43DF3922">
            <w:pPr>
              <w:widowControl/>
              <w:jc w:val="center"/>
              <w:rPr>
                <w:rFonts w:hint="eastAsia" w:ascii="宋体" w:hAnsi="宋体" w:cs="宋体"/>
                <w:color w:val="000000" w:themeColor="text1"/>
                <w:kern w:val="0"/>
                <w:szCs w:val="21"/>
                <w14:textFill>
                  <w14:solidFill>
                    <w14:schemeClr w14:val="tx1"/>
                  </w14:solidFill>
                </w14:textFill>
              </w:rPr>
            </w:pPr>
          </w:p>
        </w:tc>
      </w:tr>
      <w:tr w14:paraId="1A24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76DE507">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3774" w:type="pct"/>
            <w:tcBorders>
              <w:top w:val="single" w:color="auto" w:sz="4" w:space="0"/>
              <w:left w:val="single" w:color="auto" w:sz="4" w:space="0"/>
              <w:bottom w:val="single" w:color="auto" w:sz="4" w:space="0"/>
              <w:right w:val="single" w:color="auto" w:sz="4" w:space="0"/>
            </w:tcBorders>
            <w:vAlign w:val="center"/>
          </w:tcPr>
          <w:p w14:paraId="0DF80D58">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0024AD9B">
            <w:pPr>
              <w:widowControl/>
              <w:jc w:val="center"/>
              <w:rPr>
                <w:rFonts w:hint="eastAsia" w:ascii="宋体" w:hAnsi="宋体" w:cs="宋体"/>
                <w:color w:val="000000" w:themeColor="text1"/>
                <w:kern w:val="0"/>
                <w:szCs w:val="21"/>
                <w14:textFill>
                  <w14:solidFill>
                    <w14:schemeClr w14:val="tx1"/>
                  </w14:solidFill>
                </w14:textFill>
              </w:rPr>
            </w:pPr>
          </w:p>
        </w:tc>
      </w:tr>
      <w:tr w14:paraId="0658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121E4559">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3774" w:type="pct"/>
            <w:tcBorders>
              <w:top w:val="single" w:color="auto" w:sz="4" w:space="0"/>
              <w:left w:val="single" w:color="auto" w:sz="4" w:space="0"/>
              <w:bottom w:val="single" w:color="auto" w:sz="4" w:space="0"/>
              <w:right w:val="single" w:color="auto" w:sz="4" w:space="0"/>
            </w:tcBorders>
            <w:vAlign w:val="center"/>
          </w:tcPr>
          <w:p w14:paraId="2E5726A1">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6071BC78">
            <w:pPr>
              <w:widowControl/>
              <w:jc w:val="center"/>
              <w:rPr>
                <w:rFonts w:hint="eastAsia" w:ascii="宋体" w:hAnsi="宋体" w:cs="宋体"/>
                <w:color w:val="000000" w:themeColor="text1"/>
                <w:kern w:val="0"/>
                <w:szCs w:val="21"/>
                <w14:textFill>
                  <w14:solidFill>
                    <w14:schemeClr w14:val="tx1"/>
                  </w14:solidFill>
                </w14:textFill>
              </w:rPr>
            </w:pPr>
          </w:p>
        </w:tc>
      </w:tr>
      <w:tr w14:paraId="735C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7FB69D98">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3774" w:type="pct"/>
            <w:tcBorders>
              <w:top w:val="single" w:color="auto" w:sz="4" w:space="0"/>
              <w:left w:val="single" w:color="auto" w:sz="4" w:space="0"/>
              <w:bottom w:val="single" w:color="auto" w:sz="4" w:space="0"/>
              <w:right w:val="single" w:color="auto" w:sz="4" w:space="0"/>
            </w:tcBorders>
            <w:vAlign w:val="center"/>
          </w:tcPr>
          <w:p w14:paraId="1BC8CBA1">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01389943">
            <w:pPr>
              <w:widowControl/>
              <w:jc w:val="center"/>
              <w:rPr>
                <w:rFonts w:hint="eastAsia" w:ascii="宋体" w:hAnsi="宋体" w:cs="宋体"/>
                <w:color w:val="000000" w:themeColor="text1"/>
                <w:kern w:val="0"/>
                <w:szCs w:val="21"/>
                <w14:textFill>
                  <w14:solidFill>
                    <w14:schemeClr w14:val="tx1"/>
                  </w14:solidFill>
                </w14:textFill>
              </w:rPr>
            </w:pPr>
          </w:p>
        </w:tc>
      </w:tr>
      <w:tr w14:paraId="2BBB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8240AA0">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3774" w:type="pct"/>
            <w:tcBorders>
              <w:top w:val="single" w:color="auto" w:sz="4" w:space="0"/>
              <w:left w:val="single" w:color="auto" w:sz="4" w:space="0"/>
              <w:bottom w:val="single" w:color="auto" w:sz="4" w:space="0"/>
              <w:right w:val="single" w:color="auto" w:sz="4" w:space="0"/>
            </w:tcBorders>
            <w:vAlign w:val="center"/>
          </w:tcPr>
          <w:p w14:paraId="59B86F12">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1389E24E">
            <w:pPr>
              <w:widowControl/>
              <w:jc w:val="center"/>
              <w:rPr>
                <w:rFonts w:hint="eastAsia" w:ascii="宋体" w:hAnsi="宋体" w:cs="宋体"/>
                <w:color w:val="000000" w:themeColor="text1"/>
                <w:kern w:val="0"/>
                <w:szCs w:val="21"/>
                <w14:textFill>
                  <w14:solidFill>
                    <w14:schemeClr w14:val="tx1"/>
                  </w14:solidFill>
                </w14:textFill>
              </w:rPr>
            </w:pPr>
          </w:p>
        </w:tc>
      </w:tr>
      <w:tr w14:paraId="308D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5218AEC5">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3774" w:type="pct"/>
            <w:tcBorders>
              <w:top w:val="single" w:color="auto" w:sz="4" w:space="0"/>
              <w:left w:val="single" w:color="auto" w:sz="4" w:space="0"/>
              <w:bottom w:val="single" w:color="auto" w:sz="4" w:space="0"/>
              <w:right w:val="single" w:color="auto" w:sz="4" w:space="0"/>
            </w:tcBorders>
            <w:vAlign w:val="center"/>
          </w:tcPr>
          <w:p w14:paraId="17F59868">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43E48348">
            <w:pPr>
              <w:widowControl/>
              <w:jc w:val="center"/>
              <w:rPr>
                <w:rFonts w:hint="eastAsia" w:ascii="宋体" w:hAnsi="宋体" w:cs="宋体"/>
                <w:color w:val="000000" w:themeColor="text1"/>
                <w:kern w:val="0"/>
                <w:szCs w:val="21"/>
                <w14:textFill>
                  <w14:solidFill>
                    <w14:schemeClr w14:val="tx1"/>
                  </w14:solidFill>
                </w14:textFill>
              </w:rPr>
            </w:pPr>
          </w:p>
        </w:tc>
      </w:tr>
      <w:tr w14:paraId="4679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356EEBE">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3774" w:type="pct"/>
            <w:tcBorders>
              <w:top w:val="single" w:color="auto" w:sz="4" w:space="0"/>
              <w:left w:val="single" w:color="auto" w:sz="4" w:space="0"/>
              <w:bottom w:val="single" w:color="auto" w:sz="4" w:space="0"/>
              <w:right w:val="single" w:color="auto" w:sz="4" w:space="0"/>
            </w:tcBorders>
            <w:vAlign w:val="center"/>
          </w:tcPr>
          <w:p w14:paraId="2911C75E">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2A1A1A8C">
            <w:pPr>
              <w:widowControl/>
              <w:jc w:val="center"/>
              <w:rPr>
                <w:rFonts w:hint="eastAsia" w:ascii="宋体" w:hAnsi="宋体" w:cs="宋体"/>
                <w:color w:val="000000" w:themeColor="text1"/>
                <w:kern w:val="0"/>
                <w:szCs w:val="21"/>
                <w14:textFill>
                  <w14:solidFill>
                    <w14:schemeClr w14:val="tx1"/>
                  </w14:solidFill>
                </w14:textFill>
              </w:rPr>
            </w:pPr>
          </w:p>
        </w:tc>
      </w:tr>
      <w:tr w14:paraId="7AF5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0A38BDD">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3774" w:type="pct"/>
            <w:tcBorders>
              <w:top w:val="single" w:color="auto" w:sz="4" w:space="0"/>
              <w:left w:val="single" w:color="auto" w:sz="4" w:space="0"/>
              <w:bottom w:val="single" w:color="auto" w:sz="4" w:space="0"/>
              <w:right w:val="single" w:color="auto" w:sz="4" w:space="0"/>
            </w:tcBorders>
            <w:vAlign w:val="center"/>
          </w:tcPr>
          <w:p w14:paraId="0D3962BF">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6D8DFB79">
            <w:pPr>
              <w:widowControl/>
              <w:jc w:val="center"/>
              <w:rPr>
                <w:rFonts w:hint="eastAsia" w:ascii="宋体" w:hAnsi="宋体" w:cs="宋体"/>
                <w:color w:val="000000" w:themeColor="text1"/>
                <w:kern w:val="0"/>
                <w:szCs w:val="21"/>
                <w14:textFill>
                  <w14:solidFill>
                    <w14:schemeClr w14:val="tx1"/>
                  </w14:solidFill>
                </w14:textFill>
              </w:rPr>
            </w:pPr>
          </w:p>
        </w:tc>
      </w:tr>
      <w:tr w14:paraId="3660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BA85826">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p>
        </w:tc>
        <w:tc>
          <w:tcPr>
            <w:tcW w:w="3774" w:type="pct"/>
            <w:tcBorders>
              <w:top w:val="single" w:color="auto" w:sz="4" w:space="0"/>
              <w:left w:val="single" w:color="auto" w:sz="4" w:space="0"/>
              <w:bottom w:val="single" w:color="auto" w:sz="4" w:space="0"/>
              <w:right w:val="single" w:color="auto" w:sz="4" w:space="0"/>
            </w:tcBorders>
            <w:vAlign w:val="center"/>
          </w:tcPr>
          <w:p w14:paraId="744A7B66">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686CF0D6">
            <w:pPr>
              <w:widowControl/>
              <w:jc w:val="center"/>
              <w:rPr>
                <w:rFonts w:hint="eastAsia" w:ascii="宋体" w:hAnsi="宋体" w:cs="宋体"/>
                <w:color w:val="000000" w:themeColor="text1"/>
                <w:kern w:val="0"/>
                <w:szCs w:val="21"/>
                <w14:textFill>
                  <w14:solidFill>
                    <w14:schemeClr w14:val="tx1"/>
                  </w14:solidFill>
                </w14:textFill>
              </w:rPr>
            </w:pPr>
          </w:p>
        </w:tc>
      </w:tr>
      <w:tr w14:paraId="0FDE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4AF3F85">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p>
        </w:tc>
        <w:tc>
          <w:tcPr>
            <w:tcW w:w="3774" w:type="pct"/>
            <w:tcBorders>
              <w:top w:val="single" w:color="auto" w:sz="4" w:space="0"/>
              <w:left w:val="single" w:color="auto" w:sz="4" w:space="0"/>
              <w:bottom w:val="single" w:color="auto" w:sz="4" w:space="0"/>
              <w:right w:val="single" w:color="auto" w:sz="4" w:space="0"/>
            </w:tcBorders>
            <w:vAlign w:val="center"/>
          </w:tcPr>
          <w:p w14:paraId="7224A0D0">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023A410E">
            <w:pPr>
              <w:widowControl/>
              <w:jc w:val="center"/>
              <w:rPr>
                <w:rFonts w:hint="eastAsia" w:ascii="宋体" w:hAnsi="宋体" w:cs="宋体"/>
                <w:color w:val="000000" w:themeColor="text1"/>
                <w:kern w:val="0"/>
                <w:szCs w:val="21"/>
                <w14:textFill>
                  <w14:solidFill>
                    <w14:schemeClr w14:val="tx1"/>
                  </w14:solidFill>
                </w14:textFill>
              </w:rPr>
            </w:pPr>
          </w:p>
        </w:tc>
      </w:tr>
      <w:tr w14:paraId="4D81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1709766">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p>
        </w:tc>
        <w:tc>
          <w:tcPr>
            <w:tcW w:w="3774" w:type="pct"/>
            <w:tcBorders>
              <w:top w:val="single" w:color="auto" w:sz="4" w:space="0"/>
              <w:left w:val="single" w:color="auto" w:sz="4" w:space="0"/>
              <w:bottom w:val="single" w:color="auto" w:sz="4" w:space="0"/>
              <w:right w:val="single" w:color="auto" w:sz="4" w:space="0"/>
            </w:tcBorders>
            <w:vAlign w:val="center"/>
          </w:tcPr>
          <w:p w14:paraId="376D2070">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7082303E">
            <w:pPr>
              <w:widowControl/>
              <w:jc w:val="center"/>
              <w:rPr>
                <w:rFonts w:hint="eastAsia" w:ascii="宋体" w:hAnsi="宋体" w:cs="宋体"/>
                <w:color w:val="000000" w:themeColor="text1"/>
                <w:kern w:val="0"/>
                <w:szCs w:val="21"/>
                <w14:textFill>
                  <w14:solidFill>
                    <w14:schemeClr w14:val="tx1"/>
                  </w14:solidFill>
                </w14:textFill>
              </w:rPr>
            </w:pPr>
          </w:p>
        </w:tc>
      </w:tr>
      <w:tr w14:paraId="32B1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01D486B4">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p>
        </w:tc>
        <w:tc>
          <w:tcPr>
            <w:tcW w:w="3774" w:type="pct"/>
            <w:tcBorders>
              <w:top w:val="single" w:color="auto" w:sz="4" w:space="0"/>
              <w:left w:val="single" w:color="auto" w:sz="4" w:space="0"/>
              <w:bottom w:val="single" w:color="auto" w:sz="4" w:space="0"/>
              <w:right w:val="single" w:color="auto" w:sz="4" w:space="0"/>
            </w:tcBorders>
            <w:vAlign w:val="center"/>
          </w:tcPr>
          <w:p w14:paraId="51404E81">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2B107DAA">
            <w:pPr>
              <w:widowControl/>
              <w:jc w:val="center"/>
              <w:rPr>
                <w:rFonts w:hint="eastAsia" w:ascii="宋体" w:hAnsi="宋体" w:cs="宋体"/>
                <w:color w:val="000000" w:themeColor="text1"/>
                <w:kern w:val="0"/>
                <w:szCs w:val="21"/>
                <w14:textFill>
                  <w14:solidFill>
                    <w14:schemeClr w14:val="tx1"/>
                  </w14:solidFill>
                </w14:textFill>
              </w:rPr>
            </w:pPr>
          </w:p>
        </w:tc>
      </w:tr>
      <w:tr w14:paraId="20C8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3A938C6">
            <w:pPr>
              <w:widowControl/>
              <w:jc w:val="center"/>
              <w:rPr>
                <w:rFonts w:hint="eastAsia" w:ascii="宋体" w:hAnsi="宋体"/>
                <w:color w:val="000000" w:themeColor="text1"/>
                <w14:textFill>
                  <w14:solidFill>
                    <w14:schemeClr w14:val="tx1"/>
                  </w14:solidFill>
                </w14:textFill>
              </w:rPr>
            </w:pPr>
          </w:p>
        </w:tc>
        <w:tc>
          <w:tcPr>
            <w:tcW w:w="3774" w:type="pct"/>
            <w:tcBorders>
              <w:top w:val="single" w:color="auto" w:sz="4" w:space="0"/>
              <w:left w:val="single" w:color="auto" w:sz="4" w:space="0"/>
              <w:bottom w:val="single" w:color="auto" w:sz="4" w:space="0"/>
              <w:right w:val="single" w:color="auto" w:sz="4" w:space="0"/>
            </w:tcBorders>
            <w:vAlign w:val="center"/>
          </w:tcPr>
          <w:p w14:paraId="6DF3FC7D">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442A2B37">
            <w:pPr>
              <w:widowControl/>
              <w:jc w:val="center"/>
              <w:rPr>
                <w:rFonts w:hint="eastAsia" w:ascii="宋体" w:hAnsi="宋体" w:cs="宋体"/>
                <w:color w:val="000000" w:themeColor="text1"/>
                <w:kern w:val="0"/>
                <w:szCs w:val="21"/>
                <w14:textFill>
                  <w14:solidFill>
                    <w14:schemeClr w14:val="tx1"/>
                  </w14:solidFill>
                </w14:textFill>
              </w:rPr>
            </w:pPr>
          </w:p>
        </w:tc>
      </w:tr>
    </w:tbl>
    <w:p w14:paraId="4EC9EB95">
      <w:pPr>
        <w:spacing w:before="312" w:after="312"/>
        <w:ind w:firstLine="420"/>
        <w:rPr>
          <w:color w:val="000000" w:themeColor="text1"/>
          <w14:textFill>
            <w14:solidFill>
              <w14:schemeClr w14:val="tx1"/>
            </w14:solidFill>
          </w14:textFill>
        </w:rPr>
      </w:pPr>
    </w:p>
    <w:p w14:paraId="335F8CD2">
      <w:pPr>
        <w:pStyle w:val="18"/>
        <w:spacing w:before="312" w:after="312"/>
        <w:ind w:left="210" w:firstLine="560"/>
        <w:rPr>
          <w:color w:val="000000" w:themeColor="text1"/>
          <w14:textFill>
            <w14:solidFill>
              <w14:schemeClr w14:val="tx1"/>
            </w14:solidFill>
          </w14:textFill>
        </w:rPr>
      </w:pPr>
    </w:p>
    <w:p w14:paraId="73AA1805">
      <w:pPr>
        <w:pStyle w:val="18"/>
        <w:spacing w:before="312" w:after="312"/>
        <w:ind w:left="210" w:firstLine="560"/>
        <w:rPr>
          <w:color w:val="000000" w:themeColor="text1"/>
          <w14:textFill>
            <w14:solidFill>
              <w14:schemeClr w14:val="tx1"/>
            </w14:solidFill>
          </w14:textFill>
        </w:rPr>
      </w:pPr>
    </w:p>
    <w:p w14:paraId="5F687FCF">
      <w:pPr>
        <w:pStyle w:val="18"/>
        <w:spacing w:before="312" w:after="312"/>
        <w:ind w:left="210" w:firstLine="560"/>
        <w:rPr>
          <w:color w:val="000000" w:themeColor="text1"/>
          <w14:textFill>
            <w14:solidFill>
              <w14:schemeClr w14:val="tx1"/>
            </w14:solidFill>
          </w14:textFill>
        </w:rPr>
      </w:pPr>
    </w:p>
    <w:p w14:paraId="46FC1C1D">
      <w:pPr>
        <w:pStyle w:val="5"/>
        <w:spacing w:before="260" w:after="260" w:line="416" w:lineRule="auto"/>
        <w:jc w:val="center"/>
        <w:rPr>
          <w:rFonts w:hint="eastAsia" w:ascii="宋体" w:hAnsi="宋体" w:eastAsia="宋体"/>
          <w:b/>
          <w:bCs/>
          <w:color w:val="000000" w:themeColor="text1"/>
          <w:sz w:val="22"/>
          <w:szCs w:val="28"/>
          <w14:textFill>
            <w14:solidFill>
              <w14:schemeClr w14:val="tx1"/>
            </w14:solidFill>
          </w14:textFill>
        </w:rPr>
      </w:pPr>
      <w:bookmarkStart w:id="75" w:name="_Toc22528"/>
      <w:r>
        <w:rPr>
          <w:rFonts w:hint="eastAsia" w:ascii="宋体" w:hAnsi="宋体" w:eastAsia="宋体"/>
          <w:b/>
          <w:bCs/>
          <w:color w:val="000000" w:themeColor="text1"/>
          <w:sz w:val="22"/>
          <w:szCs w:val="28"/>
          <w14:textFill>
            <w14:solidFill>
              <w14:schemeClr w14:val="tx1"/>
            </w14:solidFill>
          </w14:textFill>
        </w:rPr>
        <w:t>详细</w:t>
      </w:r>
      <w:r>
        <w:rPr>
          <w:rFonts w:ascii="宋体" w:hAnsi="宋体" w:eastAsia="宋体"/>
          <w:b/>
          <w:bCs/>
          <w:color w:val="000000" w:themeColor="text1"/>
          <w:sz w:val="22"/>
          <w:szCs w:val="28"/>
          <w14:textFill>
            <w14:solidFill>
              <w14:schemeClr w14:val="tx1"/>
            </w14:solidFill>
          </w14:textFill>
        </w:rPr>
        <w:t>评审索引表</w:t>
      </w:r>
      <w:bookmarkEnd w:id="75"/>
    </w:p>
    <w:tbl>
      <w:tblPr>
        <w:tblStyle w:val="19"/>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31C8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50CF5E4C">
            <w:pPr>
              <w:widowControl/>
              <w:spacing w:line="300" w:lineRule="auto"/>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评标项目</w:t>
            </w:r>
          </w:p>
        </w:tc>
        <w:tc>
          <w:tcPr>
            <w:tcW w:w="6778" w:type="dxa"/>
            <w:vAlign w:val="center"/>
          </w:tcPr>
          <w:p w14:paraId="3E617AAD">
            <w:pPr>
              <w:jc w:val="center"/>
              <w:rPr>
                <w:b/>
                <w:color w:val="000000" w:themeColor="text1"/>
                <w14:textFill>
                  <w14:solidFill>
                    <w14:schemeClr w14:val="tx1"/>
                  </w14:solidFill>
                </w14:textFill>
              </w:rPr>
            </w:pPr>
            <w:r>
              <w:rPr>
                <w:b/>
                <w:color w:val="000000" w:themeColor="text1"/>
                <w:kern w:val="0"/>
                <w:szCs w:val="21"/>
                <w14:textFill>
                  <w14:solidFill>
                    <w14:schemeClr w14:val="tx1"/>
                  </w14:solidFill>
                </w14:textFill>
              </w:rPr>
              <w:t>评分要求</w:t>
            </w:r>
          </w:p>
        </w:tc>
        <w:tc>
          <w:tcPr>
            <w:tcW w:w="1141" w:type="dxa"/>
            <w:vAlign w:val="center"/>
          </w:tcPr>
          <w:p w14:paraId="3CAC1C5C">
            <w:pPr>
              <w:jc w:val="center"/>
              <w:rPr>
                <w:b/>
                <w:color w:val="000000" w:themeColor="text1"/>
                <w14:textFill>
                  <w14:solidFill>
                    <w14:schemeClr w14:val="tx1"/>
                  </w14:solidFill>
                </w14:textFill>
              </w:rPr>
            </w:pPr>
            <w:r>
              <w:rPr>
                <w:rFonts w:hint="eastAsia"/>
                <w:b/>
                <w:color w:val="000000" w:themeColor="text1"/>
                <w:kern w:val="0"/>
                <w:szCs w:val="21"/>
                <w14:textFill>
                  <w14:solidFill>
                    <w14:schemeClr w14:val="tx1"/>
                  </w14:solidFill>
                </w14:textFill>
              </w:rPr>
              <w:t>响应文件响应的页码</w:t>
            </w:r>
          </w:p>
        </w:tc>
      </w:tr>
      <w:tr w14:paraId="7D5F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7DF823B3">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11" w:type="dxa"/>
            <w:vAlign w:val="center"/>
          </w:tcPr>
          <w:p w14:paraId="337E90F9">
            <w:pPr>
              <w:widowControl/>
              <w:spacing w:line="300" w:lineRule="auto"/>
              <w:jc w:val="center"/>
              <w:rPr>
                <w:color w:val="000000" w:themeColor="text1"/>
                <w:kern w:val="0"/>
                <w:szCs w:val="21"/>
                <w14:textFill>
                  <w14:solidFill>
                    <w14:schemeClr w14:val="tx1"/>
                  </w14:solidFill>
                </w14:textFill>
              </w:rPr>
            </w:pPr>
          </w:p>
        </w:tc>
        <w:tc>
          <w:tcPr>
            <w:tcW w:w="6778" w:type="dxa"/>
          </w:tcPr>
          <w:p w14:paraId="198C7F8B">
            <w:pPr>
              <w:widowControl/>
              <w:tabs>
                <w:tab w:val="left" w:pos="402"/>
              </w:tabs>
              <w:ind w:left="420"/>
              <w:rPr>
                <w:color w:val="000000" w:themeColor="text1"/>
                <w:kern w:val="0"/>
                <w:szCs w:val="21"/>
                <w14:textFill>
                  <w14:solidFill>
                    <w14:schemeClr w14:val="tx1"/>
                  </w14:solidFill>
                </w14:textFill>
              </w:rPr>
            </w:pPr>
          </w:p>
        </w:tc>
        <w:tc>
          <w:tcPr>
            <w:tcW w:w="1141" w:type="dxa"/>
          </w:tcPr>
          <w:p w14:paraId="3E05BE3B">
            <w:pPr>
              <w:widowControl/>
              <w:tabs>
                <w:tab w:val="left" w:pos="0"/>
                <w:tab w:val="left" w:pos="402"/>
              </w:tabs>
              <w:spacing w:line="300" w:lineRule="auto"/>
              <w:rPr>
                <w:color w:val="000000" w:themeColor="text1"/>
                <w:kern w:val="0"/>
                <w:szCs w:val="21"/>
                <w14:textFill>
                  <w14:solidFill>
                    <w14:schemeClr w14:val="tx1"/>
                  </w14:solidFill>
                </w14:textFill>
              </w:rPr>
            </w:pPr>
          </w:p>
        </w:tc>
      </w:tr>
      <w:tr w14:paraId="2B15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58F8ED47">
            <w:pPr>
              <w:jc w:val="center"/>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211" w:type="dxa"/>
            <w:vAlign w:val="center"/>
          </w:tcPr>
          <w:p w14:paraId="60B39EB9">
            <w:pPr>
              <w:jc w:val="center"/>
              <w:rPr>
                <w:color w:val="000000" w:themeColor="text1"/>
                <w:kern w:val="0"/>
                <w:szCs w:val="21"/>
                <w14:textFill>
                  <w14:solidFill>
                    <w14:schemeClr w14:val="tx1"/>
                  </w14:solidFill>
                </w14:textFill>
              </w:rPr>
            </w:pPr>
          </w:p>
        </w:tc>
        <w:tc>
          <w:tcPr>
            <w:tcW w:w="6778" w:type="dxa"/>
            <w:vAlign w:val="center"/>
          </w:tcPr>
          <w:p w14:paraId="65DD088E">
            <w:pPr>
              <w:widowControl/>
              <w:jc w:val="left"/>
              <w:rPr>
                <w:color w:val="000000" w:themeColor="text1"/>
                <w:kern w:val="0"/>
                <w:szCs w:val="21"/>
                <w14:textFill>
                  <w14:solidFill>
                    <w14:schemeClr w14:val="tx1"/>
                  </w14:solidFill>
                </w14:textFill>
              </w:rPr>
            </w:pPr>
          </w:p>
        </w:tc>
        <w:tc>
          <w:tcPr>
            <w:tcW w:w="1141" w:type="dxa"/>
          </w:tcPr>
          <w:p w14:paraId="6B9E1842">
            <w:pPr>
              <w:widowControl/>
              <w:jc w:val="left"/>
              <w:rPr>
                <w:color w:val="000000" w:themeColor="text1"/>
                <w:kern w:val="0"/>
                <w:szCs w:val="21"/>
                <w14:textFill>
                  <w14:solidFill>
                    <w14:schemeClr w14:val="tx1"/>
                  </w14:solidFill>
                </w14:textFill>
              </w:rPr>
            </w:pPr>
          </w:p>
        </w:tc>
      </w:tr>
      <w:tr w14:paraId="6624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75A852CE">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1211" w:type="dxa"/>
            <w:vAlign w:val="center"/>
          </w:tcPr>
          <w:p w14:paraId="557D9AE0">
            <w:pPr>
              <w:jc w:val="center"/>
              <w:rPr>
                <w:rFonts w:hint="eastAsia" w:ascii="宋体" w:hAnsi="宋体"/>
                <w:b/>
                <w:color w:val="000000" w:themeColor="text1"/>
                <w14:textFill>
                  <w14:solidFill>
                    <w14:schemeClr w14:val="tx1"/>
                  </w14:solidFill>
                </w14:textFill>
              </w:rPr>
            </w:pPr>
          </w:p>
        </w:tc>
        <w:tc>
          <w:tcPr>
            <w:tcW w:w="6778" w:type="dxa"/>
            <w:vAlign w:val="center"/>
          </w:tcPr>
          <w:p w14:paraId="4EAB6EE6">
            <w:pPr>
              <w:widowControl/>
              <w:jc w:val="left"/>
              <w:rPr>
                <w:rFonts w:hint="eastAsia" w:ascii="宋体" w:hAnsi="宋体"/>
                <w:color w:val="000000" w:themeColor="text1"/>
                <w:szCs w:val="21"/>
                <w14:textFill>
                  <w14:solidFill>
                    <w14:schemeClr w14:val="tx1"/>
                  </w14:solidFill>
                </w14:textFill>
              </w:rPr>
            </w:pPr>
          </w:p>
        </w:tc>
        <w:tc>
          <w:tcPr>
            <w:tcW w:w="1141" w:type="dxa"/>
          </w:tcPr>
          <w:p w14:paraId="21CA3A22">
            <w:pPr>
              <w:widowControl/>
              <w:jc w:val="left"/>
              <w:rPr>
                <w:color w:val="000000" w:themeColor="text1"/>
                <w:kern w:val="0"/>
                <w:szCs w:val="21"/>
                <w14:textFill>
                  <w14:solidFill>
                    <w14:schemeClr w14:val="tx1"/>
                  </w14:solidFill>
                </w14:textFill>
              </w:rPr>
            </w:pPr>
          </w:p>
        </w:tc>
      </w:tr>
      <w:tr w14:paraId="4CB6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3307F58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211" w:type="dxa"/>
            <w:vAlign w:val="center"/>
          </w:tcPr>
          <w:p w14:paraId="536314AF">
            <w:pPr>
              <w:jc w:val="center"/>
              <w:rPr>
                <w:color w:val="000000" w:themeColor="text1"/>
                <w:kern w:val="0"/>
                <w:szCs w:val="21"/>
                <w14:textFill>
                  <w14:solidFill>
                    <w14:schemeClr w14:val="tx1"/>
                  </w14:solidFill>
                </w14:textFill>
              </w:rPr>
            </w:pPr>
          </w:p>
        </w:tc>
        <w:tc>
          <w:tcPr>
            <w:tcW w:w="6778" w:type="dxa"/>
          </w:tcPr>
          <w:p w14:paraId="1B1D52D8">
            <w:pPr>
              <w:widowControl/>
              <w:jc w:val="left"/>
              <w:rPr>
                <w:color w:val="000000" w:themeColor="text1"/>
                <w:kern w:val="0"/>
                <w:szCs w:val="21"/>
                <w14:textFill>
                  <w14:solidFill>
                    <w14:schemeClr w14:val="tx1"/>
                  </w14:solidFill>
                </w14:textFill>
              </w:rPr>
            </w:pPr>
          </w:p>
        </w:tc>
        <w:tc>
          <w:tcPr>
            <w:tcW w:w="1141" w:type="dxa"/>
          </w:tcPr>
          <w:p w14:paraId="4EFFF711">
            <w:pPr>
              <w:widowControl/>
              <w:jc w:val="left"/>
              <w:rPr>
                <w:color w:val="000000" w:themeColor="text1"/>
                <w:kern w:val="0"/>
                <w:szCs w:val="21"/>
                <w14:textFill>
                  <w14:solidFill>
                    <w14:schemeClr w14:val="tx1"/>
                  </w14:solidFill>
                </w14:textFill>
              </w:rPr>
            </w:pPr>
          </w:p>
        </w:tc>
      </w:tr>
      <w:tr w14:paraId="6D95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0539A44E">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1211" w:type="dxa"/>
            <w:vAlign w:val="center"/>
          </w:tcPr>
          <w:p w14:paraId="0F6100BB">
            <w:pPr>
              <w:jc w:val="center"/>
              <w:rPr>
                <w:color w:val="000000" w:themeColor="text1"/>
                <w:kern w:val="0"/>
                <w:szCs w:val="21"/>
                <w14:textFill>
                  <w14:solidFill>
                    <w14:schemeClr w14:val="tx1"/>
                  </w14:solidFill>
                </w14:textFill>
              </w:rPr>
            </w:pPr>
          </w:p>
        </w:tc>
        <w:tc>
          <w:tcPr>
            <w:tcW w:w="6778" w:type="dxa"/>
            <w:vAlign w:val="center"/>
          </w:tcPr>
          <w:p w14:paraId="1765C8D9">
            <w:pPr>
              <w:widowControl/>
              <w:jc w:val="left"/>
              <w:rPr>
                <w:color w:val="000000" w:themeColor="text1"/>
                <w:kern w:val="0"/>
                <w:szCs w:val="21"/>
                <w14:textFill>
                  <w14:solidFill>
                    <w14:schemeClr w14:val="tx1"/>
                  </w14:solidFill>
                </w14:textFill>
              </w:rPr>
            </w:pPr>
          </w:p>
        </w:tc>
        <w:tc>
          <w:tcPr>
            <w:tcW w:w="1141" w:type="dxa"/>
          </w:tcPr>
          <w:p w14:paraId="36D6E82D">
            <w:pPr>
              <w:widowControl/>
              <w:jc w:val="left"/>
              <w:rPr>
                <w:color w:val="000000" w:themeColor="text1"/>
                <w:kern w:val="0"/>
                <w:szCs w:val="21"/>
                <w14:textFill>
                  <w14:solidFill>
                    <w14:schemeClr w14:val="tx1"/>
                  </w14:solidFill>
                </w14:textFill>
              </w:rPr>
            </w:pPr>
          </w:p>
        </w:tc>
      </w:tr>
      <w:tr w14:paraId="1C35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54" w:type="dxa"/>
            <w:vAlign w:val="center"/>
          </w:tcPr>
          <w:p w14:paraId="28F76C6C">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c>
          <w:tcPr>
            <w:tcW w:w="1211" w:type="dxa"/>
            <w:vAlign w:val="center"/>
          </w:tcPr>
          <w:p w14:paraId="37073A96">
            <w:pPr>
              <w:jc w:val="center"/>
              <w:rPr>
                <w:color w:val="000000" w:themeColor="text1"/>
                <w:kern w:val="0"/>
                <w:szCs w:val="21"/>
                <w14:textFill>
                  <w14:solidFill>
                    <w14:schemeClr w14:val="tx1"/>
                  </w14:solidFill>
                </w14:textFill>
              </w:rPr>
            </w:pPr>
          </w:p>
        </w:tc>
        <w:tc>
          <w:tcPr>
            <w:tcW w:w="6778" w:type="dxa"/>
            <w:vAlign w:val="center"/>
          </w:tcPr>
          <w:p w14:paraId="2B5F4DAE">
            <w:pPr>
              <w:widowControl/>
              <w:rPr>
                <w:rFonts w:eastAsia="仿宋_GB2312"/>
                <w:b/>
                <w:bCs/>
                <w:color w:val="000000" w:themeColor="text1"/>
                <w:kern w:val="0"/>
                <w:sz w:val="24"/>
                <w14:textFill>
                  <w14:solidFill>
                    <w14:schemeClr w14:val="tx1"/>
                  </w14:solidFill>
                </w14:textFill>
              </w:rPr>
            </w:pPr>
          </w:p>
        </w:tc>
        <w:tc>
          <w:tcPr>
            <w:tcW w:w="1141" w:type="dxa"/>
            <w:vAlign w:val="center"/>
          </w:tcPr>
          <w:p w14:paraId="0233E71A">
            <w:pPr>
              <w:widowControl/>
              <w:jc w:val="left"/>
              <w:rPr>
                <w:rFonts w:eastAsia="仿宋_GB2312"/>
                <w:b/>
                <w:bCs/>
                <w:color w:val="000000" w:themeColor="text1"/>
                <w:kern w:val="0"/>
                <w:sz w:val="24"/>
                <w14:textFill>
                  <w14:solidFill>
                    <w14:schemeClr w14:val="tx1"/>
                  </w14:solidFill>
                </w14:textFill>
              </w:rPr>
            </w:pPr>
          </w:p>
        </w:tc>
      </w:tr>
    </w:tbl>
    <w:p w14:paraId="4DF8908D">
      <w:pPr>
        <w:pStyle w:val="7"/>
        <w:spacing w:before="312" w:after="312"/>
        <w:ind w:firstLine="560"/>
        <w:rPr>
          <w:color w:val="000000" w:themeColor="text1"/>
          <w14:textFill>
            <w14:solidFill>
              <w14:schemeClr w14:val="tx1"/>
            </w14:solidFill>
          </w14:textFill>
        </w:rPr>
      </w:pPr>
    </w:p>
    <w:p w14:paraId="53CE5BB2">
      <w:pPr>
        <w:spacing w:before="312" w:after="312"/>
        <w:ind w:firstLine="420"/>
        <w:rPr>
          <w:color w:val="000000" w:themeColor="text1"/>
          <w14:textFill>
            <w14:solidFill>
              <w14:schemeClr w14:val="tx1"/>
            </w14:solidFill>
          </w14:textFill>
        </w:rPr>
      </w:pPr>
    </w:p>
    <w:p w14:paraId="2EA099C6">
      <w:pPr>
        <w:spacing w:before="312" w:after="312"/>
        <w:ind w:firstLine="420"/>
        <w:rPr>
          <w:color w:val="000000" w:themeColor="text1"/>
          <w14:textFill>
            <w14:solidFill>
              <w14:schemeClr w14:val="tx1"/>
            </w14:solidFill>
          </w14:textFill>
        </w:rPr>
      </w:pPr>
    </w:p>
    <w:p w14:paraId="62382029">
      <w:pPr>
        <w:spacing w:before="312" w:after="312"/>
        <w:ind w:firstLine="420"/>
        <w:rPr>
          <w:color w:val="000000" w:themeColor="text1"/>
          <w14:textFill>
            <w14:solidFill>
              <w14:schemeClr w14:val="tx1"/>
            </w14:solidFill>
          </w14:textFill>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1E36BFEE">
      <w:pPr>
        <w:pStyle w:val="4"/>
        <w:spacing w:before="240" w:after="240"/>
        <w:rPr>
          <w:rStyle w:val="30"/>
          <w:rFonts w:hint="eastAsia" w:hAnsi="宋体"/>
          <w:b w:val="0"/>
          <w:bCs/>
          <w:color w:val="auto"/>
          <w:sz w:val="24"/>
          <w:szCs w:val="24"/>
        </w:rPr>
      </w:pPr>
      <w:bookmarkStart w:id="76" w:name="_Toc14807"/>
      <w:r>
        <w:rPr>
          <w:rStyle w:val="30"/>
          <w:rFonts w:hint="eastAsia" w:hAnsi="宋体"/>
          <w:b w:val="0"/>
          <w:bCs w:val="0"/>
          <w:sz w:val="24"/>
          <w:szCs w:val="24"/>
        </w:rPr>
        <w:t>附件</w:t>
      </w:r>
      <w:r>
        <w:rPr>
          <w:rStyle w:val="30"/>
          <w:rFonts w:hAnsi="宋体"/>
          <w:b w:val="0"/>
          <w:bCs w:val="0"/>
          <w:sz w:val="24"/>
          <w:szCs w:val="24"/>
        </w:rPr>
        <w:t>1</w:t>
      </w:r>
      <w:r>
        <w:rPr>
          <w:rStyle w:val="30"/>
          <w:rFonts w:hint="eastAsia" w:hAnsi="宋体"/>
          <w:b w:val="0"/>
          <w:bCs w:val="0"/>
          <w:sz w:val="24"/>
          <w:szCs w:val="24"/>
        </w:rPr>
        <w:t>：响应函</w:t>
      </w:r>
      <w:bookmarkEnd w:id="76"/>
    </w:p>
    <w:p w14:paraId="356DCAAE">
      <w:pPr>
        <w:snapToGrid w:val="0"/>
        <w:spacing w:before="240" w:beforeLines="100" w:after="240" w:afterLines="100"/>
        <w:ind w:left="210" w:leftChars="100" w:right="210" w:rightChars="100"/>
        <w:jc w:val="center"/>
        <w:rPr>
          <w:rStyle w:val="30"/>
          <w:rFonts w:hint="eastAsia" w:ascii="宋体" w:hAnsi="宋体"/>
          <w:bCs w:val="0"/>
          <w:color w:val="000000" w:themeColor="text1"/>
          <w14:textFill>
            <w14:solidFill>
              <w14:schemeClr w14:val="tx1"/>
            </w14:solidFill>
          </w14:textFill>
        </w:rPr>
      </w:pPr>
      <w:r>
        <w:rPr>
          <w:rStyle w:val="30"/>
          <w:rFonts w:hint="eastAsia" w:ascii="宋体" w:hAnsi="宋体"/>
          <w:color w:val="000000" w:themeColor="text1"/>
          <w14:textFill>
            <w14:solidFill>
              <w14:schemeClr w14:val="tx1"/>
            </w14:solidFill>
          </w14:textFill>
        </w:rPr>
        <w:t>响应函</w:t>
      </w:r>
    </w:p>
    <w:p w14:paraId="5005380C">
      <w:pPr>
        <w:snapToGrid w:val="0"/>
        <w:spacing w:before="240" w:beforeLines="100" w:after="240" w:afterLines="100"/>
        <w:ind w:left="210" w:leftChars="100" w:right="210" w:rightChars="100" w:firstLine="420" w:firstLineChars="200"/>
        <w:rPr>
          <w:rFonts w:ascii="宋体"/>
          <w:color w:val="000000" w:themeColor="text1"/>
          <w:szCs w:val="21"/>
          <w14:textFill>
            <w14:solidFill>
              <w14:schemeClr w14:val="tx1"/>
            </w14:solidFill>
          </w14:textFill>
        </w:rPr>
      </w:pPr>
    </w:p>
    <w:p w14:paraId="7343FF18">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江苏省广电有线信息网络股份有限公司：</w:t>
      </w:r>
    </w:p>
    <w:p w14:paraId="129E3AA6">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（供应商全称）授权（全权代表姓名、职务、职称）为全权代表，参加贵方组织的（采购编号、项目名称）的有关活动，为此：</w:t>
      </w:r>
    </w:p>
    <w:p w14:paraId="5B3CC0C1">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（1）提供供应商须知规定的全部响应文件（正本</w:t>
      </w:r>
      <w:r>
        <w:rPr>
          <w:rFonts w:ascii="宋体" w:hAnsi="宋体"/>
          <w:color w:val="000000" w:themeColor="text1"/>
          <w:sz w:val="24"/>
          <w14:textFill>
            <w14:solidFill>
              <w14:schemeClr w14:val="tx1"/>
            </w14:solidFill>
          </w14:textFill>
        </w:rPr>
        <w:t>[ 1 ]</w:t>
      </w:r>
      <w:r>
        <w:rPr>
          <w:rFonts w:hint="eastAsia" w:ascii="宋体" w:hAnsi="宋体"/>
          <w:color w:val="000000" w:themeColor="text1"/>
          <w:sz w:val="24"/>
          <w14:textFill>
            <w14:solidFill>
              <w14:schemeClr w14:val="tx1"/>
            </w14:solidFill>
          </w14:textFill>
        </w:rPr>
        <w:t>份，副本</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份、电子版</w:t>
      </w:r>
      <w:r>
        <w:rPr>
          <w:rFonts w:ascii="宋体" w:hAnsi="宋体"/>
          <w:color w:val="000000" w:themeColor="text1"/>
          <w:sz w:val="24"/>
          <w14:textFill>
            <w14:solidFill>
              <w14:schemeClr w14:val="tx1"/>
            </w14:solidFill>
          </w14:textFill>
        </w:rPr>
        <w:t>[ 1 ]</w:t>
      </w:r>
      <w:r>
        <w:rPr>
          <w:rFonts w:hint="eastAsia" w:ascii="宋体" w:hAnsi="宋体"/>
          <w:color w:val="000000" w:themeColor="text1"/>
          <w:sz w:val="24"/>
          <w14:textFill>
            <w14:solidFill>
              <w14:schemeClr w14:val="tx1"/>
            </w14:solidFill>
          </w14:textFill>
        </w:rPr>
        <w:t>份）。</w:t>
      </w:r>
    </w:p>
    <w:p w14:paraId="44BB8CC5">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（2）提供按竞争性谈判文件要求的产品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服务的报价。（</w:t>
      </w:r>
      <w:r>
        <w:rPr>
          <w:rFonts w:hint="eastAsia" w:ascii="宋体" w:hAnsi="宋体"/>
          <w:color w:val="000000" w:themeColor="text1"/>
          <w:sz w:val="24"/>
          <w:u w:val="single"/>
          <w14:textFill>
            <w14:solidFill>
              <w14:schemeClr w14:val="tx1"/>
            </w14:solidFill>
          </w14:textFill>
        </w:rPr>
        <w:t>详见附件：报价表</w:t>
      </w:r>
      <w:r>
        <w:rPr>
          <w:rFonts w:hint="eastAsia" w:ascii="宋体" w:hAnsi="宋体"/>
          <w:color w:val="000000" w:themeColor="text1"/>
          <w:sz w:val="24"/>
          <w14:textFill>
            <w14:solidFill>
              <w14:schemeClr w14:val="tx1"/>
            </w14:solidFill>
          </w14:textFill>
        </w:rPr>
        <w:t>）。</w:t>
      </w:r>
    </w:p>
    <w:p w14:paraId="6A14478B">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（3）供应商将按竞争性谈判文件的规定履行全部责任和义务。</w:t>
      </w:r>
    </w:p>
    <w:p w14:paraId="27098181">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（4）供应商已详细审查全部竞争性谈判文件，我们完全理解并同意放弃对竞争性谈判文件提出质疑及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或争议的权利。</w:t>
      </w:r>
    </w:p>
    <w:p w14:paraId="32B9FBD2">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（5）本供应商递交响应文件的有效期为自递交响应文件截止日起</w:t>
      </w:r>
      <w:r>
        <w:rPr>
          <w:rFonts w:hint="eastAsia" w:ascii="宋体" w:hAnsi="宋体"/>
          <w:color w:val="000000" w:themeColor="text1"/>
          <w:sz w:val="24"/>
          <w:u w:val="single"/>
          <w14:textFill>
            <w14:solidFill>
              <w14:schemeClr w14:val="tx1"/>
            </w14:solidFill>
          </w14:textFill>
        </w:rPr>
        <w:t>90个</w:t>
      </w:r>
      <w:r>
        <w:rPr>
          <w:rFonts w:hint="eastAsia" w:ascii="宋体" w:hAnsi="宋体"/>
          <w:color w:val="000000" w:themeColor="text1"/>
          <w:sz w:val="24"/>
          <w14:textFill>
            <w14:solidFill>
              <w14:schemeClr w14:val="tx1"/>
            </w14:solidFill>
          </w14:textFill>
        </w:rPr>
        <w:t>日历日。</w:t>
      </w:r>
    </w:p>
    <w:p w14:paraId="23FE657B">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（6）如果在规定的递交响应文件截止时间后，供应商在谈判有效期内撤回响应文件，将取消供应商参与本项目资格。</w:t>
      </w:r>
    </w:p>
    <w:p w14:paraId="7187F061">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（7）愿意向贵方提供任何与该项响应文件有关的数据、情况和技术资料，完全理解贵方不一定接受最低价的响应文件或收到的任何响应文件。</w:t>
      </w:r>
    </w:p>
    <w:p w14:paraId="071DAB22">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183AEE6D">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（9）我方在法律和财务上独立、合法运作并独立于采购人。</w:t>
      </w:r>
    </w:p>
    <w:p w14:paraId="27D9927B">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60D54C14">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）我方具有较大规模的销售和售后服务的组织机构及完善快捷的技术支持能力，承诺在南京地区拥有固定可靠的有效服务网点。</w:t>
      </w:r>
    </w:p>
    <w:p w14:paraId="71D47B79">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）根据本项目要求，我单位委派（姓名）（身份证号）作为本项目的项目负责人。</w:t>
      </w:r>
    </w:p>
    <w:p w14:paraId="7F91B37C">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）与本响应文件有关的一切往来通讯请寄：</w:t>
      </w:r>
    </w:p>
    <w:p w14:paraId="139F96DB">
      <w:pPr>
        <w:spacing w:line="360" w:lineRule="auto"/>
        <w:rPr>
          <w:rFonts w:hint="eastAsia" w:ascii="宋体" w:hAnsi="宋体"/>
          <w:color w:val="000000" w:themeColor="text1"/>
          <w:sz w:val="24"/>
          <w14:textFill>
            <w14:solidFill>
              <w14:schemeClr w14:val="tx1"/>
            </w14:solidFill>
          </w14:textFill>
        </w:rPr>
      </w:pPr>
    </w:p>
    <w:p w14:paraId="6C6B1E4E">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地址传真：</w:t>
      </w:r>
    </w:p>
    <w:p w14:paraId="647692DD">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电话电子函件：</w:t>
      </w:r>
    </w:p>
    <w:p w14:paraId="33ED244B">
      <w:pPr>
        <w:spacing w:line="360" w:lineRule="auto"/>
        <w:rPr>
          <w:rFonts w:hint="eastAsia" w:ascii="宋体" w:hAnsi="宋体"/>
          <w:color w:val="000000" w:themeColor="text1"/>
          <w:sz w:val="24"/>
          <w14:textFill>
            <w14:solidFill>
              <w14:schemeClr w14:val="tx1"/>
            </w14:solidFill>
          </w14:textFill>
        </w:rPr>
      </w:pPr>
    </w:p>
    <w:p w14:paraId="2B961C53">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38C97624">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23C622B0">
      <w:pPr>
        <w:spacing w:line="360" w:lineRule="auto"/>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14:paraId="032D8B17">
      <w:pPr>
        <w:spacing w:after="240" w:line="360" w:lineRule="auto"/>
        <w:ind w:firstLine="480"/>
        <w:rPr>
          <w:color w:val="000000" w:themeColor="text1"/>
          <w14:textFill>
            <w14:solidFill>
              <w14:schemeClr w14:val="tx1"/>
            </w14:solidFill>
          </w14:textFill>
        </w:rPr>
      </w:pPr>
    </w:p>
    <w:p w14:paraId="053D99F8">
      <w:pPr>
        <w:pStyle w:val="4"/>
        <w:spacing w:before="240" w:after="240"/>
        <w:rPr>
          <w:rStyle w:val="30"/>
          <w:rFonts w:hint="eastAsia" w:hAnsi="宋体"/>
          <w:b w:val="0"/>
          <w:bCs/>
          <w:color w:val="auto"/>
          <w:sz w:val="24"/>
          <w:szCs w:val="24"/>
        </w:rPr>
      </w:pPr>
      <w:r>
        <w:br w:type="page"/>
      </w:r>
      <w:bookmarkStart w:id="77" w:name="_Toc6327"/>
      <w:r>
        <w:rPr>
          <w:rStyle w:val="30"/>
          <w:rFonts w:hint="eastAsia" w:hAnsi="宋体"/>
          <w:b w:val="0"/>
          <w:bCs w:val="0"/>
          <w:sz w:val="24"/>
          <w:szCs w:val="24"/>
        </w:rPr>
        <w:t>附件</w:t>
      </w:r>
      <w:r>
        <w:rPr>
          <w:rStyle w:val="30"/>
          <w:rFonts w:hAnsi="宋体"/>
          <w:b w:val="0"/>
          <w:bCs w:val="0"/>
          <w:sz w:val="24"/>
          <w:szCs w:val="24"/>
        </w:rPr>
        <w:t>2</w:t>
      </w:r>
      <w:r>
        <w:rPr>
          <w:rStyle w:val="30"/>
          <w:rFonts w:hint="eastAsia" w:hAnsi="宋体"/>
          <w:b w:val="0"/>
          <w:bCs w:val="0"/>
          <w:sz w:val="24"/>
          <w:szCs w:val="24"/>
        </w:rPr>
        <w:t>：制造商的授权函和承诺函</w:t>
      </w:r>
      <w:r>
        <w:rPr>
          <w:rStyle w:val="30"/>
          <w:rFonts w:hAnsi="宋体"/>
          <w:b w:val="0"/>
          <w:bCs w:val="0"/>
          <w:sz w:val="24"/>
          <w:szCs w:val="24"/>
        </w:rPr>
        <w:br w:type="page"/>
      </w:r>
      <w:bookmarkEnd w:id="77"/>
    </w:p>
    <w:p w14:paraId="274883CF">
      <w:pPr>
        <w:pStyle w:val="4"/>
        <w:spacing w:before="240" w:after="240"/>
        <w:rPr>
          <w:rStyle w:val="31"/>
          <w:rFonts w:hAnsi="Times New Roman" w:eastAsia="宋体"/>
          <w:bCs w:val="0"/>
          <w:color w:val="auto"/>
        </w:rPr>
      </w:pPr>
      <w:bookmarkStart w:id="78" w:name="_Toc9756"/>
      <w:r>
        <w:rPr>
          <w:rStyle w:val="30"/>
          <w:rFonts w:hint="eastAsia" w:hAnsi="宋体"/>
          <w:b w:val="0"/>
          <w:bCs w:val="0"/>
          <w:sz w:val="24"/>
          <w:szCs w:val="24"/>
        </w:rPr>
        <w:t>附件</w:t>
      </w:r>
      <w:r>
        <w:rPr>
          <w:rStyle w:val="30"/>
          <w:rFonts w:hAnsi="宋体"/>
          <w:b w:val="0"/>
          <w:bCs w:val="0"/>
          <w:sz w:val="24"/>
          <w:szCs w:val="24"/>
        </w:rPr>
        <w:t>3</w:t>
      </w:r>
      <w:r>
        <w:rPr>
          <w:rStyle w:val="30"/>
          <w:rFonts w:hint="eastAsia" w:hAnsi="宋体"/>
          <w:b w:val="0"/>
          <w:bCs w:val="0"/>
          <w:sz w:val="24"/>
          <w:szCs w:val="24"/>
        </w:rPr>
        <w:t>：报价表</w:t>
      </w:r>
      <w:r>
        <w:rPr>
          <w:rStyle w:val="30"/>
          <w:rFonts w:hAnsi="宋体"/>
          <w:b w:val="0"/>
          <w:bCs w:val="0"/>
          <w:sz w:val="24"/>
          <w:szCs w:val="24"/>
        </w:rPr>
        <w:t>(</w:t>
      </w:r>
      <w:r>
        <w:rPr>
          <w:rStyle w:val="30"/>
          <w:rFonts w:hint="eastAsia" w:hAnsi="宋体"/>
          <w:b w:val="0"/>
          <w:bCs w:val="0"/>
          <w:sz w:val="24"/>
          <w:szCs w:val="24"/>
        </w:rPr>
        <w:t>格式</w:t>
      </w:r>
      <w:r>
        <w:rPr>
          <w:rStyle w:val="30"/>
          <w:rFonts w:hAnsi="宋体"/>
          <w:b w:val="0"/>
          <w:bCs w:val="0"/>
          <w:sz w:val="24"/>
          <w:szCs w:val="24"/>
        </w:rPr>
        <w:t>)</w:t>
      </w:r>
      <w:bookmarkEnd w:id="78"/>
    </w:p>
    <w:p w14:paraId="23F555F6">
      <w:pPr>
        <w:spacing w:line="360" w:lineRule="auto"/>
        <w:rPr>
          <w:rFonts w:hint="eastAsia"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防火墙</w:t>
      </w:r>
      <w:r>
        <w:rPr>
          <w:rFonts w:ascii="宋体" w:hAnsi="宋体"/>
          <w:color w:val="000000" w:themeColor="text1"/>
          <w:szCs w:val="21"/>
          <w14:textFill>
            <w14:solidFill>
              <w14:schemeClr w14:val="tx1"/>
            </w14:solidFill>
          </w14:textFill>
        </w:rPr>
        <w:t>采购项目</w:t>
      </w:r>
    </w:p>
    <w:p w14:paraId="15EF8AAF">
      <w:pPr>
        <w:pStyle w:val="11"/>
        <w:spacing w:after="240"/>
        <w:ind w:firstLine="420"/>
      </w:pPr>
    </w:p>
    <w:tbl>
      <w:tblPr>
        <w:tblStyle w:val="19"/>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818"/>
        <w:gridCol w:w="2069"/>
        <w:gridCol w:w="1134"/>
        <w:gridCol w:w="993"/>
        <w:gridCol w:w="992"/>
        <w:gridCol w:w="1313"/>
      </w:tblGrid>
      <w:tr w14:paraId="2A9C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831" w:type="dxa"/>
            <w:vAlign w:val="center"/>
          </w:tcPr>
          <w:p w14:paraId="21A82245">
            <w:pPr>
              <w:jc w:val="center"/>
              <w:rPr>
                <w:b/>
                <w:color w:val="000000"/>
                <w:szCs w:val="21"/>
              </w:rPr>
            </w:pPr>
            <w:r>
              <w:rPr>
                <w:rFonts w:hint="eastAsia"/>
                <w:b/>
                <w:color w:val="000000"/>
                <w:szCs w:val="21"/>
              </w:rPr>
              <w:t>设备名称</w:t>
            </w:r>
          </w:p>
        </w:tc>
        <w:tc>
          <w:tcPr>
            <w:tcW w:w="818" w:type="dxa"/>
            <w:vAlign w:val="center"/>
          </w:tcPr>
          <w:p w14:paraId="4A378639">
            <w:pPr>
              <w:jc w:val="center"/>
              <w:rPr>
                <w:b/>
                <w:color w:val="000000"/>
              </w:rPr>
            </w:pPr>
            <w:r>
              <w:rPr>
                <w:b/>
                <w:color w:val="000000"/>
              </w:rPr>
              <w:t>数量</w:t>
            </w:r>
          </w:p>
        </w:tc>
        <w:tc>
          <w:tcPr>
            <w:tcW w:w="2069" w:type="dxa"/>
            <w:vAlign w:val="center"/>
          </w:tcPr>
          <w:p w14:paraId="4F251009">
            <w:pPr>
              <w:jc w:val="center"/>
              <w:rPr>
                <w:b/>
                <w:color w:val="000000"/>
              </w:rPr>
            </w:pPr>
            <w:r>
              <w:rPr>
                <w:rFonts w:hint="eastAsia"/>
                <w:b/>
                <w:color w:val="000000"/>
              </w:rPr>
              <w:t>型号</w:t>
            </w:r>
            <w:r>
              <w:rPr>
                <w:b/>
                <w:color w:val="000000"/>
              </w:rPr>
              <w:t>/配置</w:t>
            </w:r>
          </w:p>
        </w:tc>
        <w:tc>
          <w:tcPr>
            <w:tcW w:w="1134" w:type="dxa"/>
            <w:vAlign w:val="center"/>
          </w:tcPr>
          <w:p w14:paraId="5BE50AD3">
            <w:pPr>
              <w:jc w:val="center"/>
              <w:rPr>
                <w:rFonts w:hint="eastAsia" w:ascii="宋体" w:hAnsi="宋体"/>
                <w:b/>
                <w:color w:val="000000"/>
              </w:rPr>
            </w:pPr>
            <w:r>
              <w:rPr>
                <w:rFonts w:hint="eastAsia" w:ascii="宋体" w:hAnsi="宋体"/>
                <w:b/>
                <w:color w:val="000000"/>
              </w:rPr>
              <w:t>★含税最高限价（元）</w:t>
            </w:r>
          </w:p>
        </w:tc>
        <w:tc>
          <w:tcPr>
            <w:tcW w:w="993" w:type="dxa"/>
            <w:vAlign w:val="center"/>
          </w:tcPr>
          <w:p w14:paraId="7CDD2D85">
            <w:pPr>
              <w:jc w:val="center"/>
              <w:rPr>
                <w:b/>
                <w:color w:val="000000"/>
              </w:rPr>
            </w:pPr>
            <w:r>
              <w:rPr>
                <w:rFonts w:hint="eastAsia"/>
                <w:b/>
                <w:color w:val="000000"/>
              </w:rPr>
              <w:t>含税单价</w:t>
            </w:r>
          </w:p>
          <w:p w14:paraId="4C284499">
            <w:pPr>
              <w:jc w:val="center"/>
              <w:rPr>
                <w:b/>
                <w:color w:val="000000"/>
              </w:rPr>
            </w:pPr>
            <w:r>
              <w:rPr>
                <w:b/>
                <w:color w:val="000000"/>
              </w:rPr>
              <w:t>（元）</w:t>
            </w:r>
          </w:p>
        </w:tc>
        <w:tc>
          <w:tcPr>
            <w:tcW w:w="992" w:type="dxa"/>
            <w:vAlign w:val="center"/>
          </w:tcPr>
          <w:p w14:paraId="3FDC7008">
            <w:pPr>
              <w:jc w:val="center"/>
              <w:rPr>
                <w:b/>
                <w:color w:val="000000"/>
              </w:rPr>
            </w:pPr>
            <w:r>
              <w:rPr>
                <w:rFonts w:hint="eastAsia"/>
                <w:b/>
                <w:color w:val="000000"/>
              </w:rPr>
              <w:t>含税总价</w:t>
            </w:r>
          </w:p>
          <w:p w14:paraId="06C2C391">
            <w:pPr>
              <w:jc w:val="center"/>
              <w:rPr>
                <w:b/>
                <w:color w:val="000000"/>
              </w:rPr>
            </w:pPr>
            <w:r>
              <w:rPr>
                <w:b/>
                <w:color w:val="000000"/>
              </w:rPr>
              <w:t>（元）</w:t>
            </w:r>
          </w:p>
        </w:tc>
        <w:tc>
          <w:tcPr>
            <w:tcW w:w="1313" w:type="dxa"/>
            <w:vAlign w:val="center"/>
          </w:tcPr>
          <w:p w14:paraId="78D55149">
            <w:pPr>
              <w:jc w:val="center"/>
              <w:rPr>
                <w:b/>
                <w:color w:val="000000"/>
              </w:rPr>
            </w:pPr>
            <w:r>
              <w:rPr>
                <w:b/>
                <w:color w:val="000000"/>
              </w:rPr>
              <w:t>增值税率</w:t>
            </w:r>
            <w:r>
              <w:rPr>
                <w:rFonts w:hint="eastAsia"/>
                <w:b/>
                <w:color w:val="000000"/>
              </w:rPr>
              <w:t>（%）</w:t>
            </w:r>
          </w:p>
        </w:tc>
      </w:tr>
      <w:tr w14:paraId="0554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31" w:type="dxa"/>
            <w:vAlign w:val="center"/>
          </w:tcPr>
          <w:p w14:paraId="4CFDA5C8">
            <w:pPr>
              <w:spacing w:line="400" w:lineRule="exact"/>
              <w:jc w:val="center"/>
              <w:rPr>
                <w:szCs w:val="21"/>
              </w:rPr>
            </w:pPr>
            <w:r>
              <w:rPr>
                <w:rFonts w:hint="eastAsia"/>
                <w:color w:val="000000"/>
              </w:rPr>
              <w:t>防火墙</w:t>
            </w:r>
          </w:p>
        </w:tc>
        <w:tc>
          <w:tcPr>
            <w:tcW w:w="818" w:type="dxa"/>
            <w:vAlign w:val="center"/>
          </w:tcPr>
          <w:p w14:paraId="39CDCE36">
            <w:pPr>
              <w:spacing w:line="400" w:lineRule="exact"/>
              <w:jc w:val="center"/>
              <w:rPr>
                <w:szCs w:val="21"/>
              </w:rPr>
            </w:pPr>
            <w:r>
              <w:rPr>
                <w:rFonts w:hint="eastAsia"/>
                <w:szCs w:val="21"/>
              </w:rPr>
              <w:t>2台</w:t>
            </w:r>
          </w:p>
        </w:tc>
        <w:tc>
          <w:tcPr>
            <w:tcW w:w="2069" w:type="dxa"/>
            <w:vAlign w:val="center"/>
          </w:tcPr>
          <w:p w14:paraId="276CBE51">
            <w:pPr>
              <w:pStyle w:val="32"/>
              <w:ind w:firstLine="0" w:firstLineChars="0"/>
              <w:jc w:val="left"/>
              <w:rPr>
                <w:color w:val="000000"/>
              </w:rPr>
            </w:pPr>
          </w:p>
        </w:tc>
        <w:tc>
          <w:tcPr>
            <w:tcW w:w="1134" w:type="dxa"/>
            <w:vAlign w:val="center"/>
          </w:tcPr>
          <w:p w14:paraId="11CDF4F5">
            <w:pPr>
              <w:pStyle w:val="32"/>
              <w:ind w:firstLine="0" w:firstLineChars="0"/>
              <w:jc w:val="center"/>
              <w:rPr>
                <w:color w:val="000000"/>
              </w:rPr>
            </w:pPr>
            <w:r>
              <w:rPr>
                <w:color w:val="000000"/>
              </w:rPr>
              <w:t>280</w:t>
            </w:r>
            <w:r>
              <w:rPr>
                <w:rFonts w:hint="eastAsia"/>
                <w:color w:val="000000"/>
              </w:rPr>
              <w:t>000</w:t>
            </w:r>
          </w:p>
        </w:tc>
        <w:tc>
          <w:tcPr>
            <w:tcW w:w="993" w:type="dxa"/>
            <w:vAlign w:val="center"/>
          </w:tcPr>
          <w:p w14:paraId="253B1214">
            <w:pPr>
              <w:pStyle w:val="32"/>
              <w:rPr>
                <w:color w:val="000000"/>
              </w:rPr>
            </w:pPr>
          </w:p>
        </w:tc>
        <w:tc>
          <w:tcPr>
            <w:tcW w:w="992" w:type="dxa"/>
            <w:vAlign w:val="center"/>
          </w:tcPr>
          <w:p w14:paraId="66315025">
            <w:pPr>
              <w:spacing w:line="400" w:lineRule="exact"/>
              <w:rPr>
                <w:color w:val="000000"/>
              </w:rPr>
            </w:pPr>
          </w:p>
        </w:tc>
        <w:tc>
          <w:tcPr>
            <w:tcW w:w="1313" w:type="dxa"/>
            <w:vAlign w:val="center"/>
          </w:tcPr>
          <w:p w14:paraId="0CDC9534">
            <w:pPr>
              <w:spacing w:line="400" w:lineRule="exact"/>
              <w:jc w:val="center"/>
              <w:rPr>
                <w:color w:val="000000"/>
              </w:rPr>
            </w:pPr>
          </w:p>
        </w:tc>
      </w:tr>
      <w:tr w14:paraId="6826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1" w:type="dxa"/>
            <w:vAlign w:val="center"/>
          </w:tcPr>
          <w:p w14:paraId="1B66FFD5">
            <w:pPr>
              <w:spacing w:line="400" w:lineRule="exact"/>
              <w:jc w:val="center"/>
              <w:rPr>
                <w:color w:val="000000"/>
              </w:rPr>
            </w:pPr>
            <w:r>
              <w:rPr>
                <w:color w:val="000000"/>
              </w:rPr>
              <w:t>交货期</w:t>
            </w:r>
          </w:p>
        </w:tc>
        <w:tc>
          <w:tcPr>
            <w:tcW w:w="7319" w:type="dxa"/>
            <w:gridSpan w:val="6"/>
            <w:vAlign w:val="center"/>
          </w:tcPr>
          <w:p w14:paraId="59713C62">
            <w:pPr>
              <w:spacing w:line="400" w:lineRule="exact"/>
              <w:ind w:firstLine="105" w:firstLineChars="50"/>
              <w:rPr>
                <w:color w:val="000000"/>
              </w:rPr>
            </w:pPr>
            <w:r>
              <w:rPr>
                <w:rFonts w:hint="eastAsia"/>
                <w:color w:val="000000"/>
                <w:u w:val="single"/>
              </w:rPr>
              <w:t>天（</w:t>
            </w:r>
            <w:r>
              <w:rPr>
                <w:rFonts w:hint="eastAsia"/>
                <w:color w:val="000000"/>
              </w:rPr>
              <w:t>★不超过30天）</w:t>
            </w:r>
          </w:p>
        </w:tc>
      </w:tr>
      <w:tr w14:paraId="044C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1" w:type="dxa"/>
            <w:vAlign w:val="center"/>
          </w:tcPr>
          <w:p w14:paraId="24B0BECE">
            <w:pPr>
              <w:spacing w:line="400" w:lineRule="exact"/>
              <w:jc w:val="center"/>
              <w:rPr>
                <w:color w:val="000000"/>
              </w:rPr>
            </w:pPr>
            <w:r>
              <w:rPr>
                <w:color w:val="000000"/>
              </w:rPr>
              <w:t>交货地点</w:t>
            </w:r>
          </w:p>
        </w:tc>
        <w:tc>
          <w:tcPr>
            <w:tcW w:w="7319" w:type="dxa"/>
            <w:gridSpan w:val="6"/>
            <w:vAlign w:val="center"/>
          </w:tcPr>
          <w:p w14:paraId="2B94BE14">
            <w:pPr>
              <w:spacing w:line="400" w:lineRule="exact"/>
              <w:rPr>
                <w:color w:val="000000"/>
              </w:rPr>
            </w:pPr>
            <w:r>
              <w:rPr>
                <w:rFonts w:hint="eastAsia"/>
                <w:color w:val="000000"/>
              </w:rPr>
              <w:t>采购</w:t>
            </w:r>
            <w:r>
              <w:rPr>
                <w:color w:val="000000"/>
              </w:rPr>
              <w:t>人指定地点</w:t>
            </w:r>
          </w:p>
        </w:tc>
      </w:tr>
      <w:tr w14:paraId="3C94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31" w:type="dxa"/>
            <w:vAlign w:val="center"/>
          </w:tcPr>
          <w:p w14:paraId="1043AC95">
            <w:pPr>
              <w:spacing w:line="400" w:lineRule="exact"/>
              <w:jc w:val="center"/>
              <w:rPr>
                <w:color w:val="000000"/>
              </w:rPr>
            </w:pPr>
            <w:r>
              <w:rPr>
                <w:color w:val="000000"/>
              </w:rPr>
              <w:t>免费包修期</w:t>
            </w:r>
          </w:p>
        </w:tc>
        <w:tc>
          <w:tcPr>
            <w:tcW w:w="7319" w:type="dxa"/>
            <w:gridSpan w:val="6"/>
            <w:vAlign w:val="center"/>
          </w:tcPr>
          <w:p w14:paraId="0F409B5C">
            <w:pPr>
              <w:spacing w:line="400" w:lineRule="exact"/>
              <w:rPr>
                <w:color w:val="000000"/>
              </w:rPr>
            </w:pPr>
            <w:r>
              <w:rPr>
                <w:rFonts w:hint="eastAsia"/>
                <w:color w:val="000000"/>
                <w:u w:val="single"/>
              </w:rPr>
              <w:t>年（</w:t>
            </w:r>
            <w:r>
              <w:rPr>
                <w:rFonts w:hint="eastAsia"/>
                <w:color w:val="000000"/>
              </w:rPr>
              <w:t>★不少于</w:t>
            </w:r>
            <w:r>
              <w:rPr>
                <w:color w:val="000000"/>
              </w:rPr>
              <w:t>5年）</w:t>
            </w:r>
          </w:p>
        </w:tc>
      </w:tr>
      <w:tr w14:paraId="51B6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831" w:type="dxa"/>
            <w:vAlign w:val="center"/>
          </w:tcPr>
          <w:p w14:paraId="357B6FEA">
            <w:pPr>
              <w:spacing w:line="400" w:lineRule="exact"/>
              <w:jc w:val="center"/>
              <w:rPr>
                <w:color w:val="000000"/>
              </w:rPr>
            </w:pPr>
            <w:r>
              <w:rPr>
                <w:color w:val="000000"/>
              </w:rPr>
              <w:t>包修期内的服务内容</w:t>
            </w:r>
          </w:p>
        </w:tc>
        <w:tc>
          <w:tcPr>
            <w:tcW w:w="7319" w:type="dxa"/>
            <w:gridSpan w:val="6"/>
            <w:vAlign w:val="center"/>
          </w:tcPr>
          <w:p w14:paraId="5B8135E7">
            <w:pPr>
              <w:spacing w:line="400" w:lineRule="exact"/>
              <w:rPr>
                <w:color w:val="000000"/>
                <w:u w:val="single"/>
              </w:rPr>
            </w:pPr>
            <w:r>
              <w:rPr>
                <w:color w:val="000000"/>
              </w:rPr>
              <w:t>招标文件第五章《技术及服务要求》中所有要求的内容，以及：</w:t>
            </w:r>
          </w:p>
          <w:p w14:paraId="06FDCD37">
            <w:pPr>
              <w:spacing w:line="400" w:lineRule="exact"/>
              <w:rPr>
                <w:color w:val="000000"/>
              </w:rPr>
            </w:pPr>
          </w:p>
        </w:tc>
      </w:tr>
      <w:tr w14:paraId="34D7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831" w:type="dxa"/>
            <w:vAlign w:val="center"/>
          </w:tcPr>
          <w:p w14:paraId="6046C358">
            <w:pPr>
              <w:spacing w:line="400" w:lineRule="exact"/>
              <w:jc w:val="center"/>
              <w:rPr>
                <w:color w:val="000000"/>
              </w:rPr>
            </w:pPr>
            <w:r>
              <w:rPr>
                <w:color w:val="000000"/>
              </w:rPr>
              <w:t>包修期满后的服务价格</w:t>
            </w:r>
          </w:p>
        </w:tc>
        <w:tc>
          <w:tcPr>
            <w:tcW w:w="7319" w:type="dxa"/>
            <w:gridSpan w:val="6"/>
            <w:vAlign w:val="center"/>
          </w:tcPr>
          <w:p w14:paraId="15C0EEBF">
            <w:pPr>
              <w:spacing w:line="400" w:lineRule="exact"/>
              <w:rPr>
                <w:color w:val="000000"/>
              </w:rPr>
            </w:pPr>
            <w:r>
              <w:rPr>
                <w:color w:val="000000"/>
              </w:rPr>
              <w:t>维保价格：</w:t>
            </w:r>
            <w:r>
              <w:rPr>
                <w:rFonts w:hint="eastAsia"/>
                <w:color w:val="000000"/>
              </w:rPr>
              <w:t>%</w:t>
            </w:r>
            <w:r>
              <w:rPr>
                <w:color w:val="000000"/>
              </w:rPr>
              <w:t>（</w:t>
            </w:r>
            <w:r>
              <w:rPr>
                <w:rFonts w:hint="eastAsia"/>
                <w:color w:val="000000"/>
              </w:rPr>
              <w:t>★</w:t>
            </w:r>
            <w:r>
              <w:rPr>
                <w:color w:val="000000"/>
                <w:szCs w:val="21"/>
              </w:rPr>
              <w:t>年维保费用不得高于合同价格的5%</w:t>
            </w:r>
            <w:r>
              <w:rPr>
                <w:color w:val="000000"/>
              </w:rPr>
              <w:t>）</w:t>
            </w:r>
          </w:p>
          <w:p w14:paraId="2593DED2">
            <w:pPr>
              <w:spacing w:line="400" w:lineRule="exact"/>
              <w:rPr>
                <w:color w:val="000000"/>
              </w:rPr>
            </w:pPr>
            <w:r>
              <w:rPr>
                <w:color w:val="000000"/>
              </w:rPr>
              <w:t>包含内容：</w:t>
            </w:r>
            <w:r>
              <w:rPr>
                <w:color w:val="000000"/>
                <w:u w:val="single"/>
              </w:rPr>
              <w:t>按照包修期内的服务内容</w:t>
            </w:r>
          </w:p>
        </w:tc>
      </w:tr>
      <w:tr w14:paraId="1C02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1" w:type="dxa"/>
            <w:vAlign w:val="center"/>
          </w:tcPr>
          <w:p w14:paraId="56A29D5B">
            <w:pPr>
              <w:spacing w:line="400" w:lineRule="exact"/>
              <w:jc w:val="center"/>
              <w:rPr>
                <w:color w:val="000000"/>
                <w:u w:val="single"/>
              </w:rPr>
            </w:pPr>
            <w:r>
              <w:rPr>
                <w:color w:val="000000"/>
              </w:rPr>
              <w:t>备注</w:t>
            </w:r>
          </w:p>
        </w:tc>
        <w:tc>
          <w:tcPr>
            <w:tcW w:w="7319" w:type="dxa"/>
            <w:gridSpan w:val="6"/>
            <w:vAlign w:val="center"/>
          </w:tcPr>
          <w:p w14:paraId="377B9B54">
            <w:pPr>
              <w:spacing w:line="400" w:lineRule="exact"/>
              <w:rPr>
                <w:color w:val="000000"/>
              </w:rPr>
            </w:pPr>
          </w:p>
        </w:tc>
      </w:tr>
    </w:tbl>
    <w:p w14:paraId="2EEFC931">
      <w:pPr>
        <w:snapToGrid w:val="0"/>
        <w:spacing w:line="360" w:lineRule="auto"/>
        <w:ind w:firstLine="420"/>
        <w:rPr>
          <w:color w:val="000000" w:themeColor="text1"/>
          <w14:textFill>
            <w14:solidFill>
              <w14:schemeClr w14:val="tx1"/>
            </w14:solidFill>
          </w14:textFill>
        </w:rPr>
      </w:pPr>
    </w:p>
    <w:p w14:paraId="40062315">
      <w:pPr>
        <w:snapToGrid w:val="0"/>
        <w:spacing w:line="360" w:lineRule="auto"/>
        <w:ind w:firstLine="42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须按照</w:t>
      </w:r>
      <w:r>
        <w:rPr>
          <w:rFonts w:hint="eastAsia"/>
          <w:color w:val="000000" w:themeColor="text1"/>
          <w:szCs w:val="21"/>
          <w14:textFill>
            <w14:solidFill>
              <w14:schemeClr w14:val="tx1"/>
            </w14:solidFill>
          </w14:textFill>
        </w:rPr>
        <w:t>竞争性谈判文件</w:t>
      </w:r>
      <w:r>
        <w:rPr>
          <w:color w:val="000000" w:themeColor="text1"/>
          <w:szCs w:val="21"/>
          <w14:textFill>
            <w14:solidFill>
              <w14:schemeClr w14:val="tx1"/>
            </w14:solidFill>
          </w14:textFill>
        </w:rPr>
        <w:t>要求，提供货到用户指定现场（到楼层）并提供全部服务的含税</w:t>
      </w:r>
      <w:r>
        <w:rPr>
          <w:rFonts w:hint="eastAsia"/>
          <w:color w:val="000000" w:themeColor="text1"/>
          <w:szCs w:val="21"/>
          <w14:textFill>
            <w14:solidFill>
              <w14:schemeClr w14:val="tx1"/>
            </w14:solidFill>
          </w14:textFill>
        </w:rPr>
        <w:t>价。</w:t>
      </w:r>
    </w:p>
    <w:p w14:paraId="467CC501">
      <w:pPr>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2.报价时请仔细阅读竞争性谈判文件《竞争性谈判须知》中关于报价的要求。</w:t>
      </w:r>
    </w:p>
    <w:p w14:paraId="3B9E922D">
      <w:pPr>
        <w:snapToGrid w:val="0"/>
        <w:spacing w:after="24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3.供应商应按照竞争性谈判文件中要求提供的服务内容报价。未在表中明确列出的服务项，采购人将视作供应商免费提供。</w:t>
      </w:r>
    </w:p>
    <w:p w14:paraId="4D5AA7E1">
      <w:pPr>
        <w:snapToGrid w:val="0"/>
        <w:spacing w:before="240" w:beforeLines="100" w:after="240" w:afterLines="100"/>
        <w:ind w:left="210" w:leftChars="100" w:right="210" w:rightChars="1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名称（公章）：</w:t>
      </w:r>
    </w:p>
    <w:p w14:paraId="29E75348">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代表签字</w:t>
      </w:r>
      <w:r>
        <w:rPr>
          <w:rFonts w:ascii="宋体" w:hAnsi="宋体"/>
          <w:color w:val="000000" w:themeColor="text1"/>
          <w:szCs w:val="21"/>
          <w:u w:val="single"/>
          <w14:textFill>
            <w14:solidFill>
              <w14:schemeClr w14:val="tx1"/>
            </w14:solidFill>
          </w14:textFill>
        </w:rPr>
        <w:t>：</w:t>
      </w:r>
    </w:p>
    <w:p w14:paraId="2A72C441">
      <w:pPr>
        <w:spacing w:after="240"/>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14:paraId="0FDFB5F3">
      <w:pPr>
        <w:pStyle w:val="2"/>
        <w:rPr>
          <w:color w:val="000000" w:themeColor="text1"/>
          <w14:textFill>
            <w14:solidFill>
              <w14:schemeClr w14:val="tx1"/>
            </w14:solidFill>
          </w14:textFill>
        </w:rPr>
      </w:pPr>
    </w:p>
    <w:p w14:paraId="1453F7EF">
      <w:pPr>
        <w:pStyle w:val="2"/>
        <w:rPr>
          <w:color w:val="000000" w:themeColor="text1"/>
          <w14:textFill>
            <w14:solidFill>
              <w14:schemeClr w14:val="tx1"/>
            </w14:solidFill>
          </w14:textFill>
        </w:rPr>
      </w:pPr>
    </w:p>
    <w:p w14:paraId="745B3854">
      <w:pPr>
        <w:pStyle w:val="2"/>
        <w:rPr>
          <w:color w:val="000000" w:themeColor="text1"/>
          <w14:textFill>
            <w14:solidFill>
              <w14:schemeClr w14:val="tx1"/>
            </w14:solidFill>
          </w14:textFill>
        </w:rPr>
      </w:pPr>
    </w:p>
    <w:p w14:paraId="6A8CEAAB">
      <w:pPr>
        <w:pStyle w:val="2"/>
        <w:rPr>
          <w:color w:val="000000" w:themeColor="text1"/>
          <w14:textFill>
            <w14:solidFill>
              <w14:schemeClr w14:val="tx1"/>
            </w14:solidFill>
          </w14:textFill>
        </w:rPr>
      </w:pPr>
    </w:p>
    <w:p w14:paraId="3B13A193">
      <w:pPr>
        <w:keepNext/>
        <w:keepLines/>
        <w:tabs>
          <w:tab w:val="left" w:pos="576"/>
        </w:tabs>
        <w:spacing w:before="120" w:beforeLines="50" w:after="120" w:afterLines="50" w:line="360" w:lineRule="auto"/>
        <w:outlineLvl w:val="2"/>
        <w:rPr>
          <w:rFonts w:eastAsia="黑体"/>
          <w:sz w:val="24"/>
          <w:u w:color="000000"/>
        </w:rPr>
      </w:pPr>
      <w:r>
        <w:rPr>
          <w:rFonts w:eastAsia="黑体"/>
          <w:sz w:val="24"/>
          <w:u w:color="000000"/>
        </w:rPr>
        <w:t xml:space="preserve">3-1 </w:t>
      </w:r>
      <w:r>
        <w:rPr>
          <w:rFonts w:hint="eastAsia" w:eastAsia="黑体"/>
          <w:sz w:val="24"/>
          <w:u w:color="000000"/>
        </w:rPr>
        <w:t>分项报价表</w:t>
      </w:r>
    </w:p>
    <w:p w14:paraId="7B2A5D1D">
      <w:pPr>
        <w:spacing w:line="360" w:lineRule="auto"/>
        <w:rPr>
          <w:rFonts w:ascii="Segoe UI Symbol" w:hAnsi="Segoe UI Symbol" w:cs="Segoe UI Symbol"/>
          <w:b/>
          <w:color w:val="000000"/>
        </w:rPr>
      </w:pPr>
      <w:r>
        <w:rPr>
          <w:color w:val="000000" w:themeColor="text1"/>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防火墙</w:t>
      </w:r>
      <w:r>
        <w:rPr>
          <w:rFonts w:ascii="宋体" w:hAnsi="宋体"/>
          <w:color w:val="000000" w:themeColor="text1"/>
          <w:szCs w:val="21"/>
          <w14:textFill>
            <w14:solidFill>
              <w14:schemeClr w14:val="tx1"/>
            </w14:solidFill>
          </w14:textFill>
        </w:rPr>
        <w:t>采购项目</w:t>
      </w:r>
    </w:p>
    <w:tbl>
      <w:tblPr>
        <w:tblStyle w:val="19"/>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524"/>
        <w:gridCol w:w="1985"/>
        <w:gridCol w:w="1701"/>
        <w:gridCol w:w="1134"/>
        <w:gridCol w:w="992"/>
        <w:gridCol w:w="992"/>
        <w:gridCol w:w="1134"/>
      </w:tblGrid>
      <w:tr w14:paraId="27FA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23432423">
            <w:pPr>
              <w:spacing w:line="360" w:lineRule="auto"/>
              <w:jc w:val="center"/>
              <w:rPr>
                <w:b/>
                <w:color w:val="000000"/>
              </w:rPr>
            </w:pPr>
            <w:r>
              <w:rPr>
                <w:rFonts w:hint="eastAsia"/>
                <w:b/>
                <w:color w:val="000000"/>
              </w:rPr>
              <w:t>序号</w:t>
            </w:r>
          </w:p>
        </w:tc>
        <w:tc>
          <w:tcPr>
            <w:tcW w:w="1524" w:type="dxa"/>
            <w:vAlign w:val="center"/>
          </w:tcPr>
          <w:p w14:paraId="61CE1D44">
            <w:pPr>
              <w:spacing w:line="360" w:lineRule="auto"/>
              <w:jc w:val="center"/>
              <w:rPr>
                <w:b/>
                <w:color w:val="000000"/>
              </w:rPr>
            </w:pPr>
            <w:r>
              <w:rPr>
                <w:rFonts w:hint="eastAsia"/>
                <w:b/>
                <w:color w:val="000000"/>
              </w:rPr>
              <w:t>类别</w:t>
            </w:r>
          </w:p>
        </w:tc>
        <w:tc>
          <w:tcPr>
            <w:tcW w:w="1985" w:type="dxa"/>
            <w:vAlign w:val="center"/>
          </w:tcPr>
          <w:p w14:paraId="3B45AFA4">
            <w:pPr>
              <w:spacing w:line="360" w:lineRule="auto"/>
              <w:jc w:val="center"/>
              <w:rPr>
                <w:b/>
                <w:color w:val="000000"/>
              </w:rPr>
            </w:pPr>
            <w:r>
              <w:rPr>
                <w:rFonts w:hint="eastAsia"/>
                <w:b/>
                <w:color w:val="000000"/>
              </w:rPr>
              <w:t>主要部件型号</w:t>
            </w:r>
          </w:p>
          <w:p w14:paraId="7B6FFCAB">
            <w:pPr>
              <w:spacing w:line="360" w:lineRule="auto"/>
              <w:jc w:val="center"/>
              <w:rPr>
                <w:b/>
                <w:color w:val="000000"/>
              </w:rPr>
            </w:pPr>
            <w:r>
              <w:rPr>
                <w:rFonts w:hint="eastAsia"/>
                <w:b/>
                <w:color w:val="000000"/>
              </w:rPr>
              <w:t>（定货号）</w:t>
            </w:r>
          </w:p>
        </w:tc>
        <w:tc>
          <w:tcPr>
            <w:tcW w:w="1701" w:type="dxa"/>
            <w:vAlign w:val="center"/>
          </w:tcPr>
          <w:p w14:paraId="123D2103">
            <w:pPr>
              <w:spacing w:line="360" w:lineRule="auto"/>
              <w:jc w:val="center"/>
              <w:rPr>
                <w:b/>
                <w:color w:val="000000"/>
              </w:rPr>
            </w:pPr>
            <w:r>
              <w:rPr>
                <w:rFonts w:hint="eastAsia"/>
                <w:b/>
                <w:color w:val="000000"/>
              </w:rPr>
              <w:t>功能的中文说明</w:t>
            </w:r>
          </w:p>
        </w:tc>
        <w:tc>
          <w:tcPr>
            <w:tcW w:w="1134" w:type="dxa"/>
            <w:vAlign w:val="center"/>
          </w:tcPr>
          <w:p w14:paraId="4E28315A">
            <w:pPr>
              <w:spacing w:line="360" w:lineRule="auto"/>
              <w:jc w:val="center"/>
              <w:rPr>
                <w:b/>
                <w:color w:val="000000"/>
              </w:rPr>
            </w:pPr>
            <w:r>
              <w:rPr>
                <w:rFonts w:hint="eastAsia"/>
                <w:b/>
                <w:color w:val="000000"/>
              </w:rPr>
              <w:t>制造商</w:t>
            </w:r>
            <w:r>
              <w:rPr>
                <w:b/>
                <w:color w:val="000000"/>
              </w:rPr>
              <w:t xml:space="preserve"> / </w:t>
            </w:r>
            <w:r>
              <w:rPr>
                <w:rFonts w:hint="eastAsia"/>
                <w:b/>
                <w:color w:val="000000"/>
              </w:rPr>
              <w:t>品牌</w:t>
            </w:r>
          </w:p>
        </w:tc>
        <w:tc>
          <w:tcPr>
            <w:tcW w:w="992" w:type="dxa"/>
            <w:vAlign w:val="center"/>
          </w:tcPr>
          <w:p w14:paraId="76FA2B8C">
            <w:pPr>
              <w:spacing w:line="360" w:lineRule="auto"/>
              <w:jc w:val="center"/>
              <w:rPr>
                <w:b/>
                <w:color w:val="000000"/>
              </w:rPr>
            </w:pPr>
            <w:r>
              <w:rPr>
                <w:rFonts w:hint="eastAsia"/>
                <w:b/>
                <w:color w:val="000000"/>
              </w:rPr>
              <w:t>含税单价</w:t>
            </w:r>
            <w:r>
              <w:rPr>
                <w:b/>
                <w:color w:val="000000"/>
              </w:rPr>
              <w:t>(</w:t>
            </w:r>
            <w:r>
              <w:rPr>
                <w:rFonts w:hint="eastAsia"/>
                <w:b/>
                <w:color w:val="000000"/>
              </w:rPr>
              <w:t>元</w:t>
            </w:r>
            <w:r>
              <w:rPr>
                <w:b/>
                <w:color w:val="000000"/>
              </w:rPr>
              <w:t>)</w:t>
            </w:r>
          </w:p>
        </w:tc>
        <w:tc>
          <w:tcPr>
            <w:tcW w:w="992" w:type="dxa"/>
            <w:vAlign w:val="center"/>
          </w:tcPr>
          <w:p w14:paraId="7665A29A">
            <w:pPr>
              <w:spacing w:line="360" w:lineRule="auto"/>
              <w:jc w:val="center"/>
              <w:rPr>
                <w:b/>
                <w:color w:val="000000"/>
              </w:rPr>
            </w:pPr>
            <w:r>
              <w:rPr>
                <w:rFonts w:hint="eastAsia"/>
                <w:b/>
                <w:color w:val="000000"/>
              </w:rPr>
              <w:t>数量</w:t>
            </w:r>
          </w:p>
        </w:tc>
        <w:tc>
          <w:tcPr>
            <w:tcW w:w="1134" w:type="dxa"/>
          </w:tcPr>
          <w:p w14:paraId="341BDAD1">
            <w:pPr>
              <w:spacing w:line="360" w:lineRule="auto"/>
              <w:jc w:val="center"/>
              <w:rPr>
                <w:b/>
                <w:color w:val="000000"/>
              </w:rPr>
            </w:pPr>
            <w:r>
              <w:rPr>
                <w:rFonts w:hint="eastAsia"/>
                <w:b/>
                <w:color w:val="000000"/>
              </w:rPr>
              <w:t>含税小计</w:t>
            </w:r>
          </w:p>
          <w:p w14:paraId="2BA65AEB">
            <w:pPr>
              <w:spacing w:line="360" w:lineRule="auto"/>
              <w:jc w:val="center"/>
              <w:rPr>
                <w:b/>
                <w:color w:val="000000"/>
              </w:rPr>
            </w:pPr>
            <w:r>
              <w:rPr>
                <w:b/>
                <w:color w:val="000000"/>
              </w:rPr>
              <w:t>(</w:t>
            </w:r>
            <w:r>
              <w:rPr>
                <w:rFonts w:hint="eastAsia"/>
                <w:b/>
                <w:color w:val="000000"/>
              </w:rPr>
              <w:t>元</w:t>
            </w:r>
            <w:r>
              <w:rPr>
                <w:b/>
                <w:color w:val="000000"/>
              </w:rPr>
              <w:t>)</w:t>
            </w:r>
          </w:p>
        </w:tc>
      </w:tr>
      <w:tr w14:paraId="25A1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597627EB">
            <w:pPr>
              <w:spacing w:line="360" w:lineRule="auto"/>
              <w:jc w:val="center"/>
              <w:rPr>
                <w:color w:val="000000"/>
                <w:szCs w:val="21"/>
              </w:rPr>
            </w:pPr>
            <w:r>
              <w:rPr>
                <w:rFonts w:hint="eastAsia"/>
                <w:color w:val="000000"/>
                <w:szCs w:val="21"/>
              </w:rPr>
              <w:t>1</w:t>
            </w:r>
          </w:p>
        </w:tc>
        <w:tc>
          <w:tcPr>
            <w:tcW w:w="1524" w:type="dxa"/>
            <w:vAlign w:val="center"/>
          </w:tcPr>
          <w:p w14:paraId="24E648BA">
            <w:pPr>
              <w:spacing w:line="360" w:lineRule="auto"/>
              <w:jc w:val="center"/>
              <w:rPr>
                <w:color w:val="000000"/>
                <w:szCs w:val="21"/>
              </w:rPr>
            </w:pPr>
            <w:r>
              <w:rPr>
                <w:rFonts w:hint="eastAsia"/>
                <w:color w:val="000000"/>
                <w:szCs w:val="21"/>
              </w:rPr>
              <w:t>防火墙</w:t>
            </w:r>
          </w:p>
        </w:tc>
        <w:tc>
          <w:tcPr>
            <w:tcW w:w="1985" w:type="dxa"/>
          </w:tcPr>
          <w:p w14:paraId="3180BFB1">
            <w:pPr>
              <w:spacing w:line="360" w:lineRule="auto"/>
              <w:jc w:val="center"/>
              <w:rPr>
                <w:rFonts w:hint="eastAsia" w:ascii="宋体" w:hAnsi="宋体"/>
                <w:color w:val="000000"/>
                <w:sz w:val="18"/>
                <w:szCs w:val="18"/>
              </w:rPr>
            </w:pPr>
          </w:p>
        </w:tc>
        <w:tc>
          <w:tcPr>
            <w:tcW w:w="1701" w:type="dxa"/>
          </w:tcPr>
          <w:p w14:paraId="3346C504">
            <w:pPr>
              <w:spacing w:line="360" w:lineRule="auto"/>
              <w:rPr>
                <w:b/>
                <w:color w:val="000000"/>
                <w:szCs w:val="21"/>
              </w:rPr>
            </w:pPr>
          </w:p>
        </w:tc>
        <w:tc>
          <w:tcPr>
            <w:tcW w:w="1134" w:type="dxa"/>
            <w:vAlign w:val="center"/>
          </w:tcPr>
          <w:p w14:paraId="3D00EA84">
            <w:pPr>
              <w:spacing w:line="360" w:lineRule="auto"/>
              <w:rPr>
                <w:color w:val="000000"/>
              </w:rPr>
            </w:pPr>
          </w:p>
        </w:tc>
        <w:tc>
          <w:tcPr>
            <w:tcW w:w="992" w:type="dxa"/>
          </w:tcPr>
          <w:p w14:paraId="6731AF67">
            <w:pPr>
              <w:spacing w:line="360" w:lineRule="auto"/>
              <w:jc w:val="right"/>
              <w:rPr>
                <w:color w:val="000000"/>
              </w:rPr>
            </w:pPr>
          </w:p>
        </w:tc>
        <w:tc>
          <w:tcPr>
            <w:tcW w:w="992" w:type="dxa"/>
            <w:vAlign w:val="center"/>
          </w:tcPr>
          <w:p w14:paraId="7823005F">
            <w:pPr>
              <w:spacing w:line="360" w:lineRule="auto"/>
              <w:jc w:val="right"/>
              <w:rPr>
                <w:color w:val="000000"/>
              </w:rPr>
            </w:pPr>
          </w:p>
        </w:tc>
        <w:tc>
          <w:tcPr>
            <w:tcW w:w="1134" w:type="dxa"/>
          </w:tcPr>
          <w:p w14:paraId="71D22350">
            <w:pPr>
              <w:spacing w:line="360" w:lineRule="auto"/>
              <w:jc w:val="right"/>
              <w:rPr>
                <w:color w:val="000000"/>
              </w:rPr>
            </w:pPr>
          </w:p>
        </w:tc>
      </w:tr>
      <w:tr w14:paraId="40D9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30" w:type="dxa"/>
            <w:vAlign w:val="center"/>
          </w:tcPr>
          <w:p w14:paraId="43041AB3">
            <w:pPr>
              <w:spacing w:line="360" w:lineRule="auto"/>
              <w:jc w:val="center"/>
              <w:rPr>
                <w:color w:val="000000"/>
                <w:szCs w:val="21"/>
              </w:rPr>
            </w:pPr>
            <w:r>
              <w:rPr>
                <w:rFonts w:hint="eastAsia"/>
                <w:color w:val="000000"/>
                <w:szCs w:val="21"/>
              </w:rPr>
              <w:t>2</w:t>
            </w:r>
          </w:p>
        </w:tc>
        <w:tc>
          <w:tcPr>
            <w:tcW w:w="1524" w:type="dxa"/>
            <w:vAlign w:val="center"/>
          </w:tcPr>
          <w:p w14:paraId="0F810E4F">
            <w:pPr>
              <w:spacing w:line="360" w:lineRule="auto"/>
              <w:jc w:val="center"/>
              <w:rPr>
                <w:color w:val="000000"/>
                <w:szCs w:val="21"/>
              </w:rPr>
            </w:pPr>
            <w:r>
              <w:rPr>
                <w:rFonts w:hint="eastAsia"/>
                <w:color w:val="000000"/>
                <w:szCs w:val="21"/>
              </w:rPr>
              <w:t>模块</w:t>
            </w:r>
          </w:p>
        </w:tc>
        <w:tc>
          <w:tcPr>
            <w:tcW w:w="1985" w:type="dxa"/>
          </w:tcPr>
          <w:p w14:paraId="650EB8E6">
            <w:pPr>
              <w:spacing w:line="360" w:lineRule="auto"/>
              <w:jc w:val="center"/>
              <w:rPr>
                <w:rFonts w:hint="eastAsia" w:ascii="宋体" w:hAnsi="宋体"/>
                <w:color w:val="000000"/>
                <w:sz w:val="18"/>
                <w:szCs w:val="18"/>
              </w:rPr>
            </w:pPr>
          </w:p>
        </w:tc>
        <w:tc>
          <w:tcPr>
            <w:tcW w:w="1701" w:type="dxa"/>
          </w:tcPr>
          <w:p w14:paraId="00D84559">
            <w:pPr>
              <w:spacing w:line="360" w:lineRule="auto"/>
              <w:rPr>
                <w:color w:val="000000"/>
                <w:szCs w:val="21"/>
              </w:rPr>
            </w:pPr>
          </w:p>
        </w:tc>
        <w:tc>
          <w:tcPr>
            <w:tcW w:w="1134" w:type="dxa"/>
            <w:vAlign w:val="center"/>
          </w:tcPr>
          <w:p w14:paraId="03E90921">
            <w:pPr>
              <w:spacing w:line="360" w:lineRule="auto"/>
              <w:rPr>
                <w:color w:val="000000"/>
              </w:rPr>
            </w:pPr>
          </w:p>
        </w:tc>
        <w:tc>
          <w:tcPr>
            <w:tcW w:w="992" w:type="dxa"/>
          </w:tcPr>
          <w:p w14:paraId="1E0FE765">
            <w:pPr>
              <w:spacing w:line="360" w:lineRule="auto"/>
              <w:jc w:val="right"/>
              <w:rPr>
                <w:color w:val="000000"/>
              </w:rPr>
            </w:pPr>
          </w:p>
        </w:tc>
        <w:tc>
          <w:tcPr>
            <w:tcW w:w="992" w:type="dxa"/>
            <w:vAlign w:val="center"/>
          </w:tcPr>
          <w:p w14:paraId="632CD9B3">
            <w:pPr>
              <w:spacing w:line="360" w:lineRule="auto"/>
              <w:jc w:val="right"/>
              <w:rPr>
                <w:color w:val="000000"/>
              </w:rPr>
            </w:pPr>
          </w:p>
        </w:tc>
        <w:tc>
          <w:tcPr>
            <w:tcW w:w="1134" w:type="dxa"/>
          </w:tcPr>
          <w:p w14:paraId="4AA897EF">
            <w:pPr>
              <w:spacing w:line="360" w:lineRule="auto"/>
              <w:jc w:val="right"/>
              <w:rPr>
                <w:color w:val="000000"/>
              </w:rPr>
            </w:pPr>
          </w:p>
        </w:tc>
      </w:tr>
      <w:tr w14:paraId="037A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72A4CB0A">
            <w:pPr>
              <w:spacing w:line="360" w:lineRule="auto"/>
              <w:jc w:val="center"/>
              <w:rPr>
                <w:bCs/>
                <w:szCs w:val="21"/>
              </w:rPr>
            </w:pPr>
            <w:r>
              <w:rPr>
                <w:rFonts w:hint="eastAsia"/>
                <w:bCs/>
                <w:szCs w:val="21"/>
              </w:rPr>
              <w:t>3</w:t>
            </w:r>
          </w:p>
        </w:tc>
        <w:tc>
          <w:tcPr>
            <w:tcW w:w="1524" w:type="dxa"/>
            <w:vAlign w:val="center"/>
          </w:tcPr>
          <w:p w14:paraId="370E43B5">
            <w:pPr>
              <w:spacing w:line="360" w:lineRule="auto"/>
              <w:jc w:val="center"/>
              <w:rPr>
                <w:bCs/>
                <w:szCs w:val="21"/>
              </w:rPr>
            </w:pPr>
            <w:r>
              <w:rPr>
                <w:rFonts w:hint="eastAsia"/>
                <w:bCs/>
                <w:szCs w:val="21"/>
              </w:rPr>
              <w:t>其他</w:t>
            </w:r>
          </w:p>
        </w:tc>
        <w:tc>
          <w:tcPr>
            <w:tcW w:w="1985" w:type="dxa"/>
            <w:vAlign w:val="center"/>
          </w:tcPr>
          <w:p w14:paraId="39484102">
            <w:pPr>
              <w:spacing w:line="360" w:lineRule="auto"/>
              <w:jc w:val="center"/>
              <w:rPr>
                <w:rFonts w:hint="eastAsia" w:ascii="宋体" w:hAnsi="宋体"/>
                <w:bCs/>
                <w:color w:val="000000"/>
                <w:sz w:val="18"/>
                <w:szCs w:val="18"/>
              </w:rPr>
            </w:pPr>
          </w:p>
        </w:tc>
        <w:tc>
          <w:tcPr>
            <w:tcW w:w="1701" w:type="dxa"/>
          </w:tcPr>
          <w:p w14:paraId="23F2C3CB">
            <w:pPr>
              <w:spacing w:line="360" w:lineRule="auto"/>
              <w:rPr>
                <w:color w:val="000000"/>
                <w:szCs w:val="21"/>
              </w:rPr>
            </w:pPr>
          </w:p>
        </w:tc>
        <w:tc>
          <w:tcPr>
            <w:tcW w:w="1134" w:type="dxa"/>
            <w:vAlign w:val="center"/>
          </w:tcPr>
          <w:p w14:paraId="334E02F6">
            <w:pPr>
              <w:spacing w:line="360" w:lineRule="auto"/>
              <w:rPr>
                <w:color w:val="000000"/>
              </w:rPr>
            </w:pPr>
          </w:p>
        </w:tc>
        <w:tc>
          <w:tcPr>
            <w:tcW w:w="992" w:type="dxa"/>
          </w:tcPr>
          <w:p w14:paraId="52D46465">
            <w:pPr>
              <w:spacing w:line="360" w:lineRule="auto"/>
              <w:jc w:val="right"/>
              <w:rPr>
                <w:color w:val="000000"/>
              </w:rPr>
            </w:pPr>
          </w:p>
        </w:tc>
        <w:tc>
          <w:tcPr>
            <w:tcW w:w="992" w:type="dxa"/>
            <w:vAlign w:val="center"/>
          </w:tcPr>
          <w:p w14:paraId="391C460B">
            <w:pPr>
              <w:spacing w:line="360" w:lineRule="auto"/>
              <w:jc w:val="right"/>
              <w:rPr>
                <w:color w:val="000000"/>
              </w:rPr>
            </w:pPr>
          </w:p>
        </w:tc>
        <w:tc>
          <w:tcPr>
            <w:tcW w:w="1134" w:type="dxa"/>
          </w:tcPr>
          <w:p w14:paraId="0CB7D530">
            <w:pPr>
              <w:spacing w:line="360" w:lineRule="auto"/>
              <w:jc w:val="right"/>
              <w:rPr>
                <w:color w:val="000000"/>
              </w:rPr>
            </w:pPr>
          </w:p>
        </w:tc>
      </w:tr>
      <w:tr w14:paraId="7AE8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30" w:type="dxa"/>
            <w:vAlign w:val="center"/>
          </w:tcPr>
          <w:p w14:paraId="050131DF">
            <w:pPr>
              <w:spacing w:line="360" w:lineRule="auto"/>
              <w:jc w:val="center"/>
              <w:rPr>
                <w:bCs/>
                <w:szCs w:val="21"/>
              </w:rPr>
            </w:pPr>
            <w:r>
              <w:rPr>
                <w:rFonts w:hint="eastAsia"/>
                <w:bCs/>
                <w:szCs w:val="21"/>
              </w:rPr>
              <w:t>4</w:t>
            </w:r>
          </w:p>
        </w:tc>
        <w:tc>
          <w:tcPr>
            <w:tcW w:w="1524" w:type="dxa"/>
            <w:vAlign w:val="center"/>
          </w:tcPr>
          <w:p w14:paraId="19E2FE13">
            <w:pPr>
              <w:spacing w:line="360" w:lineRule="auto"/>
              <w:jc w:val="center"/>
              <w:rPr>
                <w:bCs/>
                <w:szCs w:val="21"/>
              </w:rPr>
            </w:pPr>
          </w:p>
        </w:tc>
        <w:tc>
          <w:tcPr>
            <w:tcW w:w="1985" w:type="dxa"/>
            <w:vAlign w:val="center"/>
          </w:tcPr>
          <w:p w14:paraId="3439CC03">
            <w:pPr>
              <w:spacing w:line="360" w:lineRule="auto"/>
              <w:jc w:val="center"/>
              <w:rPr>
                <w:rFonts w:hint="eastAsia" w:ascii="宋体" w:hAnsi="宋体"/>
                <w:bCs/>
                <w:color w:val="000000"/>
                <w:sz w:val="18"/>
                <w:szCs w:val="18"/>
              </w:rPr>
            </w:pPr>
          </w:p>
        </w:tc>
        <w:tc>
          <w:tcPr>
            <w:tcW w:w="1701" w:type="dxa"/>
          </w:tcPr>
          <w:p w14:paraId="28544FE8">
            <w:pPr>
              <w:spacing w:line="360" w:lineRule="auto"/>
              <w:rPr>
                <w:color w:val="000000"/>
                <w:szCs w:val="21"/>
              </w:rPr>
            </w:pPr>
          </w:p>
        </w:tc>
        <w:tc>
          <w:tcPr>
            <w:tcW w:w="1134" w:type="dxa"/>
            <w:vAlign w:val="center"/>
          </w:tcPr>
          <w:p w14:paraId="458A2F54">
            <w:pPr>
              <w:spacing w:line="360" w:lineRule="auto"/>
              <w:rPr>
                <w:color w:val="000000"/>
              </w:rPr>
            </w:pPr>
          </w:p>
        </w:tc>
        <w:tc>
          <w:tcPr>
            <w:tcW w:w="992" w:type="dxa"/>
          </w:tcPr>
          <w:p w14:paraId="61467E42">
            <w:pPr>
              <w:spacing w:line="360" w:lineRule="auto"/>
              <w:jc w:val="right"/>
              <w:rPr>
                <w:color w:val="000000"/>
              </w:rPr>
            </w:pPr>
          </w:p>
        </w:tc>
        <w:tc>
          <w:tcPr>
            <w:tcW w:w="992" w:type="dxa"/>
            <w:vAlign w:val="center"/>
          </w:tcPr>
          <w:p w14:paraId="68669486">
            <w:pPr>
              <w:spacing w:line="360" w:lineRule="auto"/>
              <w:jc w:val="right"/>
              <w:rPr>
                <w:color w:val="000000"/>
              </w:rPr>
            </w:pPr>
          </w:p>
        </w:tc>
        <w:tc>
          <w:tcPr>
            <w:tcW w:w="1134" w:type="dxa"/>
          </w:tcPr>
          <w:p w14:paraId="425CBDC2">
            <w:pPr>
              <w:spacing w:line="360" w:lineRule="auto"/>
              <w:jc w:val="right"/>
              <w:rPr>
                <w:color w:val="000000"/>
              </w:rPr>
            </w:pPr>
          </w:p>
        </w:tc>
      </w:tr>
      <w:tr w14:paraId="6740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30" w:type="dxa"/>
            <w:vAlign w:val="center"/>
          </w:tcPr>
          <w:p w14:paraId="47E5F3E6">
            <w:pPr>
              <w:spacing w:line="360" w:lineRule="auto"/>
              <w:jc w:val="center"/>
              <w:rPr>
                <w:color w:val="000000"/>
                <w:szCs w:val="21"/>
              </w:rPr>
            </w:pPr>
            <w:r>
              <w:rPr>
                <w:color w:val="000000"/>
                <w:szCs w:val="21"/>
              </w:rPr>
              <w:t>5</w:t>
            </w:r>
          </w:p>
        </w:tc>
        <w:tc>
          <w:tcPr>
            <w:tcW w:w="1524" w:type="dxa"/>
            <w:vAlign w:val="center"/>
          </w:tcPr>
          <w:p w14:paraId="5BCA9EB0">
            <w:pPr>
              <w:spacing w:line="360" w:lineRule="auto"/>
              <w:jc w:val="center"/>
              <w:rPr>
                <w:color w:val="000000"/>
                <w:szCs w:val="21"/>
              </w:rPr>
            </w:pPr>
          </w:p>
        </w:tc>
        <w:tc>
          <w:tcPr>
            <w:tcW w:w="1985" w:type="dxa"/>
            <w:vAlign w:val="center"/>
          </w:tcPr>
          <w:p w14:paraId="0736A181">
            <w:pPr>
              <w:spacing w:line="360" w:lineRule="auto"/>
              <w:jc w:val="center"/>
              <w:rPr>
                <w:rFonts w:hint="eastAsia" w:ascii="宋体" w:hAnsi="宋体"/>
                <w:bCs/>
                <w:color w:val="000000"/>
                <w:sz w:val="18"/>
                <w:szCs w:val="18"/>
              </w:rPr>
            </w:pPr>
          </w:p>
        </w:tc>
        <w:tc>
          <w:tcPr>
            <w:tcW w:w="1701" w:type="dxa"/>
          </w:tcPr>
          <w:p w14:paraId="55DE83FD">
            <w:pPr>
              <w:spacing w:line="360" w:lineRule="auto"/>
              <w:rPr>
                <w:color w:val="000000"/>
                <w:szCs w:val="21"/>
              </w:rPr>
            </w:pPr>
          </w:p>
        </w:tc>
        <w:tc>
          <w:tcPr>
            <w:tcW w:w="1134" w:type="dxa"/>
            <w:vAlign w:val="center"/>
          </w:tcPr>
          <w:p w14:paraId="547A6E9B">
            <w:pPr>
              <w:spacing w:line="360" w:lineRule="auto"/>
              <w:rPr>
                <w:color w:val="000000"/>
              </w:rPr>
            </w:pPr>
          </w:p>
        </w:tc>
        <w:tc>
          <w:tcPr>
            <w:tcW w:w="992" w:type="dxa"/>
          </w:tcPr>
          <w:p w14:paraId="77F20726">
            <w:pPr>
              <w:spacing w:line="360" w:lineRule="auto"/>
              <w:jc w:val="right"/>
              <w:rPr>
                <w:color w:val="000000"/>
              </w:rPr>
            </w:pPr>
          </w:p>
        </w:tc>
        <w:tc>
          <w:tcPr>
            <w:tcW w:w="992" w:type="dxa"/>
            <w:vAlign w:val="center"/>
          </w:tcPr>
          <w:p w14:paraId="1B092AA7">
            <w:pPr>
              <w:spacing w:line="360" w:lineRule="auto"/>
              <w:jc w:val="right"/>
              <w:rPr>
                <w:color w:val="000000"/>
              </w:rPr>
            </w:pPr>
          </w:p>
        </w:tc>
        <w:tc>
          <w:tcPr>
            <w:tcW w:w="1134" w:type="dxa"/>
          </w:tcPr>
          <w:p w14:paraId="49B6073C">
            <w:pPr>
              <w:spacing w:line="360" w:lineRule="auto"/>
              <w:jc w:val="right"/>
              <w:rPr>
                <w:color w:val="000000"/>
              </w:rPr>
            </w:pPr>
          </w:p>
        </w:tc>
      </w:tr>
      <w:tr w14:paraId="2949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2A2F0EBF">
            <w:pPr>
              <w:spacing w:line="360" w:lineRule="auto"/>
              <w:jc w:val="center"/>
              <w:rPr>
                <w:color w:val="000000"/>
                <w:szCs w:val="21"/>
              </w:rPr>
            </w:pPr>
            <w:r>
              <w:rPr>
                <w:color w:val="000000"/>
                <w:szCs w:val="21"/>
              </w:rPr>
              <w:t>6</w:t>
            </w:r>
          </w:p>
        </w:tc>
        <w:tc>
          <w:tcPr>
            <w:tcW w:w="1524" w:type="dxa"/>
            <w:vAlign w:val="center"/>
          </w:tcPr>
          <w:p w14:paraId="6A556E54">
            <w:pPr>
              <w:spacing w:line="360" w:lineRule="auto"/>
              <w:jc w:val="center"/>
              <w:rPr>
                <w:color w:val="000000"/>
                <w:szCs w:val="21"/>
              </w:rPr>
            </w:pPr>
          </w:p>
        </w:tc>
        <w:tc>
          <w:tcPr>
            <w:tcW w:w="1985" w:type="dxa"/>
            <w:vAlign w:val="center"/>
          </w:tcPr>
          <w:p w14:paraId="6A768E84">
            <w:pPr>
              <w:spacing w:line="360" w:lineRule="auto"/>
              <w:jc w:val="center"/>
              <w:rPr>
                <w:rFonts w:hint="eastAsia" w:ascii="宋体" w:hAnsi="宋体"/>
                <w:bCs/>
                <w:color w:val="000000"/>
                <w:sz w:val="18"/>
                <w:szCs w:val="18"/>
              </w:rPr>
            </w:pPr>
          </w:p>
        </w:tc>
        <w:tc>
          <w:tcPr>
            <w:tcW w:w="1701" w:type="dxa"/>
          </w:tcPr>
          <w:p w14:paraId="61463D69">
            <w:pPr>
              <w:spacing w:line="360" w:lineRule="auto"/>
              <w:rPr>
                <w:color w:val="000000"/>
                <w:szCs w:val="21"/>
              </w:rPr>
            </w:pPr>
          </w:p>
        </w:tc>
        <w:tc>
          <w:tcPr>
            <w:tcW w:w="1134" w:type="dxa"/>
            <w:vAlign w:val="center"/>
          </w:tcPr>
          <w:p w14:paraId="5EAECEB8">
            <w:pPr>
              <w:spacing w:line="360" w:lineRule="auto"/>
              <w:rPr>
                <w:color w:val="000000"/>
              </w:rPr>
            </w:pPr>
          </w:p>
        </w:tc>
        <w:tc>
          <w:tcPr>
            <w:tcW w:w="992" w:type="dxa"/>
          </w:tcPr>
          <w:p w14:paraId="733D400F">
            <w:pPr>
              <w:spacing w:line="360" w:lineRule="auto"/>
              <w:jc w:val="right"/>
              <w:rPr>
                <w:color w:val="000000"/>
              </w:rPr>
            </w:pPr>
          </w:p>
        </w:tc>
        <w:tc>
          <w:tcPr>
            <w:tcW w:w="992" w:type="dxa"/>
            <w:vAlign w:val="center"/>
          </w:tcPr>
          <w:p w14:paraId="0FCF69C7">
            <w:pPr>
              <w:spacing w:line="360" w:lineRule="auto"/>
              <w:jc w:val="right"/>
              <w:rPr>
                <w:color w:val="000000"/>
              </w:rPr>
            </w:pPr>
          </w:p>
        </w:tc>
        <w:tc>
          <w:tcPr>
            <w:tcW w:w="1134" w:type="dxa"/>
          </w:tcPr>
          <w:p w14:paraId="2319A12E">
            <w:pPr>
              <w:spacing w:line="360" w:lineRule="auto"/>
              <w:jc w:val="right"/>
              <w:rPr>
                <w:color w:val="000000"/>
              </w:rPr>
            </w:pPr>
          </w:p>
        </w:tc>
      </w:tr>
      <w:tr w14:paraId="4AD0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76D5208B">
            <w:pPr>
              <w:spacing w:line="360" w:lineRule="auto"/>
              <w:jc w:val="center"/>
              <w:rPr>
                <w:color w:val="000000"/>
                <w:szCs w:val="21"/>
              </w:rPr>
            </w:pPr>
            <w:r>
              <w:rPr>
                <w:color w:val="000000"/>
                <w:szCs w:val="21"/>
              </w:rPr>
              <w:t>7</w:t>
            </w:r>
          </w:p>
        </w:tc>
        <w:tc>
          <w:tcPr>
            <w:tcW w:w="1524" w:type="dxa"/>
            <w:vAlign w:val="center"/>
          </w:tcPr>
          <w:p w14:paraId="694E5F7E">
            <w:pPr>
              <w:spacing w:line="360" w:lineRule="auto"/>
              <w:jc w:val="center"/>
              <w:rPr>
                <w:rFonts w:hint="eastAsia" w:ascii="宋体" w:hAnsi="宋体"/>
                <w:bCs/>
                <w:color w:val="000000"/>
                <w:sz w:val="18"/>
                <w:szCs w:val="18"/>
              </w:rPr>
            </w:pPr>
          </w:p>
        </w:tc>
        <w:tc>
          <w:tcPr>
            <w:tcW w:w="1985" w:type="dxa"/>
            <w:vAlign w:val="center"/>
          </w:tcPr>
          <w:p w14:paraId="7EB24D4B">
            <w:pPr>
              <w:spacing w:line="360" w:lineRule="auto"/>
              <w:jc w:val="center"/>
              <w:rPr>
                <w:rFonts w:hint="eastAsia" w:ascii="宋体" w:hAnsi="宋体"/>
                <w:bCs/>
                <w:color w:val="000000"/>
                <w:sz w:val="18"/>
                <w:szCs w:val="18"/>
              </w:rPr>
            </w:pPr>
          </w:p>
        </w:tc>
        <w:tc>
          <w:tcPr>
            <w:tcW w:w="1701" w:type="dxa"/>
          </w:tcPr>
          <w:p w14:paraId="194C455D">
            <w:pPr>
              <w:spacing w:line="360" w:lineRule="auto"/>
              <w:rPr>
                <w:color w:val="000000"/>
                <w:szCs w:val="21"/>
              </w:rPr>
            </w:pPr>
          </w:p>
        </w:tc>
        <w:tc>
          <w:tcPr>
            <w:tcW w:w="1134" w:type="dxa"/>
            <w:vAlign w:val="center"/>
          </w:tcPr>
          <w:p w14:paraId="1E0DB1DE">
            <w:pPr>
              <w:spacing w:line="360" w:lineRule="auto"/>
              <w:rPr>
                <w:color w:val="000000"/>
              </w:rPr>
            </w:pPr>
          </w:p>
        </w:tc>
        <w:tc>
          <w:tcPr>
            <w:tcW w:w="992" w:type="dxa"/>
          </w:tcPr>
          <w:p w14:paraId="0E6D4427">
            <w:pPr>
              <w:spacing w:line="360" w:lineRule="auto"/>
              <w:jc w:val="right"/>
              <w:rPr>
                <w:color w:val="000000"/>
              </w:rPr>
            </w:pPr>
          </w:p>
        </w:tc>
        <w:tc>
          <w:tcPr>
            <w:tcW w:w="992" w:type="dxa"/>
            <w:vAlign w:val="center"/>
          </w:tcPr>
          <w:p w14:paraId="10DC4FFB">
            <w:pPr>
              <w:spacing w:line="360" w:lineRule="auto"/>
              <w:jc w:val="right"/>
              <w:rPr>
                <w:color w:val="000000"/>
              </w:rPr>
            </w:pPr>
          </w:p>
        </w:tc>
        <w:tc>
          <w:tcPr>
            <w:tcW w:w="1134" w:type="dxa"/>
          </w:tcPr>
          <w:p w14:paraId="6EF5126B">
            <w:pPr>
              <w:spacing w:line="360" w:lineRule="auto"/>
              <w:jc w:val="right"/>
              <w:rPr>
                <w:color w:val="000000"/>
              </w:rPr>
            </w:pPr>
          </w:p>
        </w:tc>
      </w:tr>
      <w:tr w14:paraId="2FD3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3C2EAE1A">
            <w:pPr>
              <w:spacing w:line="360" w:lineRule="auto"/>
              <w:jc w:val="center"/>
              <w:rPr>
                <w:color w:val="000000"/>
                <w:szCs w:val="21"/>
              </w:rPr>
            </w:pPr>
            <w:r>
              <w:rPr>
                <w:color w:val="000000"/>
                <w:szCs w:val="21"/>
              </w:rPr>
              <w:t>8</w:t>
            </w:r>
          </w:p>
        </w:tc>
        <w:tc>
          <w:tcPr>
            <w:tcW w:w="1524" w:type="dxa"/>
            <w:vAlign w:val="center"/>
          </w:tcPr>
          <w:p w14:paraId="65D9EDB7">
            <w:pPr>
              <w:spacing w:line="360" w:lineRule="auto"/>
              <w:jc w:val="center"/>
              <w:rPr>
                <w:rFonts w:hint="eastAsia" w:ascii="宋体" w:hAnsi="宋体"/>
                <w:bCs/>
                <w:color w:val="000000"/>
                <w:sz w:val="18"/>
                <w:szCs w:val="18"/>
              </w:rPr>
            </w:pPr>
          </w:p>
        </w:tc>
        <w:tc>
          <w:tcPr>
            <w:tcW w:w="1985" w:type="dxa"/>
            <w:vAlign w:val="center"/>
          </w:tcPr>
          <w:p w14:paraId="74817040">
            <w:pPr>
              <w:spacing w:line="360" w:lineRule="auto"/>
              <w:jc w:val="center"/>
              <w:rPr>
                <w:rFonts w:hint="eastAsia" w:ascii="宋体" w:hAnsi="宋体"/>
                <w:bCs/>
                <w:color w:val="000000"/>
                <w:sz w:val="18"/>
                <w:szCs w:val="18"/>
              </w:rPr>
            </w:pPr>
          </w:p>
        </w:tc>
        <w:tc>
          <w:tcPr>
            <w:tcW w:w="1701" w:type="dxa"/>
          </w:tcPr>
          <w:p w14:paraId="24BC413C">
            <w:pPr>
              <w:spacing w:line="360" w:lineRule="auto"/>
              <w:rPr>
                <w:color w:val="000000"/>
                <w:szCs w:val="21"/>
              </w:rPr>
            </w:pPr>
          </w:p>
        </w:tc>
        <w:tc>
          <w:tcPr>
            <w:tcW w:w="1134" w:type="dxa"/>
            <w:vAlign w:val="center"/>
          </w:tcPr>
          <w:p w14:paraId="651F698B">
            <w:pPr>
              <w:spacing w:line="360" w:lineRule="auto"/>
              <w:rPr>
                <w:color w:val="000000"/>
              </w:rPr>
            </w:pPr>
          </w:p>
        </w:tc>
        <w:tc>
          <w:tcPr>
            <w:tcW w:w="992" w:type="dxa"/>
          </w:tcPr>
          <w:p w14:paraId="0120F608">
            <w:pPr>
              <w:spacing w:line="360" w:lineRule="auto"/>
              <w:jc w:val="right"/>
              <w:rPr>
                <w:color w:val="000000"/>
              </w:rPr>
            </w:pPr>
          </w:p>
        </w:tc>
        <w:tc>
          <w:tcPr>
            <w:tcW w:w="992" w:type="dxa"/>
            <w:vAlign w:val="center"/>
          </w:tcPr>
          <w:p w14:paraId="688B4009">
            <w:pPr>
              <w:spacing w:line="360" w:lineRule="auto"/>
              <w:jc w:val="right"/>
              <w:rPr>
                <w:color w:val="000000"/>
              </w:rPr>
            </w:pPr>
          </w:p>
        </w:tc>
        <w:tc>
          <w:tcPr>
            <w:tcW w:w="1134" w:type="dxa"/>
          </w:tcPr>
          <w:p w14:paraId="41247CC7">
            <w:pPr>
              <w:spacing w:line="360" w:lineRule="auto"/>
              <w:jc w:val="right"/>
              <w:rPr>
                <w:color w:val="000000"/>
              </w:rPr>
            </w:pPr>
          </w:p>
        </w:tc>
      </w:tr>
      <w:tr w14:paraId="39B7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6585C1F7">
            <w:pPr>
              <w:spacing w:line="360" w:lineRule="auto"/>
              <w:jc w:val="center"/>
              <w:rPr>
                <w:color w:val="000000"/>
                <w:szCs w:val="21"/>
              </w:rPr>
            </w:pPr>
            <w:r>
              <w:rPr>
                <w:color w:val="000000"/>
                <w:szCs w:val="21"/>
              </w:rPr>
              <w:t>9</w:t>
            </w:r>
          </w:p>
        </w:tc>
        <w:tc>
          <w:tcPr>
            <w:tcW w:w="1524" w:type="dxa"/>
            <w:vAlign w:val="center"/>
          </w:tcPr>
          <w:p w14:paraId="576F0E93">
            <w:pPr>
              <w:spacing w:line="360" w:lineRule="auto"/>
              <w:jc w:val="center"/>
              <w:rPr>
                <w:rFonts w:hint="eastAsia" w:ascii="宋体" w:hAnsi="宋体"/>
                <w:bCs/>
                <w:color w:val="000000"/>
                <w:sz w:val="18"/>
                <w:szCs w:val="18"/>
              </w:rPr>
            </w:pPr>
          </w:p>
        </w:tc>
        <w:tc>
          <w:tcPr>
            <w:tcW w:w="1985" w:type="dxa"/>
            <w:vAlign w:val="center"/>
          </w:tcPr>
          <w:p w14:paraId="5A8F022E">
            <w:pPr>
              <w:spacing w:line="360" w:lineRule="auto"/>
              <w:jc w:val="center"/>
              <w:rPr>
                <w:rFonts w:hint="eastAsia" w:ascii="宋体" w:hAnsi="宋体"/>
                <w:bCs/>
                <w:color w:val="000000"/>
                <w:sz w:val="18"/>
                <w:szCs w:val="18"/>
              </w:rPr>
            </w:pPr>
          </w:p>
        </w:tc>
        <w:tc>
          <w:tcPr>
            <w:tcW w:w="1701" w:type="dxa"/>
          </w:tcPr>
          <w:p w14:paraId="3B538450">
            <w:pPr>
              <w:spacing w:line="360" w:lineRule="auto"/>
              <w:rPr>
                <w:color w:val="000000"/>
                <w:szCs w:val="21"/>
              </w:rPr>
            </w:pPr>
          </w:p>
        </w:tc>
        <w:tc>
          <w:tcPr>
            <w:tcW w:w="1134" w:type="dxa"/>
            <w:vAlign w:val="center"/>
          </w:tcPr>
          <w:p w14:paraId="0E07D698">
            <w:pPr>
              <w:spacing w:line="360" w:lineRule="auto"/>
              <w:rPr>
                <w:color w:val="000000"/>
              </w:rPr>
            </w:pPr>
          </w:p>
        </w:tc>
        <w:tc>
          <w:tcPr>
            <w:tcW w:w="992" w:type="dxa"/>
          </w:tcPr>
          <w:p w14:paraId="5DC03D6A">
            <w:pPr>
              <w:spacing w:line="360" w:lineRule="auto"/>
              <w:jc w:val="right"/>
              <w:rPr>
                <w:color w:val="000000"/>
              </w:rPr>
            </w:pPr>
          </w:p>
        </w:tc>
        <w:tc>
          <w:tcPr>
            <w:tcW w:w="992" w:type="dxa"/>
            <w:vAlign w:val="center"/>
          </w:tcPr>
          <w:p w14:paraId="3300EE31">
            <w:pPr>
              <w:spacing w:line="360" w:lineRule="auto"/>
              <w:jc w:val="right"/>
              <w:rPr>
                <w:color w:val="000000"/>
              </w:rPr>
            </w:pPr>
          </w:p>
        </w:tc>
        <w:tc>
          <w:tcPr>
            <w:tcW w:w="1134" w:type="dxa"/>
          </w:tcPr>
          <w:p w14:paraId="45BE89BE">
            <w:pPr>
              <w:spacing w:line="360" w:lineRule="auto"/>
              <w:jc w:val="right"/>
              <w:rPr>
                <w:color w:val="000000"/>
              </w:rPr>
            </w:pPr>
          </w:p>
        </w:tc>
      </w:tr>
      <w:tr w14:paraId="5683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4039" w:type="dxa"/>
            <w:gridSpan w:val="3"/>
          </w:tcPr>
          <w:p w14:paraId="41E73644">
            <w:pPr>
              <w:spacing w:line="360" w:lineRule="auto"/>
              <w:rPr>
                <w:color w:val="000000"/>
              </w:rPr>
            </w:pPr>
            <w:r>
              <w:rPr>
                <w:color w:val="000000"/>
              </w:rPr>
              <w:t>货物总价（单位：人民币）</w:t>
            </w:r>
          </w:p>
          <w:p w14:paraId="5E19A0E6">
            <w:pPr>
              <w:spacing w:line="360" w:lineRule="auto"/>
              <w:rPr>
                <w:color w:val="000000"/>
              </w:rPr>
            </w:pPr>
            <w:r>
              <w:rPr>
                <w:color w:val="000000"/>
              </w:rPr>
              <w:t>本总价必须与附件2：开标一览表中相同货物的投标</w:t>
            </w:r>
            <w:r>
              <w:rPr>
                <w:rFonts w:hint="eastAsia"/>
                <w:color w:val="000000"/>
              </w:rPr>
              <w:t>总价</w:t>
            </w:r>
            <w:r>
              <w:rPr>
                <w:color w:val="000000"/>
              </w:rPr>
              <w:t>相一致。</w:t>
            </w:r>
          </w:p>
        </w:tc>
        <w:tc>
          <w:tcPr>
            <w:tcW w:w="5953" w:type="dxa"/>
            <w:gridSpan w:val="5"/>
          </w:tcPr>
          <w:p w14:paraId="183E7B5D">
            <w:pPr>
              <w:widowControl/>
              <w:jc w:val="left"/>
              <w:rPr>
                <w:color w:val="000000"/>
              </w:rPr>
            </w:pPr>
          </w:p>
          <w:p w14:paraId="300F502A">
            <w:pPr>
              <w:spacing w:line="360" w:lineRule="auto"/>
              <w:jc w:val="right"/>
              <w:rPr>
                <w:color w:val="000000"/>
              </w:rPr>
            </w:pPr>
          </w:p>
        </w:tc>
      </w:tr>
    </w:tbl>
    <w:p w14:paraId="00E1058B">
      <w:pPr>
        <w:snapToGrid w:val="0"/>
        <w:spacing w:line="360" w:lineRule="auto"/>
        <w:ind w:firstLine="440"/>
        <w:rPr>
          <w:color w:val="000000" w:themeColor="text1"/>
          <w14:textFill>
            <w14:solidFill>
              <w14:schemeClr w14:val="tx1"/>
            </w14:solidFill>
          </w14:textFill>
        </w:rPr>
      </w:pPr>
      <w:r>
        <w:rPr>
          <w:color w:val="000000" w:themeColor="text1"/>
          <w14:textFill>
            <w14:solidFill>
              <w14:schemeClr w14:val="tx1"/>
            </w14:solidFill>
          </w14:textFill>
        </w:rPr>
        <w:t xml:space="preserve">注：1. </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表中的每种货物及/或服务均单独列表，货物须按照</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部件进行报价</w:t>
      </w:r>
      <w:r>
        <w:rPr>
          <w:rFonts w:hint="eastAsia"/>
          <w:color w:val="000000" w:themeColor="text1"/>
          <w14:textFill>
            <w14:solidFill>
              <w14:schemeClr w14:val="tx1"/>
            </w14:solidFill>
          </w14:textFill>
        </w:rPr>
        <w:t>（如有License许可费用须单独列出）</w:t>
      </w:r>
      <w:r>
        <w:rPr>
          <w:color w:val="000000" w:themeColor="text1"/>
          <w14:textFill>
            <w14:solidFill>
              <w14:schemeClr w14:val="tx1"/>
            </w14:solidFill>
          </w14:textFill>
        </w:rPr>
        <w:t>；服务须按照人力资源配置计划进行报价。</w:t>
      </w:r>
    </w:p>
    <w:p w14:paraId="539E693B">
      <w:pPr>
        <w:snapToGrid w:val="0"/>
        <w:spacing w:line="360" w:lineRule="auto"/>
        <w:ind w:firstLine="44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须按照</w:t>
      </w:r>
      <w:r>
        <w:rPr>
          <w:rFonts w:hint="eastAsia"/>
          <w:color w:val="000000" w:themeColor="text1"/>
          <w14:textFill>
            <w14:solidFill>
              <w14:schemeClr w14:val="tx1"/>
            </w14:solidFill>
          </w14:textFill>
        </w:rPr>
        <w:t>谈判</w:t>
      </w:r>
      <w:r>
        <w:rPr>
          <w:color w:val="000000" w:themeColor="text1"/>
          <w14:textFill>
            <w14:solidFill>
              <w14:schemeClr w14:val="tx1"/>
            </w14:solidFill>
          </w14:textFill>
        </w:rPr>
        <w:t>文件要求，提供货到用户指定现场（到楼层）并提供全部服务的含税价。</w:t>
      </w:r>
    </w:p>
    <w:p w14:paraId="7F37DE10">
      <w:pPr>
        <w:snapToGrid w:val="0"/>
        <w:spacing w:before="240" w:beforeLines="100" w:after="240" w:afterLines="100"/>
        <w:ind w:left="210" w:leftChars="100" w:right="210" w:rightChars="1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名称（公章）：</w:t>
      </w:r>
    </w:p>
    <w:p w14:paraId="1D4F0B1E">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代表签字</w:t>
      </w:r>
      <w:r>
        <w:rPr>
          <w:rFonts w:ascii="宋体" w:hAnsi="宋体"/>
          <w:color w:val="000000" w:themeColor="text1"/>
          <w:szCs w:val="21"/>
          <w:u w:val="single"/>
          <w14:textFill>
            <w14:solidFill>
              <w14:schemeClr w14:val="tx1"/>
            </w14:solidFill>
          </w14:textFill>
        </w:rPr>
        <w:t>：</w:t>
      </w:r>
    </w:p>
    <w:p w14:paraId="7C6A48C0">
      <w:pPr>
        <w:spacing w:before="240" w:after="240"/>
        <w:ind w:firstLine="630" w:firstLineChars="300"/>
      </w:pPr>
      <w:r>
        <w:rPr>
          <w:rFonts w:hint="eastAsia"/>
          <w:color w:val="000000" w:themeColor="text1"/>
          <w14:textFill>
            <w14:solidFill>
              <w14:schemeClr w14:val="tx1"/>
            </w14:solidFill>
          </w14:textFill>
        </w:rPr>
        <w:t>日期：</w:t>
      </w:r>
    </w:p>
    <w:p w14:paraId="1475D933">
      <w:pPr>
        <w:pStyle w:val="2"/>
        <w:rPr>
          <w:color w:val="000000" w:themeColor="text1"/>
          <w14:textFill>
            <w14:solidFill>
              <w14:schemeClr w14:val="tx1"/>
            </w14:solidFill>
          </w14:textFill>
        </w:rPr>
      </w:pPr>
    </w:p>
    <w:p w14:paraId="081A3F4A">
      <w:pPr>
        <w:pStyle w:val="4"/>
        <w:spacing w:before="240" w:after="240"/>
        <w:rPr>
          <w:rFonts w:hint="eastAsia"/>
          <w:u w:val="single"/>
        </w:rPr>
      </w:pPr>
      <w:r>
        <w:rPr>
          <w:rFonts w:hint="eastAsia"/>
        </w:rPr>
        <w:br w:type="page"/>
      </w:r>
      <w:bookmarkStart w:id="79" w:name="_Toc6737"/>
      <w:r>
        <w:rPr>
          <w:rStyle w:val="30"/>
          <w:rFonts w:hint="eastAsia" w:hAnsi="宋体"/>
          <w:b w:val="0"/>
          <w:bCs w:val="0"/>
          <w:sz w:val="24"/>
          <w:szCs w:val="24"/>
        </w:rPr>
        <w:t>附件</w:t>
      </w:r>
      <w:r>
        <w:rPr>
          <w:rStyle w:val="30"/>
          <w:rFonts w:hAnsi="宋体"/>
          <w:b w:val="0"/>
          <w:bCs w:val="0"/>
          <w:sz w:val="24"/>
          <w:szCs w:val="24"/>
        </w:rPr>
        <w:t>4</w:t>
      </w:r>
      <w:r>
        <w:rPr>
          <w:rStyle w:val="30"/>
          <w:rFonts w:hint="eastAsia" w:hAnsi="宋体"/>
          <w:b w:val="0"/>
          <w:bCs w:val="0"/>
          <w:sz w:val="24"/>
          <w:szCs w:val="24"/>
        </w:rPr>
        <w:t>：商务条款偏离表</w:t>
      </w:r>
      <w:bookmarkEnd w:id="79"/>
    </w:p>
    <w:p w14:paraId="71FAB17A">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845"/>
        <w:gridCol w:w="2307"/>
        <w:gridCol w:w="2082"/>
        <w:gridCol w:w="1632"/>
      </w:tblGrid>
      <w:tr w14:paraId="530AD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Borders>
              <w:top w:val="single" w:color="auto" w:sz="12" w:space="0"/>
            </w:tcBorders>
          </w:tcPr>
          <w:p w14:paraId="39778CFB">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042" w:type="pct"/>
            <w:tcBorders>
              <w:top w:val="single" w:color="auto" w:sz="12" w:space="0"/>
            </w:tcBorders>
          </w:tcPr>
          <w:p w14:paraId="3A68562C">
            <w:pPr>
              <w:snapToGrid w:val="0"/>
              <w:spacing w:before="240" w:beforeLines="100" w:after="240"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竞争性谈判文件条目号</w:t>
            </w:r>
          </w:p>
        </w:tc>
        <w:tc>
          <w:tcPr>
            <w:tcW w:w="1303" w:type="pct"/>
            <w:tcBorders>
              <w:top w:val="single" w:color="auto" w:sz="12" w:space="0"/>
            </w:tcBorders>
          </w:tcPr>
          <w:p w14:paraId="4FBE996B">
            <w:pPr>
              <w:snapToGrid w:val="0"/>
              <w:spacing w:before="240" w:beforeLines="100" w:after="240"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竞争性谈判文件的商务条款</w:t>
            </w:r>
          </w:p>
        </w:tc>
        <w:tc>
          <w:tcPr>
            <w:tcW w:w="1176" w:type="pct"/>
            <w:tcBorders>
              <w:top w:val="single" w:color="auto" w:sz="12" w:space="0"/>
            </w:tcBorders>
          </w:tcPr>
          <w:p w14:paraId="5E1089FE">
            <w:pPr>
              <w:snapToGrid w:val="0"/>
              <w:spacing w:before="240" w:beforeLines="100" w:after="240"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响应文件的商务条款</w:t>
            </w:r>
          </w:p>
        </w:tc>
        <w:tc>
          <w:tcPr>
            <w:tcW w:w="923" w:type="pct"/>
            <w:tcBorders>
              <w:top w:val="single" w:color="auto" w:sz="12" w:space="0"/>
            </w:tcBorders>
          </w:tcPr>
          <w:p w14:paraId="3B8AB33C">
            <w:pPr>
              <w:snapToGrid w:val="0"/>
              <w:spacing w:before="240" w:beforeLines="100" w:after="240"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5C38A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61C433A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3EFD8A5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1FB035AC">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4607BEB5">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322BFA9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0A51C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040DBC8C">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1E06FBFC">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0CFDC41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7E57B1F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055433B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420F1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7EEC5E4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4CEAB1D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62B4BD3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4ACD12AC">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385222D5">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761DB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5702B1F9">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1D7292F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4F7C208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67F9F53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7B408AE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4E0BB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6CFEA6D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005367B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1ABF8B3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414C706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2C8038B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bl>
    <w:p w14:paraId="3278F0B1">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14:paraId="64B680C7">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p>
    <w:p w14:paraId="4877414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如供应商无任何偏离，也需在响应表中注明并在响应文件中递交此表。</w:t>
      </w:r>
    </w:p>
    <w:p w14:paraId="220F818E">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偏离包括正、负偏离，正偏离指供应商的响应高于竞争性谈判文件要求，负偏离指供应商的响应低于竞争性谈判文件要求。</w:t>
      </w:r>
    </w:p>
    <w:p w14:paraId="47E9F2BC">
      <w:pPr>
        <w:widowControl/>
        <w:spacing w:after="240"/>
        <w:ind w:firstLine="480"/>
        <w:jc w:val="left"/>
        <w:rPr>
          <w:rStyle w:val="30"/>
          <w:rFonts w:hint="eastAsia" w:hAnsi="宋体"/>
          <w:b w:val="0"/>
          <w:bCs w:val="0"/>
          <w:color w:val="000000" w:themeColor="text1"/>
          <w:sz w:val="24"/>
          <w14:textFill>
            <w14:solidFill>
              <w14:schemeClr w14:val="tx1"/>
            </w14:solidFill>
          </w14:textFill>
        </w:rPr>
      </w:pPr>
      <w:r>
        <w:rPr>
          <w:rStyle w:val="30"/>
          <w:rFonts w:hAnsi="宋体"/>
          <w:b w:val="0"/>
          <w:color w:val="000000" w:themeColor="text1"/>
          <w:sz w:val="24"/>
          <w14:textFill>
            <w14:solidFill>
              <w14:schemeClr w14:val="tx1"/>
            </w14:solidFill>
          </w14:textFill>
        </w:rPr>
        <w:br w:type="page"/>
      </w:r>
    </w:p>
    <w:p w14:paraId="75120171">
      <w:pPr>
        <w:topLinePunct/>
        <w:spacing w:line="360" w:lineRule="auto"/>
        <w:outlineLvl w:val="1"/>
        <w:rPr>
          <w:rStyle w:val="30"/>
          <w:rFonts w:hint="eastAsia" w:hAnsi="宋体"/>
          <w:b w:val="0"/>
          <w:bCs w:val="0"/>
          <w:color w:val="000000" w:themeColor="text1"/>
          <w:sz w:val="24"/>
          <w14:textFill>
            <w14:solidFill>
              <w14:schemeClr w14:val="tx1"/>
            </w14:solidFill>
          </w14:textFill>
        </w:rPr>
      </w:pPr>
      <w:bookmarkStart w:id="80" w:name="_Toc22836"/>
      <w:r>
        <w:rPr>
          <w:rStyle w:val="30"/>
          <w:rFonts w:hint="eastAsia" w:hAnsi="宋体"/>
          <w:b w:val="0"/>
          <w:bCs w:val="0"/>
          <w:color w:val="000000" w:themeColor="text1"/>
          <w:sz w:val="24"/>
          <w14:textFill>
            <w14:solidFill>
              <w14:schemeClr w14:val="tx1"/>
            </w14:solidFill>
          </w14:textFill>
        </w:rPr>
        <w:t>附件</w:t>
      </w:r>
      <w:r>
        <w:rPr>
          <w:rStyle w:val="30"/>
          <w:rFonts w:hAnsi="宋体"/>
          <w:b w:val="0"/>
          <w:bCs w:val="0"/>
          <w:color w:val="000000" w:themeColor="text1"/>
          <w:sz w:val="24"/>
          <w14:textFill>
            <w14:solidFill>
              <w14:schemeClr w14:val="tx1"/>
            </w14:solidFill>
          </w14:textFill>
        </w:rPr>
        <w:t>5</w:t>
      </w:r>
      <w:r>
        <w:rPr>
          <w:rStyle w:val="30"/>
          <w:rFonts w:hint="eastAsia" w:hAnsi="宋体"/>
          <w:b w:val="0"/>
          <w:bCs w:val="0"/>
          <w:color w:val="000000" w:themeColor="text1"/>
          <w:sz w:val="24"/>
          <w14:textFill>
            <w14:solidFill>
              <w14:schemeClr w14:val="tx1"/>
            </w14:solidFill>
          </w14:textFill>
        </w:rPr>
        <w:t>：法定代表人身份证明及授权委托书</w:t>
      </w:r>
      <w:bookmarkEnd w:id="80"/>
    </w:p>
    <w:p w14:paraId="4ECE4283">
      <w:pPr>
        <w:topLinePunct/>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14:paraId="59DA7C2C">
      <w:pPr>
        <w:spacing w:line="360" w:lineRule="auto"/>
        <w:ind w:firstLine="420" w:firstLineChars="200"/>
        <w:rPr>
          <w:rFonts w:hint="eastAsia" w:ascii="宋体" w:hAnsi="宋体" w:cs="宋体"/>
          <w:szCs w:val="21"/>
        </w:rPr>
      </w:pPr>
      <w:r>
        <w:rPr>
          <w:rFonts w:hint="eastAsia" w:ascii="宋体" w:hAnsi="宋体" w:cs="宋体"/>
          <w:szCs w:val="21"/>
        </w:rPr>
        <w:t>委托期限：。</w:t>
      </w:r>
    </w:p>
    <w:p w14:paraId="2DDA82FF">
      <w:pPr>
        <w:spacing w:line="360" w:lineRule="auto"/>
        <w:ind w:firstLine="420" w:firstLineChars="200"/>
        <w:rPr>
          <w:rFonts w:hint="eastAsia" w:ascii="宋体" w:hAnsi="宋体" w:cs="宋体"/>
          <w:szCs w:val="21"/>
        </w:rPr>
      </w:pPr>
      <w:r>
        <w:rPr>
          <w:rFonts w:hint="eastAsia" w:ascii="宋体" w:hAnsi="宋体" w:cs="宋体"/>
          <w:szCs w:val="21"/>
        </w:rPr>
        <w:t>授权代表无转委托权。</w:t>
      </w:r>
    </w:p>
    <w:p w14:paraId="32E03067">
      <w:pPr>
        <w:spacing w:line="360" w:lineRule="auto"/>
        <w:ind w:firstLine="420" w:firstLineChars="200"/>
        <w:rPr>
          <w:rFonts w:hint="eastAsia" w:ascii="宋体" w:hAnsi="宋体" w:cs="宋体"/>
          <w:szCs w:val="21"/>
        </w:rPr>
      </w:pPr>
      <w:r>
        <w:rPr>
          <w:rFonts w:hint="eastAsia" w:ascii="宋体" w:hAnsi="宋体" w:cs="宋体"/>
          <w:szCs w:val="21"/>
        </w:rPr>
        <w:t>附：法定代表人和授权代表身份证复印件(需同时提供正面及背面)</w:t>
      </w:r>
    </w:p>
    <w:p w14:paraId="5DADA8FF">
      <w:pPr>
        <w:spacing w:after="240" w:line="360" w:lineRule="auto"/>
        <w:ind w:firstLine="420" w:firstLineChars="200"/>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B6639EC">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KY/lO9lAgAArwQAAA4AAABkcnMvZTJvRG9jLnhtbK1U&#10;zW7UMBC+I/EOlu80m23D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kkyzLOJPnG&#10;abo9TbMYQ+RXzx368EhBw7pNwSsDLRHDcGCCQiuCOu0bL8YUqxMfOo4iv3oXcwKjy2NtTDRwMT80&#10;yFaCGug4fkNIv3nNWNYWfJqNs4h8w+c3IUbx+xdEo4kiM7op+O7mJWM7Hir28sD3Ssa+HGE9Xw+V&#10;mUN5Tuoi9H1OU06bGvA1Zy31eMH9q6VAxZl5bKlC03RnpxuKaOxkkzEZuOmZb3qElQRV8MBZvz0M&#10;/SAtHepFTZHSmLyFA6pqpaO0HdWe1dAL1MdR8WHmukHZtOOtP/+Z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CazR2QAAAAsBAAAPAAAAAAAAAAEAIAAAACIAAABkcnMvZG93bnJldi54bWxQSwEC&#10;FAAUAAAACACHTuJApj+U72UCAACvBAAADgAAAAAAAAABACAAAAAoAQAAZHJzL2Uyb0RvYy54bWxQ&#10;SwUGAAAAAAYABgBZAQAA/wUAAAAA&#10;">
                <v:fill on="t" focussize="0,0"/>
                <v:stroke color="#000000" miterlimit="8" joinstyle="miter"/>
                <v:imagedata o:title=""/>
                <o:lock v:ext="edit" aspectratio="f"/>
                <v:textbox>
                  <w:txbxContent>
                    <w:p w14:paraId="2B6639EC">
                      <w:pPr>
                        <w:ind w:firstLine="420"/>
                        <w:jc w:val="center"/>
                        <w:rPr>
                          <w:szCs w:val="21"/>
                        </w:rPr>
                      </w:pPr>
                      <w:r>
                        <w:rPr>
                          <w:rFonts w:hint="eastAsia"/>
                          <w:szCs w:val="21"/>
                        </w:rPr>
                        <w:t>法定代表人身份证正面复印件</w:t>
                      </w:r>
                    </w:p>
                  </w:txbxContent>
                </v:textbox>
              </v:shape>
            </w:pict>
          </mc:Fallback>
        </mc:AlternateConten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1BC0808">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s3HJdgAAAAKAQAADwAAAAAAAAABACAAAAAiAAAAZHJzL2Rvd25yZXYueG1sUEsBAhQA&#10;FAAAAAgAh07iQN/FgxpkAgAArwQAAA4AAAAAAAAAAQAgAAAAJwEAAGRycy9lMm9Eb2MueG1sUEsF&#10;BgAAAAAGAAYAWQEAAP0FAAAAAA==&#10;">
                <v:fill on="t" focussize="0,0"/>
                <v:stroke color="#000000" miterlimit="8" joinstyle="miter"/>
                <v:imagedata o:title=""/>
                <o:lock v:ext="edit" aspectratio="f"/>
                <v:textbox>
                  <w:txbxContent>
                    <w:p w14:paraId="31BC0808">
                      <w:pPr>
                        <w:ind w:firstLine="420"/>
                        <w:jc w:val="center"/>
                        <w:rPr>
                          <w:szCs w:val="21"/>
                        </w:rPr>
                      </w:pPr>
                      <w:r>
                        <w:rPr>
                          <w:rFonts w:hint="eastAsia"/>
                          <w:szCs w:val="21"/>
                        </w:rPr>
                        <w:t>法定代表人身份证背面复印件</w:t>
                      </w:r>
                    </w:p>
                  </w:txbxContent>
                </v:textbox>
              </v:shape>
            </w:pict>
          </mc:Fallback>
        </mc:AlternateContent>
      </w:r>
    </w:p>
    <w:p w14:paraId="6A3926B6">
      <w:pPr>
        <w:spacing w:after="240" w:line="360" w:lineRule="auto"/>
        <w:ind w:firstLine="420" w:firstLineChars="200"/>
        <w:rPr>
          <w:rFonts w:hint="eastAsia" w:ascii="宋体" w:hAnsi="宋体" w:cs="宋体"/>
          <w:szCs w:val="21"/>
        </w:rPr>
      </w:pPr>
    </w:p>
    <w:p w14:paraId="2D8EF96C">
      <w:pPr>
        <w:spacing w:after="240" w:line="360" w:lineRule="auto"/>
        <w:ind w:firstLine="420" w:firstLineChars="200"/>
        <w:rPr>
          <w:rFonts w:hint="eastAsia" w:ascii="宋体" w:hAnsi="宋体" w:cs="宋体"/>
          <w:szCs w:val="21"/>
        </w:rPr>
      </w:pPr>
    </w:p>
    <w:p w14:paraId="61036DE3">
      <w:pPr>
        <w:spacing w:after="240" w:line="360" w:lineRule="auto"/>
        <w:ind w:firstLine="420" w:firstLineChars="200"/>
        <w:rPr>
          <w:rFonts w:hint="eastAsia" w:ascii="宋体" w:hAnsi="宋体" w:cs="宋体"/>
          <w:szCs w:val="21"/>
        </w:rPr>
      </w:pPr>
    </w:p>
    <w:p w14:paraId="5B9B8C82">
      <w:pPr>
        <w:spacing w:after="240" w:line="360" w:lineRule="auto"/>
        <w:ind w:firstLine="420" w:firstLineChars="200"/>
        <w:rPr>
          <w:rFonts w:hint="eastAsia" w:ascii="宋体" w:hAnsi="宋体" w:cs="宋体"/>
          <w:szCs w:val="21"/>
        </w:rPr>
      </w:pPr>
    </w:p>
    <w:p w14:paraId="796A3868">
      <w:pPr>
        <w:spacing w:after="240" w:line="360" w:lineRule="auto"/>
        <w:ind w:firstLine="420" w:firstLineChars="200"/>
        <w:rPr>
          <w:rFonts w:hint="eastAsia" w:ascii="宋体" w:hAnsi="宋体" w:cs="宋体"/>
          <w:szCs w:val="21"/>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7A24295">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w7uwjWQCAACv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RNy9gAAAAKAQAADwAAAAAAAAABACAAAAAiAAAAZHJzL2Rvd25yZXYueG1sUEsBAhQA&#10;FAAAAAgAh07iQMO7sI1kAgAArwQAAA4AAAAAAAAAAQAgAAAAJwEAAGRycy9lMm9Eb2MueG1sUEsF&#10;BgAAAAAGAAYAWQEAAP0FAAAAAA==&#10;">
                <v:fill on="t" focussize="0,0"/>
                <v:stroke color="#000000" miterlimit="8" joinstyle="miter"/>
                <v:imagedata o:title=""/>
                <o:lock v:ext="edit" aspectratio="f"/>
                <v:textbox>
                  <w:txbxContent>
                    <w:p w14:paraId="57A24295">
                      <w:pPr>
                        <w:ind w:firstLine="420"/>
                        <w:jc w:val="center"/>
                        <w:rPr>
                          <w:szCs w:val="21"/>
                        </w:rPr>
                      </w:pPr>
                      <w:r>
                        <w:rPr>
                          <w:rFonts w:hint="eastAsia"/>
                          <w:szCs w:val="21"/>
                        </w:rPr>
                        <w:t>授权代表身份证背面复印件</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5A1F3F6">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jptdoAAAALAQAADwAAAAAAAAABACAAAAAiAAAAZHJzL2Rvd25yZXYueG1sUEsB&#10;AhQAFAAAAAgAh07iQDduXv9lAgAArwQAAA4AAAAAAAAAAQAgAAAAKQEAAGRycy9lMm9Eb2MueG1s&#10;UEsFBgAAAAAGAAYAWQEAAAAGAAAAAA==&#10;">
                <v:fill on="t" focussize="0,0"/>
                <v:stroke color="#000000" miterlimit="8" joinstyle="miter"/>
                <v:imagedata o:title=""/>
                <o:lock v:ext="edit" aspectratio="f"/>
                <v:textbox>
                  <w:txbxContent>
                    <w:p w14:paraId="05A1F3F6">
                      <w:pPr>
                        <w:ind w:firstLine="420"/>
                        <w:jc w:val="center"/>
                        <w:rPr>
                          <w:szCs w:val="21"/>
                        </w:rPr>
                      </w:pPr>
                      <w:r>
                        <w:rPr>
                          <w:rFonts w:hint="eastAsia"/>
                          <w:szCs w:val="21"/>
                        </w:rPr>
                        <w:t>授权代表身份证正面复印件</w:t>
                      </w:r>
                    </w:p>
                  </w:txbxContent>
                </v:textbox>
              </v:shape>
            </w:pict>
          </mc:Fallback>
        </mc:AlternateContent>
      </w:r>
    </w:p>
    <w:p w14:paraId="7B02DE2C">
      <w:pPr>
        <w:spacing w:after="240" w:line="360" w:lineRule="auto"/>
        <w:ind w:firstLine="420" w:firstLineChars="200"/>
        <w:rPr>
          <w:rFonts w:hint="eastAsia" w:ascii="宋体" w:hAnsi="宋体" w:cs="宋体"/>
          <w:szCs w:val="21"/>
        </w:rPr>
      </w:pPr>
    </w:p>
    <w:p w14:paraId="38122982">
      <w:pPr>
        <w:spacing w:after="240" w:line="360" w:lineRule="auto"/>
        <w:ind w:firstLine="420" w:firstLineChars="200"/>
        <w:rPr>
          <w:rFonts w:hint="eastAsia" w:ascii="宋体" w:hAnsi="宋体" w:cs="宋体"/>
          <w:szCs w:val="21"/>
        </w:rPr>
      </w:pPr>
    </w:p>
    <w:p w14:paraId="2BCF2CE1">
      <w:pPr>
        <w:spacing w:after="240" w:line="360" w:lineRule="auto"/>
        <w:ind w:firstLine="420" w:firstLineChars="200"/>
        <w:rPr>
          <w:rFonts w:hint="eastAsia" w:ascii="宋体" w:hAnsi="宋体" w:cs="宋体"/>
          <w:szCs w:val="21"/>
        </w:rPr>
      </w:pPr>
    </w:p>
    <w:p w14:paraId="45F9869C">
      <w:pPr>
        <w:spacing w:after="240" w:line="360" w:lineRule="auto"/>
        <w:ind w:firstLine="420" w:firstLineChars="200"/>
        <w:rPr>
          <w:rFonts w:hint="eastAsia" w:ascii="宋体" w:hAnsi="宋体" w:cs="宋体"/>
          <w:szCs w:val="21"/>
        </w:rPr>
      </w:pPr>
    </w:p>
    <w:p w14:paraId="10ADE478">
      <w:pPr>
        <w:spacing w:after="240" w:line="360" w:lineRule="auto"/>
        <w:ind w:firstLine="420" w:firstLineChars="200"/>
        <w:rPr>
          <w:rFonts w:hint="eastAsia" w:ascii="宋体" w:hAnsi="宋体" w:cs="宋体"/>
          <w:szCs w:val="21"/>
        </w:rPr>
      </w:pPr>
    </w:p>
    <w:p w14:paraId="7A22823E">
      <w:pPr>
        <w:spacing w:line="360" w:lineRule="auto"/>
        <w:ind w:right="210" w:firstLine="420" w:firstLineChars="200"/>
        <w:jc w:val="right"/>
        <w:rPr>
          <w:rFonts w:hint="eastAsia" w:ascii="宋体" w:hAnsi="宋体" w:cs="宋体"/>
          <w:szCs w:val="21"/>
        </w:rPr>
      </w:pPr>
      <w:r>
        <w:rPr>
          <w:rFonts w:hint="eastAsia" w:ascii="宋体" w:hAnsi="宋体" w:cs="宋体"/>
          <w:szCs w:val="21"/>
        </w:rPr>
        <w:t>供应商名称：（盖单位公章）</w:t>
      </w:r>
    </w:p>
    <w:p w14:paraId="18EB7CA3">
      <w:pPr>
        <w:spacing w:line="360" w:lineRule="auto"/>
        <w:ind w:right="210" w:firstLine="420" w:firstLineChars="200"/>
        <w:jc w:val="right"/>
        <w:rPr>
          <w:rFonts w:hint="eastAsia" w:ascii="宋体" w:hAnsi="宋体" w:cs="宋体"/>
          <w:szCs w:val="21"/>
        </w:rPr>
      </w:pPr>
      <w:r>
        <w:rPr>
          <w:rFonts w:hint="eastAsia" w:ascii="宋体" w:hAnsi="宋体" w:cs="宋体"/>
          <w:szCs w:val="21"/>
        </w:rPr>
        <w:t>法定代表人：（签字）</w:t>
      </w:r>
    </w:p>
    <w:p w14:paraId="1D193349">
      <w:pPr>
        <w:spacing w:line="360" w:lineRule="auto"/>
        <w:ind w:left="2520" w:right="210" w:firstLine="525" w:firstLineChars="250"/>
        <w:rPr>
          <w:rFonts w:hint="eastAsia" w:ascii="宋体" w:hAnsi="宋体" w:cs="宋体"/>
          <w:szCs w:val="21"/>
        </w:rPr>
      </w:pPr>
      <w:r>
        <w:rPr>
          <w:rFonts w:hint="eastAsia" w:ascii="宋体" w:hAnsi="宋体" w:cs="宋体"/>
          <w:szCs w:val="21"/>
        </w:rPr>
        <w:t>身份证号码：</w:t>
      </w:r>
    </w:p>
    <w:p w14:paraId="6AD14897">
      <w:pPr>
        <w:spacing w:line="360" w:lineRule="auto"/>
        <w:ind w:right="315" w:firstLine="420" w:firstLineChars="200"/>
        <w:jc w:val="right"/>
        <w:rPr>
          <w:rFonts w:hint="eastAsia" w:ascii="宋体" w:hAnsi="宋体" w:cs="宋体"/>
          <w:szCs w:val="21"/>
        </w:rPr>
      </w:pPr>
      <w:r>
        <w:rPr>
          <w:rFonts w:hint="eastAsia" w:ascii="宋体" w:hAnsi="宋体" w:cs="宋体"/>
          <w:szCs w:val="21"/>
        </w:rPr>
        <w:t>委托授权代表：（签字）</w:t>
      </w:r>
    </w:p>
    <w:p w14:paraId="79DAB739">
      <w:pPr>
        <w:spacing w:line="360" w:lineRule="auto"/>
        <w:ind w:right="210" w:firstLine="3045" w:firstLineChars="1450"/>
        <w:rPr>
          <w:rFonts w:hint="eastAsia" w:ascii="宋体" w:hAnsi="宋体" w:cs="宋体"/>
          <w:szCs w:val="21"/>
        </w:rPr>
      </w:pPr>
      <w:r>
        <w:rPr>
          <w:rFonts w:hint="eastAsia" w:ascii="宋体" w:hAnsi="宋体" w:cs="宋体"/>
          <w:szCs w:val="21"/>
        </w:rPr>
        <w:t>身份证号码：</w:t>
      </w:r>
    </w:p>
    <w:p w14:paraId="56B3F4F9">
      <w:pPr>
        <w:spacing w:line="360" w:lineRule="auto"/>
        <w:ind w:right="210" w:firstLine="2310" w:firstLineChars="1100"/>
        <w:jc w:val="right"/>
        <w:rPr>
          <w:rFonts w:hint="eastAsia" w:ascii="宋体" w:hAnsi="宋体" w:cs="宋体"/>
          <w:szCs w:val="21"/>
        </w:rPr>
      </w:pPr>
      <w:r>
        <w:rPr>
          <w:rFonts w:hint="eastAsia" w:ascii="宋体" w:hAnsi="宋体" w:cs="宋体"/>
          <w:szCs w:val="21"/>
        </w:rPr>
        <w:t>年月日</w:t>
      </w:r>
    </w:p>
    <w:p w14:paraId="50C9EA9E">
      <w:pPr>
        <w:pStyle w:val="4"/>
        <w:spacing w:before="240" w:after="240"/>
        <w:rPr>
          <w:rStyle w:val="30"/>
          <w:bCs/>
          <w:color w:val="auto"/>
          <w:sz w:val="24"/>
          <w:szCs w:val="24"/>
        </w:rPr>
      </w:pPr>
      <w:bookmarkStart w:id="81" w:name="_Toc14322"/>
      <w:r>
        <w:rPr>
          <w:rStyle w:val="30"/>
          <w:rFonts w:hint="eastAsia" w:hAnsi="宋体"/>
          <w:b w:val="0"/>
          <w:bCs w:val="0"/>
          <w:sz w:val="24"/>
          <w:szCs w:val="24"/>
        </w:rPr>
        <w:t>附件</w:t>
      </w:r>
      <w:r>
        <w:rPr>
          <w:rStyle w:val="30"/>
          <w:rFonts w:hAnsi="宋体"/>
          <w:b w:val="0"/>
          <w:bCs w:val="0"/>
          <w:sz w:val="24"/>
          <w:szCs w:val="24"/>
        </w:rPr>
        <w:t>6</w:t>
      </w:r>
      <w:r>
        <w:rPr>
          <w:rStyle w:val="30"/>
          <w:rFonts w:hint="eastAsia" w:hAnsi="宋体"/>
          <w:b w:val="0"/>
          <w:bCs w:val="0"/>
          <w:sz w:val="24"/>
          <w:szCs w:val="24"/>
        </w:rPr>
        <w:t>：技术规范偏离表</w:t>
      </w:r>
      <w:bookmarkEnd w:id="81"/>
    </w:p>
    <w:p w14:paraId="6D3A9A65">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962"/>
        <w:gridCol w:w="2750"/>
        <w:gridCol w:w="2193"/>
      </w:tblGrid>
      <w:tr w14:paraId="72D8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7C41FD37">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672" w:type="pct"/>
            <w:vAlign w:val="center"/>
          </w:tcPr>
          <w:p w14:paraId="0A9C0FCF">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竞争性谈判文件技术需求书要求</w:t>
            </w:r>
          </w:p>
        </w:tc>
        <w:tc>
          <w:tcPr>
            <w:tcW w:w="1552" w:type="pct"/>
            <w:vAlign w:val="center"/>
          </w:tcPr>
          <w:p w14:paraId="2017302C">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响应文件技术指标情况</w:t>
            </w:r>
          </w:p>
        </w:tc>
        <w:tc>
          <w:tcPr>
            <w:tcW w:w="1238" w:type="pct"/>
            <w:vAlign w:val="center"/>
          </w:tcPr>
          <w:p w14:paraId="349FD5C3">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具体说明</w:t>
            </w:r>
          </w:p>
        </w:tc>
      </w:tr>
      <w:tr w14:paraId="33C4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723A0A24">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37A40C14">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2B701EA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0753C548">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74A9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04AE604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30B1240B">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16C08B1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73A3F98B">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0B7D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AF0A70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1D45AC50">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14F045F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60B7EFF6">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50B1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6D761F08">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6791637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4FA1223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73A9B5D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2A4E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3A422529">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169857D6">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6D6E5A39">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3D88205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1395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AD58C3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0D70EAA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3FE7E0B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3DA59019">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4589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763E381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4BFC03D5">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1E2BE4E9">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14F99304">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7398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51D0A03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4B9F3738">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361645F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0F881BA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6AAD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4AFFA43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4C4AC33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6B30FA6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5102922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bl>
    <w:p w14:paraId="114C99A8">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14:paraId="42AF6AB8">
      <w:pPr>
        <w:snapToGrid w:val="0"/>
        <w:spacing w:before="240" w:beforeLines="100" w:after="240" w:afterLines="100"/>
        <w:ind w:left="210" w:leftChars="100" w:right="210" w:rightChars="100" w:firstLine="420" w:firstLineChars="200"/>
        <w:rPr>
          <w:rFonts w:hint="eastAsia" w:ascii="宋体" w:hAnsi="宋体"/>
          <w: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r>
        <w:rPr>
          <w:rFonts w:hint="eastAsia" w:ascii="宋体" w:hAnsi="宋体"/>
          <w:color w:val="000000" w:themeColor="text1"/>
          <w:szCs w:val="21"/>
          <w:u w:val="single"/>
          <w14:textFill>
            <w14:solidFill>
              <w14:schemeClr w14:val="tx1"/>
            </w14:solidFill>
          </w14:textFill>
        </w:rPr>
        <w:t>：</w:t>
      </w:r>
    </w:p>
    <w:p w14:paraId="5E9DE085">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本表应依据供应商实际情况逐项逐条填写。</w:t>
      </w:r>
    </w:p>
    <w:p w14:paraId="69BB39B0">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4EA0F9F1">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作为响应文件重要的组成部分，任何通过简单拷贝竞争性谈判文件技术要求或简单标注“符合”“满足”或使用“明白”、“理解”、“部分满足”等含混词语的响应文件将被视为实质性不符合。</w:t>
      </w:r>
    </w:p>
    <w:p w14:paraId="10A166B3">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偏离包括正、负偏离，正偏离指供应商的响应高于竞争性谈判文件要求，负偏离指供应商的响应低于竞争性谈判文件要求。</w:t>
      </w:r>
    </w:p>
    <w:p w14:paraId="1AED93D5">
      <w:pPr>
        <w:pStyle w:val="4"/>
        <w:spacing w:before="240" w:after="240"/>
        <w:rPr>
          <w:rStyle w:val="30"/>
          <w:b w:val="0"/>
          <w:bCs/>
          <w:color w:val="auto"/>
          <w:sz w:val="24"/>
        </w:rPr>
      </w:pPr>
      <w:r>
        <w:br w:type="page"/>
      </w:r>
      <w:bookmarkStart w:id="82" w:name="_Toc16305"/>
      <w:r>
        <w:rPr>
          <w:rStyle w:val="30"/>
          <w:rFonts w:hint="eastAsia"/>
          <w:b w:val="0"/>
          <w:bCs/>
          <w:sz w:val="24"/>
        </w:rPr>
        <w:t>附件</w:t>
      </w:r>
      <w:r>
        <w:rPr>
          <w:rStyle w:val="30"/>
          <w:b w:val="0"/>
          <w:bCs/>
          <w:sz w:val="24"/>
        </w:rPr>
        <w:t>7</w:t>
      </w:r>
      <w:r>
        <w:rPr>
          <w:rStyle w:val="30"/>
          <w:rFonts w:hint="eastAsia"/>
          <w:b w:val="0"/>
          <w:bCs/>
          <w:sz w:val="24"/>
        </w:rPr>
        <w:t>：资格证明文件</w:t>
      </w:r>
    </w:p>
    <w:p w14:paraId="274D0BB3">
      <w:pPr>
        <w:snapToGrid w:val="0"/>
        <w:spacing w:before="240" w:beforeLines="100" w:after="240" w:afterLines="100"/>
        <w:ind w:left="210" w:leftChars="100" w:right="210" w:rightChars="100" w:firstLine="420" w:firstLineChars="200"/>
        <w:rPr>
          <w:rFonts w:ascii="宋体"/>
          <w:color w:val="000000" w:themeColor="text1"/>
          <w14:textFill>
            <w14:solidFill>
              <w14:schemeClr w14:val="tx1"/>
            </w14:solidFill>
          </w14:textFill>
        </w:rPr>
      </w:pPr>
    </w:p>
    <w:p w14:paraId="51C6AA24">
      <w:pPr>
        <w:rPr>
          <w:color w:val="000000" w:themeColor="text1"/>
          <w14:textFill>
            <w14:solidFill>
              <w14:schemeClr w14:val="tx1"/>
            </w14:solidFill>
          </w14:textFill>
        </w:rPr>
      </w:pPr>
      <w:r>
        <w:rPr>
          <w:rFonts w:hint="eastAsia"/>
          <w:color w:val="000000" w:themeColor="text1"/>
          <w14:textFill>
            <w14:solidFill>
              <w14:schemeClr w14:val="tx1"/>
            </w14:solidFill>
          </w14:textFill>
        </w:rPr>
        <w:t>填写须知</w:t>
      </w:r>
    </w:p>
    <w:p w14:paraId="4D7A184B">
      <w:pPr>
        <w:numPr>
          <w:ilvl w:val="0"/>
          <w:numId w:val="20"/>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供应商应填写和提交下述规定的全部格式以及其它有关资料。</w:t>
      </w:r>
    </w:p>
    <w:p w14:paraId="6002E0B1">
      <w:pPr>
        <w:numPr>
          <w:ilvl w:val="0"/>
          <w:numId w:val="20"/>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所附格式中要求填写的全部问题和</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或信息都必须填写。</w:t>
      </w:r>
    </w:p>
    <w:p w14:paraId="6972D245">
      <w:pPr>
        <w:numPr>
          <w:ilvl w:val="0"/>
          <w:numId w:val="20"/>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本资格声明的签字人应保证全部声明和填写的内容是真实的和正确的。</w:t>
      </w:r>
    </w:p>
    <w:p w14:paraId="74F99773">
      <w:pPr>
        <w:numPr>
          <w:ilvl w:val="0"/>
          <w:numId w:val="20"/>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采购人将应用供应商提交的资料根据自己的判断和考虑决定供应商履行合同的合格性及能力。</w:t>
      </w:r>
    </w:p>
    <w:p w14:paraId="263416AF">
      <w:pPr>
        <w:numPr>
          <w:ilvl w:val="0"/>
          <w:numId w:val="20"/>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供应商提交的材料将被保密，但不退还。</w:t>
      </w:r>
    </w:p>
    <w:p w14:paraId="3756ED73">
      <w:pPr>
        <w:numPr>
          <w:ilvl w:val="0"/>
          <w:numId w:val="20"/>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全部文件应按规定的语言和份数提交。</w:t>
      </w:r>
    </w:p>
    <w:bookmarkEnd w:id="82"/>
    <w:p w14:paraId="1CE01F42">
      <w:pPr>
        <w:snapToGrid w:val="0"/>
        <w:spacing w:before="240" w:beforeLines="100" w:after="240" w:afterLines="100"/>
        <w:ind w:left="210" w:leftChars="100" w:right="210" w:rightChars="100" w:firstLine="420" w:firstLineChars="200"/>
        <w:rPr>
          <w:rFonts w:ascii="黑体" w:eastAsia="黑体"/>
          <w:b/>
          <w:color w:val="000000" w:themeColor="text1"/>
          <w14:textFill>
            <w14:solidFill>
              <w14:schemeClr w14:val="tx1"/>
            </w14:solidFill>
          </w14:textFill>
        </w:rPr>
      </w:pPr>
      <w:r>
        <w:rPr>
          <w:rFonts w:ascii="宋体"/>
          <w:color w:val="000000" w:themeColor="text1"/>
          <w14:textFill>
            <w14:solidFill>
              <w14:schemeClr w14:val="tx1"/>
            </w14:solidFill>
          </w14:textFill>
        </w:rPr>
        <w:br w:type="page"/>
      </w:r>
      <w:r>
        <w:rPr>
          <w:rFonts w:ascii="黑体" w:eastAsia="黑体"/>
          <w:b/>
          <w:color w:val="000000" w:themeColor="text1"/>
          <w14:textFill>
            <w14:solidFill>
              <w14:schemeClr w14:val="tx1"/>
            </w14:solidFill>
          </w14:textFill>
        </w:rPr>
        <w:t xml:space="preserve">7-1  </w:t>
      </w:r>
      <w:r>
        <w:rPr>
          <w:rFonts w:hint="eastAsia" w:ascii="黑体" w:eastAsia="黑体"/>
          <w:b/>
          <w:color w:val="000000" w:themeColor="text1"/>
          <w14:textFill>
            <w14:solidFill>
              <w14:schemeClr w14:val="tx1"/>
            </w14:solidFill>
          </w14:textFill>
        </w:rPr>
        <w:t>资格声明</w:t>
      </w:r>
    </w:p>
    <w:p w14:paraId="5D1BEF95">
      <w:pPr>
        <w:snapToGrid w:val="0"/>
        <w:spacing w:before="240" w:beforeLines="100" w:after="240" w:afterLines="100"/>
        <w:ind w:right="210" w:right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致：江苏省广电有线信息网络股份有限公司：</w:t>
      </w:r>
    </w:p>
    <w:p w14:paraId="13C30158">
      <w:pPr>
        <w:snapToGrid w:val="0"/>
        <w:spacing w:before="240" w:beforeLines="100" w:after="240" w:afterLines="100"/>
        <w:ind w:left="210" w:leftChars="100" w:right="210" w:rightChars="100" w:firstLine="422" w:firstLineChars="200"/>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资格声明</w:t>
      </w:r>
    </w:p>
    <w:p w14:paraId="3B175B1F">
      <w:pPr>
        <w:snapToGrid w:val="0"/>
        <w:spacing w:before="240" w:beforeLines="100" w:after="240" w:afterLines="100"/>
        <w:ind w:right="210" w:rightChars="100"/>
        <w:jc w:val="left"/>
        <w:rPr>
          <w:rFonts w:hint="eastAsia"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14:paraId="0A0F790D">
      <w:pPr>
        <w:spacing w:line="360" w:lineRule="auto"/>
        <w:ind w:firstLine="630"/>
        <w:rPr>
          <w:rFonts w:hint="eastAsia"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14:paraId="0EA39176">
      <w:pPr>
        <w:numPr>
          <w:ilvl w:val="0"/>
          <w:numId w:val="21"/>
        </w:numPr>
        <w:spacing w:line="360" w:lineRule="auto"/>
        <w:ind w:left="420" w:hanging="420"/>
        <w:rPr>
          <w:rFonts w:hint="eastAsia"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14:paraId="34101603">
      <w:pPr>
        <w:numPr>
          <w:ilvl w:val="0"/>
          <w:numId w:val="21"/>
        </w:numPr>
        <w:spacing w:line="360" w:lineRule="auto"/>
        <w:ind w:left="420" w:hanging="420"/>
        <w:rPr>
          <w:rFonts w:hint="eastAsia" w:ascii="宋体" w:hAnsi="宋体"/>
          <w:szCs w:val="21"/>
        </w:rPr>
      </w:pPr>
      <w:r>
        <w:rPr>
          <w:rFonts w:hint="eastAsia" w:ascii="宋体" w:hAnsi="宋体"/>
          <w:szCs w:val="21"/>
        </w:rPr>
        <w:t>下述签字人证明本资格文件中的内容是真实的和正确的。</w:t>
      </w:r>
    </w:p>
    <w:p w14:paraId="68294921">
      <w:pPr>
        <w:numPr>
          <w:ilvl w:val="0"/>
          <w:numId w:val="21"/>
        </w:numPr>
        <w:spacing w:line="360" w:lineRule="auto"/>
        <w:ind w:left="420" w:hanging="420"/>
        <w:rPr>
          <w:rFonts w:hint="eastAsia" w:ascii="宋体" w:hAnsi="宋体"/>
          <w:szCs w:val="21"/>
        </w:rPr>
      </w:pPr>
      <w:r>
        <w:rPr>
          <w:rFonts w:hint="eastAsia" w:ascii="宋体" w:hAnsi="宋体"/>
          <w:szCs w:val="21"/>
        </w:rPr>
        <w:t>下述签字人知道，采购人可能要求其提供进一步的资格材料并同意按采购人的要求提交。</w:t>
      </w:r>
    </w:p>
    <w:p w14:paraId="12E7613D">
      <w:pPr>
        <w:spacing w:line="360" w:lineRule="auto"/>
        <w:rPr>
          <w:color w:val="000000"/>
        </w:rPr>
      </w:pPr>
      <w:r>
        <w:rPr>
          <w:rFonts w:hint="eastAsia"/>
          <w:b/>
          <w:color w:val="000000"/>
        </w:rPr>
        <w:t>供应商</w:t>
      </w:r>
      <w:r>
        <w:rPr>
          <w:color w:val="000000"/>
        </w:rPr>
        <w:t xml:space="preserve">                                授权签署本资格文件</w:t>
      </w:r>
    </w:p>
    <w:p w14:paraId="518A2A5D">
      <w:pPr>
        <w:spacing w:line="360" w:lineRule="auto"/>
        <w:rPr>
          <w:color w:val="000000"/>
        </w:rPr>
      </w:pPr>
      <w:r>
        <w:rPr>
          <w:color w:val="000000"/>
        </w:rPr>
        <w:t>名称（盖章）      签字人姓名、职务（印刷字体）</w:t>
      </w:r>
    </w:p>
    <w:p w14:paraId="3C881D62">
      <w:pPr>
        <w:spacing w:line="360" w:lineRule="auto"/>
        <w:rPr>
          <w:color w:val="000000"/>
        </w:rPr>
      </w:pPr>
      <w:r>
        <w:rPr>
          <w:color w:val="000000"/>
        </w:rPr>
        <w:t>地址</w:t>
      </w:r>
    </w:p>
    <w:p w14:paraId="4CDC0C25">
      <w:pPr>
        <w:spacing w:line="360" w:lineRule="auto"/>
        <w:rPr>
          <w:color w:val="000000"/>
          <w:u w:val="single"/>
        </w:rPr>
      </w:pPr>
      <w:r>
        <w:rPr>
          <w:color w:val="000000"/>
        </w:rPr>
        <w:t>传真      签字</w:t>
      </w:r>
    </w:p>
    <w:p w14:paraId="30CAD596">
      <w:pPr>
        <w:snapToGrid w:val="0"/>
        <w:spacing w:before="240" w:beforeLines="100" w:after="240" w:afterLines="100"/>
        <w:ind w:right="210" w:rightChars="100"/>
        <w:rPr>
          <w:rFonts w:ascii="宋体"/>
          <w:color w:val="000000" w:themeColor="text1"/>
          <w:u w:val="single"/>
          <w14:textFill>
            <w14:solidFill>
              <w14:schemeClr w14:val="tx1"/>
            </w14:solidFill>
          </w14:textFill>
        </w:rPr>
      </w:pPr>
      <w:r>
        <w:rPr>
          <w:color w:val="000000"/>
        </w:rPr>
        <w:t>邮编      电话</w:t>
      </w:r>
    </w:p>
    <w:p w14:paraId="7070B5C7">
      <w:pPr>
        <w:snapToGrid w:val="0"/>
        <w:spacing w:before="240" w:beforeLines="100" w:after="240" w:afterLines="100"/>
        <w:ind w:left="210" w:leftChars="100" w:right="210" w:rightChars="100" w:firstLine="420" w:firstLineChars="200"/>
        <w:rPr>
          <w:rFonts w:ascii="黑体" w:eastAsia="黑体"/>
          <w:b/>
          <w:color w:val="000000" w:themeColor="text1"/>
          <w14:textFill>
            <w14:solidFill>
              <w14:schemeClr w14:val="tx1"/>
            </w14:solidFill>
          </w14:textFill>
        </w:rPr>
      </w:pPr>
      <w:r>
        <w:rPr>
          <w:rFonts w:ascii="宋体"/>
          <w:color w:val="000000" w:themeColor="text1"/>
          <w:u w:val="single"/>
          <w14:textFill>
            <w14:solidFill>
              <w14:schemeClr w14:val="tx1"/>
            </w14:solidFill>
          </w14:textFill>
        </w:rPr>
        <w:br w:type="page"/>
      </w:r>
      <w:r>
        <w:rPr>
          <w:rFonts w:ascii="黑体" w:eastAsia="黑体"/>
          <w:b/>
          <w:color w:val="000000" w:themeColor="text1"/>
          <w14:textFill>
            <w14:solidFill>
              <w14:schemeClr w14:val="tx1"/>
            </w14:solidFill>
          </w14:textFill>
        </w:rPr>
        <w:t xml:space="preserve">7-2  </w:t>
      </w:r>
      <w:r>
        <w:rPr>
          <w:rFonts w:hint="eastAsia" w:ascii="黑体" w:eastAsia="黑体"/>
          <w:b/>
          <w:color w:val="000000" w:themeColor="text1"/>
          <w14:textFill>
            <w14:solidFill>
              <w14:schemeClr w14:val="tx1"/>
            </w14:solidFill>
          </w14:textFill>
        </w:rPr>
        <w:t>供应商的资格声明</w:t>
      </w:r>
    </w:p>
    <w:p w14:paraId="2EFA8EC7">
      <w:pPr>
        <w:spacing w:line="360" w:lineRule="auto"/>
        <w:rPr>
          <w:rFonts w:hint="eastAsia" w:ascii="宋体" w:hAnsi="宋体"/>
          <w:szCs w:val="21"/>
        </w:rPr>
      </w:pPr>
      <w:r>
        <w:rPr>
          <w:rFonts w:ascii="宋体" w:hAnsi="宋体"/>
          <w:szCs w:val="21"/>
        </w:rPr>
        <w:t>1</w:t>
      </w:r>
      <w:r>
        <w:rPr>
          <w:rFonts w:hint="eastAsia" w:ascii="宋体" w:hAnsi="宋体"/>
          <w:szCs w:val="21"/>
        </w:rPr>
        <w:t>、名称及概况：</w:t>
      </w:r>
    </w:p>
    <w:p w14:paraId="5D4428F4">
      <w:pPr>
        <w:numPr>
          <w:ilvl w:val="0"/>
          <w:numId w:val="22"/>
        </w:numPr>
        <w:spacing w:line="360" w:lineRule="auto"/>
        <w:rPr>
          <w:rFonts w:hint="eastAsia" w:ascii="宋体" w:hAnsi="宋体"/>
          <w:szCs w:val="21"/>
          <w:u w:val="single"/>
        </w:rPr>
      </w:pPr>
      <w:r>
        <w:rPr>
          <w:rFonts w:hint="eastAsia" w:ascii="宋体" w:hAnsi="宋体"/>
          <w:szCs w:val="21"/>
        </w:rPr>
        <w:t>供应商名称：</w:t>
      </w:r>
    </w:p>
    <w:p w14:paraId="1AE40F7B">
      <w:pPr>
        <w:numPr>
          <w:ilvl w:val="0"/>
          <w:numId w:val="22"/>
        </w:numPr>
        <w:spacing w:line="360" w:lineRule="auto"/>
        <w:rPr>
          <w:rFonts w:hint="eastAsia" w:ascii="宋体" w:hAnsi="宋体"/>
          <w:szCs w:val="21"/>
        </w:rPr>
      </w:pPr>
      <w:r>
        <w:rPr>
          <w:rFonts w:hint="eastAsia" w:ascii="宋体" w:hAnsi="宋体"/>
          <w:szCs w:val="21"/>
        </w:rPr>
        <w:t>总部地址：</w:t>
      </w:r>
    </w:p>
    <w:p w14:paraId="3A32984F">
      <w:pPr>
        <w:spacing w:line="360" w:lineRule="auto"/>
        <w:ind w:left="425"/>
        <w:rPr>
          <w:rFonts w:hint="eastAsia"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14:paraId="4209D223">
      <w:pPr>
        <w:numPr>
          <w:ilvl w:val="0"/>
          <w:numId w:val="22"/>
        </w:numPr>
        <w:spacing w:line="360" w:lineRule="auto"/>
        <w:rPr>
          <w:rFonts w:hint="eastAsia"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14:paraId="0DCF4E7A">
      <w:pPr>
        <w:numPr>
          <w:ilvl w:val="0"/>
          <w:numId w:val="22"/>
        </w:numPr>
        <w:spacing w:line="360" w:lineRule="auto"/>
        <w:rPr>
          <w:rFonts w:hint="eastAsia" w:ascii="宋体" w:hAnsi="宋体"/>
          <w:szCs w:val="21"/>
        </w:rPr>
      </w:pPr>
      <w:r>
        <w:rPr>
          <w:rFonts w:hint="eastAsia" w:ascii="宋体" w:hAnsi="宋体"/>
          <w:szCs w:val="21"/>
        </w:rPr>
        <w:t>实收资本：</w:t>
      </w:r>
    </w:p>
    <w:p w14:paraId="650255EA">
      <w:pPr>
        <w:numPr>
          <w:ilvl w:val="0"/>
          <w:numId w:val="22"/>
        </w:numPr>
        <w:spacing w:line="360" w:lineRule="auto"/>
        <w:rPr>
          <w:rFonts w:hint="eastAsia" w:ascii="宋体" w:hAnsi="宋体"/>
          <w:szCs w:val="21"/>
        </w:rPr>
      </w:pPr>
      <w:r>
        <w:rPr>
          <w:rFonts w:hint="eastAsia" w:ascii="宋体" w:hAnsi="宋体"/>
          <w:szCs w:val="21"/>
        </w:rPr>
        <w:t>近期资产负债表（到年月日止）</w:t>
      </w:r>
    </w:p>
    <w:p w14:paraId="25A6E9AC">
      <w:pPr>
        <w:spacing w:line="360" w:lineRule="auto"/>
        <w:ind w:firstLine="420" w:firstLineChars="200"/>
        <w:rPr>
          <w:rFonts w:hint="eastAsia"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14:paraId="0F5F2209">
      <w:pPr>
        <w:spacing w:line="360" w:lineRule="auto"/>
        <w:ind w:firstLine="420" w:firstLineChars="200"/>
        <w:rPr>
          <w:rFonts w:hint="eastAsia"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14:paraId="4FA96FBC">
      <w:pPr>
        <w:spacing w:line="360" w:lineRule="auto"/>
        <w:ind w:firstLine="420" w:firstLineChars="200"/>
        <w:rPr>
          <w:rFonts w:hint="eastAsia"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14:paraId="32306F8A">
      <w:pPr>
        <w:spacing w:line="360" w:lineRule="auto"/>
        <w:ind w:firstLine="420" w:firstLineChars="200"/>
        <w:rPr>
          <w:rFonts w:hint="eastAsia"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14:paraId="0733DEB9">
      <w:pPr>
        <w:spacing w:line="360" w:lineRule="auto"/>
        <w:ind w:firstLine="420" w:firstLineChars="200"/>
        <w:rPr>
          <w:rFonts w:hint="eastAsia"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14:paraId="6BF40DA9">
      <w:pPr>
        <w:numPr>
          <w:ilvl w:val="0"/>
          <w:numId w:val="22"/>
        </w:numPr>
        <w:spacing w:line="360" w:lineRule="auto"/>
        <w:rPr>
          <w:rFonts w:hint="eastAsia" w:ascii="宋体" w:hAnsi="宋体"/>
          <w:szCs w:val="21"/>
          <w:u w:val="single"/>
        </w:rPr>
      </w:pPr>
      <w:r>
        <w:rPr>
          <w:rFonts w:hint="eastAsia" w:ascii="宋体" w:hAnsi="宋体"/>
          <w:szCs w:val="21"/>
        </w:rPr>
        <w:t>主要负责人名称：（可选填）</w:t>
      </w:r>
    </w:p>
    <w:p w14:paraId="0CBCFDEA">
      <w:pPr>
        <w:numPr>
          <w:ilvl w:val="0"/>
          <w:numId w:val="22"/>
        </w:numPr>
        <w:spacing w:line="360" w:lineRule="auto"/>
        <w:rPr>
          <w:rFonts w:hint="eastAsia" w:ascii="宋体" w:hAnsi="宋体"/>
          <w:szCs w:val="21"/>
        </w:rPr>
      </w:pPr>
      <w:r>
        <w:rPr>
          <w:rFonts w:hint="eastAsia" w:ascii="宋体" w:hAnsi="宋体"/>
          <w:szCs w:val="21"/>
        </w:rPr>
        <w:t>供应商在中国的代表的姓名和地址：（可选填）</w:t>
      </w:r>
    </w:p>
    <w:p w14:paraId="4965B4AD">
      <w:pPr>
        <w:numPr>
          <w:ilvl w:val="0"/>
          <w:numId w:val="22"/>
        </w:numPr>
        <w:spacing w:line="360" w:lineRule="auto"/>
        <w:rPr>
          <w:rFonts w:hint="eastAsia"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14:paraId="5DD1334D">
      <w:pPr>
        <w:numPr>
          <w:ilvl w:val="0"/>
          <w:numId w:val="22"/>
        </w:numPr>
        <w:spacing w:line="360" w:lineRule="auto"/>
        <w:rPr>
          <w:rFonts w:hint="eastAsia"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612A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dxa"/>
          </w:tcPr>
          <w:p w14:paraId="3DAA04BD">
            <w:pPr>
              <w:tabs>
                <w:tab w:val="left" w:pos="930"/>
                <w:tab w:val="left" w:pos="8364"/>
              </w:tabs>
              <w:ind w:right="-58"/>
              <w:jc w:val="center"/>
              <w:rPr>
                <w:rFonts w:hint="eastAsia" w:ascii="宋体" w:hAnsi="宋体"/>
                <w:spacing w:val="20"/>
                <w:szCs w:val="21"/>
              </w:rPr>
            </w:pPr>
            <w:r>
              <w:rPr>
                <w:rFonts w:hint="eastAsia" w:ascii="宋体" w:hAnsi="宋体"/>
                <w:spacing w:val="20"/>
                <w:szCs w:val="21"/>
              </w:rPr>
              <w:t>序号</w:t>
            </w:r>
          </w:p>
        </w:tc>
        <w:tc>
          <w:tcPr>
            <w:tcW w:w="1088" w:type="dxa"/>
          </w:tcPr>
          <w:p w14:paraId="3E84927D">
            <w:pPr>
              <w:tabs>
                <w:tab w:val="left" w:pos="930"/>
                <w:tab w:val="left" w:pos="8364"/>
              </w:tabs>
              <w:ind w:right="-58"/>
              <w:rPr>
                <w:rFonts w:hint="eastAsia" w:ascii="宋体" w:hAnsi="宋体"/>
                <w:spacing w:val="20"/>
                <w:szCs w:val="21"/>
              </w:rPr>
            </w:pPr>
            <w:r>
              <w:rPr>
                <w:rFonts w:hint="eastAsia" w:ascii="宋体" w:hAnsi="宋体"/>
                <w:spacing w:val="20"/>
                <w:szCs w:val="21"/>
              </w:rPr>
              <w:t>地区</w:t>
            </w:r>
          </w:p>
        </w:tc>
        <w:tc>
          <w:tcPr>
            <w:tcW w:w="3978" w:type="dxa"/>
          </w:tcPr>
          <w:p w14:paraId="7EF4985A">
            <w:pPr>
              <w:tabs>
                <w:tab w:val="left" w:pos="930"/>
                <w:tab w:val="left" w:pos="8364"/>
              </w:tabs>
              <w:ind w:right="-58"/>
              <w:rPr>
                <w:rFonts w:hint="eastAsia"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14:paraId="0885B7D3">
            <w:pPr>
              <w:tabs>
                <w:tab w:val="left" w:pos="930"/>
                <w:tab w:val="left" w:pos="8364"/>
              </w:tabs>
              <w:ind w:right="-58"/>
              <w:rPr>
                <w:rFonts w:hint="eastAsia"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14:paraId="0CE9C856">
            <w:pPr>
              <w:tabs>
                <w:tab w:val="left" w:pos="930"/>
                <w:tab w:val="left" w:pos="8364"/>
              </w:tabs>
              <w:ind w:right="-58"/>
              <w:rPr>
                <w:rFonts w:hint="eastAsia"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14:paraId="7FB744EF">
            <w:pPr>
              <w:tabs>
                <w:tab w:val="left" w:pos="930"/>
                <w:tab w:val="left" w:pos="8364"/>
              </w:tabs>
              <w:ind w:right="-58"/>
              <w:rPr>
                <w:rFonts w:hint="eastAsia"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14:paraId="34DC7FC8">
            <w:pPr>
              <w:tabs>
                <w:tab w:val="left" w:pos="930"/>
                <w:tab w:val="left" w:pos="8364"/>
              </w:tabs>
              <w:ind w:right="-58"/>
              <w:rPr>
                <w:rFonts w:hint="eastAsia"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14:paraId="0A1EF859">
            <w:pPr>
              <w:tabs>
                <w:tab w:val="left" w:pos="930"/>
                <w:tab w:val="left" w:pos="8364"/>
              </w:tabs>
              <w:ind w:right="-58"/>
              <w:rPr>
                <w:rFonts w:hint="eastAsia"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14:paraId="61D1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696C870">
            <w:pPr>
              <w:tabs>
                <w:tab w:val="left" w:pos="930"/>
                <w:tab w:val="left" w:pos="8364"/>
              </w:tabs>
              <w:ind w:right="-58"/>
              <w:jc w:val="center"/>
              <w:rPr>
                <w:rFonts w:hint="eastAsia" w:ascii="宋体" w:hAnsi="宋体"/>
                <w:spacing w:val="20"/>
                <w:szCs w:val="21"/>
              </w:rPr>
            </w:pPr>
          </w:p>
        </w:tc>
        <w:tc>
          <w:tcPr>
            <w:tcW w:w="1088" w:type="dxa"/>
          </w:tcPr>
          <w:p w14:paraId="019426CA">
            <w:pPr>
              <w:tabs>
                <w:tab w:val="left" w:pos="930"/>
                <w:tab w:val="left" w:pos="8364"/>
              </w:tabs>
              <w:ind w:right="-58"/>
              <w:rPr>
                <w:rFonts w:hint="eastAsia" w:ascii="宋体" w:hAnsi="宋体"/>
                <w:spacing w:val="20"/>
                <w:szCs w:val="21"/>
              </w:rPr>
            </w:pPr>
          </w:p>
        </w:tc>
        <w:tc>
          <w:tcPr>
            <w:tcW w:w="3978" w:type="dxa"/>
          </w:tcPr>
          <w:p w14:paraId="2BA0CC68">
            <w:pPr>
              <w:tabs>
                <w:tab w:val="left" w:pos="930"/>
                <w:tab w:val="left" w:pos="8364"/>
              </w:tabs>
              <w:ind w:right="-58"/>
              <w:rPr>
                <w:rFonts w:hint="eastAsia" w:ascii="宋体" w:hAnsi="宋体"/>
                <w:spacing w:val="20"/>
                <w:szCs w:val="21"/>
              </w:rPr>
            </w:pPr>
          </w:p>
        </w:tc>
        <w:tc>
          <w:tcPr>
            <w:tcW w:w="1155" w:type="dxa"/>
          </w:tcPr>
          <w:p w14:paraId="52CE6E06">
            <w:pPr>
              <w:tabs>
                <w:tab w:val="left" w:pos="930"/>
                <w:tab w:val="left" w:pos="8364"/>
              </w:tabs>
              <w:ind w:right="-58"/>
              <w:rPr>
                <w:rFonts w:hint="eastAsia" w:ascii="宋体" w:hAnsi="宋体"/>
                <w:spacing w:val="20"/>
                <w:szCs w:val="21"/>
              </w:rPr>
            </w:pPr>
          </w:p>
        </w:tc>
        <w:tc>
          <w:tcPr>
            <w:tcW w:w="1072" w:type="dxa"/>
          </w:tcPr>
          <w:p w14:paraId="545FC305">
            <w:pPr>
              <w:tabs>
                <w:tab w:val="left" w:pos="930"/>
                <w:tab w:val="left" w:pos="8364"/>
              </w:tabs>
              <w:ind w:right="-58"/>
              <w:rPr>
                <w:rFonts w:hint="eastAsia" w:ascii="宋体" w:hAnsi="宋体"/>
                <w:spacing w:val="20"/>
                <w:szCs w:val="21"/>
              </w:rPr>
            </w:pPr>
          </w:p>
        </w:tc>
        <w:tc>
          <w:tcPr>
            <w:tcW w:w="1066" w:type="dxa"/>
          </w:tcPr>
          <w:p w14:paraId="78C96916">
            <w:pPr>
              <w:tabs>
                <w:tab w:val="left" w:pos="930"/>
                <w:tab w:val="left" w:pos="8364"/>
              </w:tabs>
              <w:ind w:right="-58"/>
              <w:rPr>
                <w:rFonts w:hint="eastAsia" w:ascii="宋体" w:hAnsi="宋体"/>
                <w:spacing w:val="20"/>
                <w:szCs w:val="21"/>
              </w:rPr>
            </w:pPr>
          </w:p>
        </w:tc>
      </w:tr>
      <w:tr w14:paraId="3FEA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37BA41E6">
            <w:pPr>
              <w:tabs>
                <w:tab w:val="left" w:pos="930"/>
                <w:tab w:val="left" w:pos="8364"/>
              </w:tabs>
              <w:ind w:right="-58"/>
              <w:jc w:val="center"/>
              <w:rPr>
                <w:rFonts w:hint="eastAsia" w:ascii="宋体" w:hAnsi="宋体"/>
                <w:spacing w:val="20"/>
                <w:szCs w:val="21"/>
              </w:rPr>
            </w:pPr>
          </w:p>
        </w:tc>
        <w:tc>
          <w:tcPr>
            <w:tcW w:w="1088" w:type="dxa"/>
          </w:tcPr>
          <w:p w14:paraId="7F7EEA45">
            <w:pPr>
              <w:tabs>
                <w:tab w:val="left" w:pos="930"/>
                <w:tab w:val="left" w:pos="8364"/>
              </w:tabs>
              <w:ind w:right="-58"/>
              <w:rPr>
                <w:rFonts w:hint="eastAsia" w:ascii="宋体" w:hAnsi="宋体"/>
                <w:spacing w:val="20"/>
                <w:szCs w:val="21"/>
              </w:rPr>
            </w:pPr>
          </w:p>
        </w:tc>
        <w:tc>
          <w:tcPr>
            <w:tcW w:w="3978" w:type="dxa"/>
          </w:tcPr>
          <w:p w14:paraId="42EE517A">
            <w:pPr>
              <w:tabs>
                <w:tab w:val="left" w:pos="930"/>
                <w:tab w:val="left" w:pos="8364"/>
              </w:tabs>
              <w:ind w:right="-58"/>
              <w:rPr>
                <w:rFonts w:hint="eastAsia" w:ascii="宋体" w:hAnsi="宋体"/>
                <w:spacing w:val="20"/>
                <w:szCs w:val="21"/>
              </w:rPr>
            </w:pPr>
          </w:p>
        </w:tc>
        <w:tc>
          <w:tcPr>
            <w:tcW w:w="1155" w:type="dxa"/>
          </w:tcPr>
          <w:p w14:paraId="4BB88B43">
            <w:pPr>
              <w:tabs>
                <w:tab w:val="left" w:pos="930"/>
                <w:tab w:val="left" w:pos="8364"/>
              </w:tabs>
              <w:ind w:right="-58"/>
              <w:rPr>
                <w:rFonts w:hint="eastAsia" w:ascii="宋体" w:hAnsi="宋体"/>
                <w:spacing w:val="20"/>
                <w:szCs w:val="21"/>
              </w:rPr>
            </w:pPr>
          </w:p>
        </w:tc>
        <w:tc>
          <w:tcPr>
            <w:tcW w:w="1072" w:type="dxa"/>
          </w:tcPr>
          <w:p w14:paraId="01C3704C">
            <w:pPr>
              <w:tabs>
                <w:tab w:val="left" w:pos="930"/>
                <w:tab w:val="left" w:pos="8364"/>
              </w:tabs>
              <w:ind w:right="-58"/>
              <w:rPr>
                <w:rFonts w:hint="eastAsia" w:ascii="宋体" w:hAnsi="宋体"/>
                <w:spacing w:val="20"/>
                <w:szCs w:val="21"/>
              </w:rPr>
            </w:pPr>
          </w:p>
        </w:tc>
        <w:tc>
          <w:tcPr>
            <w:tcW w:w="1066" w:type="dxa"/>
          </w:tcPr>
          <w:p w14:paraId="41B7B6C0">
            <w:pPr>
              <w:tabs>
                <w:tab w:val="left" w:pos="930"/>
                <w:tab w:val="left" w:pos="8364"/>
              </w:tabs>
              <w:ind w:right="-58"/>
              <w:rPr>
                <w:rFonts w:hint="eastAsia" w:ascii="宋体" w:hAnsi="宋体"/>
                <w:spacing w:val="20"/>
                <w:szCs w:val="21"/>
              </w:rPr>
            </w:pPr>
          </w:p>
        </w:tc>
      </w:tr>
      <w:tr w14:paraId="0E06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C8F05FD">
            <w:pPr>
              <w:tabs>
                <w:tab w:val="left" w:pos="930"/>
                <w:tab w:val="left" w:pos="8364"/>
              </w:tabs>
              <w:ind w:right="-58"/>
              <w:jc w:val="center"/>
              <w:rPr>
                <w:rFonts w:hint="eastAsia" w:ascii="宋体" w:hAnsi="宋体"/>
                <w:spacing w:val="20"/>
                <w:szCs w:val="21"/>
              </w:rPr>
            </w:pPr>
          </w:p>
        </w:tc>
        <w:tc>
          <w:tcPr>
            <w:tcW w:w="1088" w:type="dxa"/>
          </w:tcPr>
          <w:p w14:paraId="05E57B21">
            <w:pPr>
              <w:tabs>
                <w:tab w:val="left" w:pos="930"/>
                <w:tab w:val="left" w:pos="8364"/>
              </w:tabs>
              <w:ind w:right="-58"/>
              <w:rPr>
                <w:rFonts w:hint="eastAsia" w:ascii="宋体" w:hAnsi="宋体"/>
                <w:spacing w:val="20"/>
                <w:szCs w:val="21"/>
              </w:rPr>
            </w:pPr>
          </w:p>
        </w:tc>
        <w:tc>
          <w:tcPr>
            <w:tcW w:w="3978" w:type="dxa"/>
          </w:tcPr>
          <w:p w14:paraId="4FB147A7">
            <w:pPr>
              <w:tabs>
                <w:tab w:val="left" w:pos="930"/>
                <w:tab w:val="left" w:pos="8364"/>
              </w:tabs>
              <w:ind w:right="-58"/>
              <w:rPr>
                <w:rFonts w:hint="eastAsia" w:ascii="宋体" w:hAnsi="宋体"/>
                <w:spacing w:val="20"/>
                <w:szCs w:val="21"/>
              </w:rPr>
            </w:pPr>
          </w:p>
        </w:tc>
        <w:tc>
          <w:tcPr>
            <w:tcW w:w="1155" w:type="dxa"/>
          </w:tcPr>
          <w:p w14:paraId="5F16A104">
            <w:pPr>
              <w:tabs>
                <w:tab w:val="left" w:pos="930"/>
                <w:tab w:val="left" w:pos="8364"/>
              </w:tabs>
              <w:ind w:right="-58"/>
              <w:rPr>
                <w:rFonts w:hint="eastAsia" w:ascii="宋体" w:hAnsi="宋体"/>
                <w:spacing w:val="20"/>
                <w:szCs w:val="21"/>
              </w:rPr>
            </w:pPr>
          </w:p>
        </w:tc>
        <w:tc>
          <w:tcPr>
            <w:tcW w:w="1072" w:type="dxa"/>
          </w:tcPr>
          <w:p w14:paraId="022BFE02">
            <w:pPr>
              <w:tabs>
                <w:tab w:val="left" w:pos="930"/>
                <w:tab w:val="left" w:pos="8364"/>
              </w:tabs>
              <w:ind w:right="-58"/>
              <w:rPr>
                <w:rFonts w:hint="eastAsia" w:ascii="宋体" w:hAnsi="宋体"/>
                <w:spacing w:val="20"/>
                <w:szCs w:val="21"/>
              </w:rPr>
            </w:pPr>
          </w:p>
        </w:tc>
        <w:tc>
          <w:tcPr>
            <w:tcW w:w="1066" w:type="dxa"/>
          </w:tcPr>
          <w:p w14:paraId="6CBC4740">
            <w:pPr>
              <w:tabs>
                <w:tab w:val="left" w:pos="930"/>
                <w:tab w:val="left" w:pos="8364"/>
              </w:tabs>
              <w:ind w:right="-58"/>
              <w:rPr>
                <w:rFonts w:hint="eastAsia" w:ascii="宋体" w:hAnsi="宋体"/>
                <w:spacing w:val="20"/>
                <w:szCs w:val="21"/>
              </w:rPr>
            </w:pPr>
          </w:p>
        </w:tc>
      </w:tr>
    </w:tbl>
    <w:p w14:paraId="2221F140">
      <w:pPr>
        <w:numPr>
          <w:ilvl w:val="0"/>
          <w:numId w:val="22"/>
        </w:numPr>
        <w:spacing w:line="360" w:lineRule="auto"/>
        <w:rPr>
          <w:rFonts w:hint="eastAsia" w:ascii="宋体" w:hAnsi="宋体"/>
          <w:szCs w:val="21"/>
        </w:rPr>
      </w:pPr>
      <w:r>
        <w:rPr>
          <w:rFonts w:hint="eastAsia" w:ascii="宋体" w:hAnsi="宋体"/>
          <w:szCs w:val="21"/>
        </w:rPr>
        <w:t>研发能力及人员配备：</w:t>
      </w:r>
    </w:p>
    <w:p w14:paraId="0B30F5A0">
      <w:pPr>
        <w:spacing w:line="360" w:lineRule="auto"/>
        <w:ind w:left="425"/>
        <w:rPr>
          <w:rFonts w:hint="eastAsia" w:ascii="宋体" w:hAnsi="宋体"/>
          <w:szCs w:val="21"/>
        </w:rPr>
      </w:pPr>
    </w:p>
    <w:p w14:paraId="704BB8A3">
      <w:pPr>
        <w:spacing w:line="360" w:lineRule="auto"/>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14:paraId="23F74A4A">
      <w:pPr>
        <w:spacing w:line="360" w:lineRule="auto"/>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14:paraId="60E9C323">
      <w:pPr>
        <w:spacing w:line="360" w:lineRule="auto"/>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14:paraId="02EFEFC8">
      <w:pPr>
        <w:spacing w:line="360" w:lineRule="auto"/>
        <w:ind w:firstLine="420" w:firstLineChars="200"/>
        <w:rPr>
          <w:rFonts w:hint="eastAsia"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49CE8BDF">
      <w:pPr>
        <w:spacing w:line="360" w:lineRule="auto"/>
        <w:rPr>
          <w:rFonts w:hint="eastAsia" w:ascii="宋体" w:hAnsi="宋体"/>
          <w:szCs w:val="21"/>
        </w:rPr>
      </w:pPr>
    </w:p>
    <w:p w14:paraId="13D8B70B">
      <w:pPr>
        <w:spacing w:line="360" w:lineRule="auto"/>
        <w:rPr>
          <w:rFonts w:hint="eastAsia" w:ascii="宋体" w:hAnsi="宋体"/>
          <w:szCs w:val="21"/>
        </w:rPr>
      </w:pPr>
      <w:r>
        <w:rPr>
          <w:rFonts w:hint="eastAsia" w:ascii="宋体" w:hAnsi="宋体"/>
          <w:szCs w:val="21"/>
        </w:rPr>
        <w:t>供应商名称（盖章）：</w:t>
      </w:r>
    </w:p>
    <w:p w14:paraId="7BF2E0FB">
      <w:pPr>
        <w:spacing w:line="360" w:lineRule="auto"/>
        <w:rPr>
          <w:rFonts w:hint="eastAsia" w:ascii="宋体" w:hAnsi="宋体"/>
          <w:szCs w:val="21"/>
        </w:rPr>
      </w:pPr>
      <w:r>
        <w:rPr>
          <w:rFonts w:hint="eastAsia" w:ascii="宋体" w:hAnsi="宋体"/>
          <w:szCs w:val="21"/>
        </w:rPr>
        <w:t>签字人姓名和职务：</w:t>
      </w:r>
    </w:p>
    <w:p w14:paraId="2FAE0208">
      <w:pPr>
        <w:spacing w:line="360" w:lineRule="auto"/>
        <w:rPr>
          <w:rFonts w:hint="eastAsia" w:ascii="宋体" w:hAnsi="宋体"/>
          <w:szCs w:val="21"/>
        </w:rPr>
      </w:pPr>
      <w:r>
        <w:rPr>
          <w:rFonts w:hint="eastAsia" w:ascii="宋体" w:hAnsi="宋体"/>
          <w:szCs w:val="21"/>
        </w:rPr>
        <w:t>签字人签字：</w:t>
      </w:r>
    </w:p>
    <w:p w14:paraId="4190C8B2">
      <w:pPr>
        <w:spacing w:line="360" w:lineRule="auto"/>
        <w:rPr>
          <w:rFonts w:hint="eastAsia" w:ascii="宋体" w:hAnsi="宋体"/>
          <w:szCs w:val="21"/>
        </w:rPr>
      </w:pPr>
      <w:r>
        <w:rPr>
          <w:rFonts w:hint="eastAsia" w:ascii="宋体" w:hAnsi="宋体"/>
          <w:szCs w:val="21"/>
        </w:rPr>
        <w:t>签字日期：</w:t>
      </w:r>
    </w:p>
    <w:p w14:paraId="6A701BB2">
      <w:pPr>
        <w:spacing w:line="360" w:lineRule="auto"/>
        <w:rPr>
          <w:rFonts w:hint="eastAsia" w:ascii="宋体" w:hAnsi="宋体"/>
          <w:szCs w:val="21"/>
        </w:rPr>
      </w:pPr>
      <w:r>
        <w:rPr>
          <w:rFonts w:hint="eastAsia" w:ascii="宋体" w:hAnsi="宋体"/>
          <w:szCs w:val="21"/>
        </w:rPr>
        <w:t>传真：</w:t>
      </w:r>
    </w:p>
    <w:p w14:paraId="69E35CFE">
      <w:pPr>
        <w:spacing w:line="360" w:lineRule="auto"/>
        <w:rPr>
          <w:rFonts w:hint="eastAsia" w:ascii="宋体" w:hAnsi="宋体"/>
          <w:szCs w:val="21"/>
        </w:rPr>
      </w:pPr>
      <w:r>
        <w:rPr>
          <w:rFonts w:hint="eastAsia" w:ascii="宋体" w:hAnsi="宋体"/>
          <w:szCs w:val="21"/>
        </w:rPr>
        <w:t>电话：</w:t>
      </w:r>
    </w:p>
    <w:p w14:paraId="52737A9A">
      <w:pPr>
        <w:spacing w:line="360" w:lineRule="auto"/>
        <w:rPr>
          <w:rFonts w:hint="eastAsia" w:ascii="宋体" w:hAnsi="宋体"/>
          <w:color w:val="000000" w:themeColor="text1"/>
          <w:szCs w:val="21"/>
          <w14:textFill>
            <w14:solidFill>
              <w14:schemeClr w14:val="tx1"/>
            </w14:solidFill>
          </w14:textFill>
        </w:rPr>
        <w:sectPr>
          <w:pgSz w:w="12240" w:h="15840"/>
          <w:pgMar w:top="1440" w:right="1800" w:bottom="1440" w:left="1800" w:header="720" w:footer="720" w:gutter="0"/>
          <w:cols w:space="720" w:num="1"/>
        </w:sectPr>
      </w:pPr>
      <w:r>
        <w:rPr>
          <w:rFonts w:hint="eastAsia"/>
        </w:rPr>
        <w:t>电子</w:t>
      </w:r>
      <w:r>
        <w:t>函件</w:t>
      </w:r>
      <w:r>
        <w:rPr>
          <w:rFonts w:hint="eastAsia"/>
        </w:rPr>
        <w:t>：</w:t>
      </w:r>
    </w:p>
    <w:p w14:paraId="3333493A">
      <w:pPr>
        <w:snapToGrid w:val="0"/>
        <w:spacing w:before="240" w:beforeLines="100" w:after="240" w:afterLines="100"/>
        <w:ind w:right="210" w:rightChars="100" w:firstLine="422" w:firstLineChars="200"/>
        <w:rPr>
          <w:rFonts w:ascii="黑体" w:eastAsia="黑体"/>
          <w:b/>
          <w:color w:val="000000" w:themeColor="text1"/>
          <w14:textFill>
            <w14:solidFill>
              <w14:schemeClr w14:val="tx1"/>
            </w14:solidFill>
          </w14:textFill>
        </w:rPr>
      </w:pPr>
      <w:r>
        <w:rPr>
          <w:rFonts w:ascii="黑体" w:eastAsia="黑体"/>
          <w:b/>
          <w:color w:val="000000" w:themeColor="text1"/>
          <w14:textFill>
            <w14:solidFill>
              <w14:schemeClr w14:val="tx1"/>
            </w14:solidFill>
          </w14:textFill>
        </w:rPr>
        <w:t xml:space="preserve">7-3  </w:t>
      </w:r>
      <w:r>
        <w:rPr>
          <w:rFonts w:hint="eastAsia" w:ascii="黑体" w:eastAsia="黑体"/>
          <w:b/>
          <w:color w:val="000000" w:themeColor="text1"/>
          <w14:textFill>
            <w14:solidFill>
              <w14:schemeClr w14:val="tx1"/>
            </w14:solidFill>
          </w14:textFill>
        </w:rPr>
        <w:t>其它资格证明文件要求</w:t>
      </w:r>
    </w:p>
    <w:p w14:paraId="518D0365">
      <w:pPr>
        <w:snapToGrid w:val="0"/>
        <w:spacing w:before="240" w:beforeLines="100" w:after="240" w:afterLines="100"/>
        <w:ind w:right="210" w:rightChars="1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满足竞争性谈判文件要求的其他证明文件。</w:t>
      </w:r>
    </w:p>
    <w:p w14:paraId="29C824EA">
      <w:pPr>
        <w:snapToGrid w:val="0"/>
        <w:spacing w:before="240" w:beforeLines="100" w:after="240" w:afterLines="100"/>
        <w:ind w:right="210" w:rightChars="1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供应商认为需要提供的其他文件。</w:t>
      </w:r>
    </w:p>
    <w:p w14:paraId="7E3CFC12">
      <w:pPr>
        <w:snapToGrid w:val="0"/>
        <w:spacing w:before="240" w:beforeLines="100" w:after="240" w:afterLines="100"/>
        <w:ind w:right="210" w:rightChars="100" w:firstLine="420"/>
        <w:rPr>
          <w:color w:val="000000" w:themeColor="text1"/>
          <w14:textFill>
            <w14:solidFill>
              <w14:schemeClr w14:val="tx1"/>
            </w14:solidFill>
          </w14:textFill>
        </w:rPr>
      </w:pPr>
    </w:p>
    <w:p w14:paraId="049F414B">
      <w:pPr>
        <w:snapToGrid w:val="0"/>
        <w:spacing w:before="240" w:beforeLines="100" w:after="240" w:afterLines="100"/>
        <w:ind w:right="210" w:rightChars="100" w:firstLine="420"/>
        <w:rPr>
          <w:color w:val="000000" w:themeColor="text1"/>
          <w14:textFill>
            <w14:solidFill>
              <w14:schemeClr w14:val="tx1"/>
            </w14:solidFill>
          </w14:textFill>
        </w:rPr>
      </w:pPr>
    </w:p>
    <w:p w14:paraId="6C988C5F">
      <w:pPr>
        <w:snapToGrid w:val="0"/>
        <w:spacing w:before="240" w:beforeLines="100" w:after="240" w:afterLines="100"/>
        <w:ind w:right="210" w:rightChars="100" w:firstLine="420"/>
        <w:rPr>
          <w:color w:val="000000" w:themeColor="text1"/>
          <w14:textFill>
            <w14:solidFill>
              <w14:schemeClr w14:val="tx1"/>
            </w14:solidFill>
          </w14:textFill>
        </w:rPr>
      </w:pPr>
    </w:p>
    <w:p w14:paraId="334E0635">
      <w:pPr>
        <w:snapToGrid w:val="0"/>
        <w:spacing w:before="240" w:beforeLines="100" w:after="240" w:afterLines="100"/>
        <w:ind w:right="210" w:rightChars="100" w:firstLine="420"/>
        <w:rPr>
          <w:color w:val="000000" w:themeColor="text1"/>
          <w14:textFill>
            <w14:solidFill>
              <w14:schemeClr w14:val="tx1"/>
            </w14:solidFill>
          </w14:textFill>
        </w:rPr>
      </w:pPr>
    </w:p>
    <w:p w14:paraId="5350F618">
      <w:pPr>
        <w:snapToGrid w:val="0"/>
        <w:spacing w:before="240" w:beforeLines="100" w:after="240" w:afterLines="100"/>
        <w:ind w:right="210" w:rightChars="100" w:firstLine="420"/>
        <w:rPr>
          <w:color w:val="000000" w:themeColor="text1"/>
          <w14:textFill>
            <w14:solidFill>
              <w14:schemeClr w14:val="tx1"/>
            </w14:solidFill>
          </w14:textFill>
        </w:rPr>
      </w:pPr>
    </w:p>
    <w:p w14:paraId="63FDE490">
      <w:pPr>
        <w:snapToGrid w:val="0"/>
        <w:spacing w:before="240" w:beforeLines="100" w:after="240" w:afterLines="100"/>
        <w:ind w:right="210" w:rightChars="100" w:firstLine="420"/>
        <w:rPr>
          <w:color w:val="000000" w:themeColor="text1"/>
          <w14:textFill>
            <w14:solidFill>
              <w14:schemeClr w14:val="tx1"/>
            </w14:solidFill>
          </w14:textFill>
        </w:rPr>
      </w:pPr>
    </w:p>
    <w:p w14:paraId="1E364D18">
      <w:pPr>
        <w:snapToGrid w:val="0"/>
        <w:spacing w:before="240" w:beforeLines="100" w:after="240" w:afterLines="100"/>
        <w:ind w:right="210" w:rightChars="100" w:firstLine="420"/>
        <w:rPr>
          <w:color w:val="000000" w:themeColor="text1"/>
          <w14:textFill>
            <w14:solidFill>
              <w14:schemeClr w14:val="tx1"/>
            </w14:solidFill>
          </w14:textFill>
        </w:rPr>
      </w:pPr>
    </w:p>
    <w:p w14:paraId="243850F6">
      <w:pPr>
        <w:snapToGrid w:val="0"/>
        <w:spacing w:before="240" w:beforeLines="100" w:after="240" w:afterLines="100"/>
        <w:ind w:right="210" w:rightChars="100" w:firstLine="420"/>
        <w:rPr>
          <w:color w:val="000000" w:themeColor="text1"/>
          <w14:textFill>
            <w14:solidFill>
              <w14:schemeClr w14:val="tx1"/>
            </w14:solidFill>
          </w14:textFill>
        </w:rPr>
      </w:pPr>
    </w:p>
    <w:p w14:paraId="1F86AC89">
      <w:pPr>
        <w:snapToGrid w:val="0"/>
        <w:spacing w:before="240" w:beforeLines="100" w:after="240" w:afterLines="100"/>
        <w:ind w:right="210" w:rightChars="100" w:firstLine="420"/>
        <w:rPr>
          <w:color w:val="000000" w:themeColor="text1"/>
          <w14:textFill>
            <w14:solidFill>
              <w14:schemeClr w14:val="tx1"/>
            </w14:solidFill>
          </w14:textFill>
        </w:rPr>
      </w:pPr>
    </w:p>
    <w:p w14:paraId="0C95BBF8">
      <w:pPr>
        <w:snapToGrid w:val="0"/>
        <w:spacing w:before="240" w:beforeLines="100" w:after="240" w:afterLines="100"/>
        <w:ind w:right="210" w:rightChars="100" w:firstLine="420"/>
        <w:rPr>
          <w:color w:val="000000" w:themeColor="text1"/>
          <w14:textFill>
            <w14:solidFill>
              <w14:schemeClr w14:val="tx1"/>
            </w14:solidFill>
          </w14:textFill>
        </w:rPr>
      </w:pPr>
    </w:p>
    <w:p w14:paraId="6758D569">
      <w:pPr>
        <w:snapToGrid w:val="0"/>
        <w:spacing w:before="240" w:beforeLines="100" w:after="240" w:afterLines="100"/>
        <w:ind w:right="210" w:rightChars="100" w:firstLine="420"/>
        <w:rPr>
          <w:color w:val="000000" w:themeColor="text1"/>
          <w14:textFill>
            <w14:solidFill>
              <w14:schemeClr w14:val="tx1"/>
            </w14:solidFill>
          </w14:textFill>
        </w:rPr>
      </w:pPr>
    </w:p>
    <w:p w14:paraId="55FFFF73">
      <w:pPr>
        <w:snapToGrid w:val="0"/>
        <w:spacing w:before="240" w:beforeLines="100" w:after="240" w:afterLines="100"/>
        <w:ind w:right="210" w:rightChars="100" w:firstLine="420"/>
        <w:rPr>
          <w:color w:val="000000" w:themeColor="text1"/>
          <w14:textFill>
            <w14:solidFill>
              <w14:schemeClr w14:val="tx1"/>
            </w14:solidFill>
          </w14:textFill>
        </w:rPr>
      </w:pPr>
    </w:p>
    <w:p w14:paraId="58F7C49B">
      <w:pPr>
        <w:pStyle w:val="11"/>
        <w:spacing w:after="240" w:line="360" w:lineRule="auto"/>
        <w:rPr>
          <w:rFonts w:ascii="Times New Roman" w:hAnsi="Times New Roman"/>
          <w:szCs w:val="21"/>
        </w:rPr>
      </w:pPr>
      <w:r>
        <w:br w:type="page"/>
      </w:r>
    </w:p>
    <w:p w14:paraId="343E4261">
      <w:pPr>
        <w:pStyle w:val="2"/>
        <w:spacing w:after="240"/>
        <w:rPr>
          <w:rFonts w:ascii="Tahoma" w:hAnsi="Tahoma"/>
          <w:sz w:val="24"/>
          <w:szCs w:val="24"/>
        </w:rPr>
        <w:sectPr>
          <w:pgSz w:w="12240" w:h="15840"/>
          <w:pgMar w:top="1440" w:right="1800" w:bottom="1440" w:left="1800" w:header="720" w:footer="720" w:gutter="0"/>
          <w:cols w:space="720" w:num="1"/>
        </w:sectPr>
      </w:pPr>
    </w:p>
    <w:p w14:paraId="5385556F">
      <w:pPr>
        <w:pStyle w:val="3"/>
        <w:spacing w:line="360" w:lineRule="auto"/>
        <w:rPr>
          <w:color w:val="000000" w:themeColor="text1"/>
          <w:sz w:val="52"/>
          <w:szCs w:val="52"/>
          <w14:textFill>
            <w14:solidFill>
              <w14:schemeClr w14:val="tx1"/>
            </w14:solidFill>
          </w14:textFill>
        </w:rPr>
      </w:pPr>
      <w:bookmarkStart w:id="83" w:name="_Toc24121"/>
      <w:r>
        <w:rPr>
          <w:rFonts w:hint="eastAsia"/>
          <w:b/>
          <w:color w:val="000000" w:themeColor="text1"/>
          <w:sz w:val="36"/>
          <w:szCs w:val="36"/>
          <w14:textFill>
            <w14:solidFill>
              <w14:schemeClr w14:val="tx1"/>
            </w14:solidFill>
          </w14:textFill>
        </w:rPr>
        <w:t>第七章其他</w:t>
      </w:r>
    </w:p>
    <w:p w14:paraId="3D2B6721">
      <w:pPr>
        <w:widowControl/>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响应</w:t>
      </w:r>
      <w:r>
        <w:rPr>
          <w:b/>
          <w:color w:val="000000" w:themeColor="text1"/>
          <w:sz w:val="24"/>
          <w14:textFill>
            <w14:solidFill>
              <w14:schemeClr w14:val="tx1"/>
            </w14:solidFill>
          </w14:textFill>
        </w:rPr>
        <w:t>文件</w:t>
      </w:r>
      <w:r>
        <w:rPr>
          <w:b/>
          <w:color w:val="000000" w:themeColor="text1"/>
          <w:kern w:val="11"/>
          <w:sz w:val="24"/>
          <w14:textFill>
            <w14:solidFill>
              <w14:schemeClr w14:val="tx1"/>
            </w14:solidFill>
          </w14:textFill>
        </w:rPr>
        <w:t>封套格式</w:t>
      </w:r>
      <w:r>
        <w:rPr>
          <w:b/>
          <w:color w:val="000000" w:themeColor="text1"/>
          <w:sz w:val="24"/>
          <w14:textFill>
            <w14:solidFill>
              <w14:schemeClr w14:val="tx1"/>
            </w14:solidFill>
          </w14:textFill>
        </w:rPr>
        <w:t>如下：</w:t>
      </w:r>
    </w:p>
    <w:tbl>
      <w:tblPr>
        <w:tblStyle w:val="1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3B9C2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452034BB">
            <w:pPr>
              <w:spacing w:before="156" w:beforeLines="50" w:after="312" w:afterLines="100"/>
              <w:jc w:val="center"/>
              <w:rPr>
                <w:rFonts w:eastAsia="黑体"/>
                <w:color w:val="000000" w:themeColor="text1"/>
                <w:sz w:val="32"/>
                <w:szCs w:val="32"/>
                <w:u w:val="single"/>
                <w14:textFill>
                  <w14:solidFill>
                    <w14:schemeClr w14:val="tx1"/>
                  </w14:solidFill>
                </w14:textFill>
              </w:rPr>
            </w:pPr>
          </w:p>
          <w:p w14:paraId="7F93B84E">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江苏省广电有线信息网络股份有限公司</w:t>
            </w:r>
          </w:p>
          <w:p w14:paraId="61128863">
            <w:pPr>
              <w:spacing w:before="312" w:beforeLines="100" w:after="312" w:afterLines="100"/>
              <w:jc w:val="center"/>
              <w:rPr>
                <w:rFonts w:eastAsia="黑体"/>
                <w:color w:val="000000" w:themeColor="text1"/>
                <w:sz w:val="28"/>
                <w:szCs w:val="28"/>
                <w14:textFill>
                  <w14:solidFill>
                    <w14:schemeClr w14:val="tx1"/>
                  </w14:solidFill>
                </w14:textFill>
              </w:rPr>
            </w:pPr>
            <w:r>
              <w:rPr>
                <w:rFonts w:hint="eastAsia" w:eastAsia="黑体"/>
                <w:color w:val="000000" w:themeColor="text1"/>
                <w:sz w:val="32"/>
                <w:szCs w:val="32"/>
                <w14:textFill>
                  <w14:solidFill>
                    <w14:schemeClr w14:val="tx1"/>
                  </w14:solidFill>
                </w14:textFill>
              </w:rPr>
              <w:t>防火墙采购项目</w:t>
            </w:r>
          </w:p>
          <w:p w14:paraId="1F072824">
            <w:pPr>
              <w:pStyle w:val="6"/>
              <w:spacing w:before="312" w:beforeLines="100" w:after="312" w:afterLines="100"/>
              <w:jc w:val="center"/>
              <w:rPr>
                <w:rFonts w:eastAsia="黑体"/>
                <w:color w:val="000000" w:themeColor="text1"/>
                <w:szCs w:val="28"/>
                <w14:textFill>
                  <w14:solidFill>
                    <w14:schemeClr w14:val="tx1"/>
                  </w14:solidFill>
                </w14:textFill>
              </w:rPr>
            </w:pPr>
          </w:p>
          <w:p w14:paraId="709BAF50">
            <w:pPr>
              <w:pStyle w:val="6"/>
              <w:rPr>
                <w:color w:val="000000" w:themeColor="text1"/>
                <w14:textFill>
                  <w14:solidFill>
                    <w14:schemeClr w14:val="tx1"/>
                  </w14:solidFill>
                </w14:textFill>
              </w:rPr>
            </w:pPr>
          </w:p>
          <w:p w14:paraId="1FA17FC8">
            <w:pPr>
              <w:rPr>
                <w:color w:val="000000" w:themeColor="text1"/>
                <w14:textFill>
                  <w14:solidFill>
                    <w14:schemeClr w14:val="tx1"/>
                  </w14:solidFill>
                </w14:textFill>
              </w:rPr>
            </w:pPr>
          </w:p>
          <w:p w14:paraId="11AFEEE8">
            <w:pPr>
              <w:jc w:val="center"/>
              <w:rPr>
                <w:rFonts w:eastAsia="黑体"/>
                <w:color w:val="000000" w:themeColor="text1"/>
                <w:sz w:val="52"/>
                <w:szCs w:val="36"/>
                <w14:textFill>
                  <w14:solidFill>
                    <w14:schemeClr w14:val="tx1"/>
                  </w14:solidFill>
                </w14:textFill>
              </w:rPr>
            </w:pPr>
            <w:r>
              <w:rPr>
                <w:rFonts w:hint="eastAsia" w:eastAsia="黑体"/>
                <w:color w:val="000000" w:themeColor="text1"/>
                <w:sz w:val="52"/>
                <w:szCs w:val="36"/>
                <w14:textFill>
                  <w14:solidFill>
                    <w14:schemeClr w14:val="tx1"/>
                  </w14:solidFill>
                </w14:textFill>
              </w:rPr>
              <w:t>响应文件</w:t>
            </w:r>
          </w:p>
          <w:p w14:paraId="256CE631">
            <w:pPr>
              <w:spacing w:after="120"/>
              <w:jc w:val="center"/>
              <w:rPr>
                <w:rFonts w:eastAsia="PMingLiU"/>
                <w:color w:val="000000" w:themeColor="text1"/>
                <w:sz w:val="36"/>
                <w:szCs w:val="36"/>
                <w:lang w:val="zh-TW" w:eastAsia="zh-TW"/>
                <w14:textFill>
                  <w14:solidFill>
                    <w14:schemeClr w14:val="tx1"/>
                  </w14:solidFill>
                </w14:textFill>
              </w:rPr>
            </w:pPr>
            <w:r>
              <w:rPr>
                <w:rFonts w:hint="eastAsia" w:eastAsia="黑体"/>
                <w:color w:val="000000" w:themeColor="text1"/>
                <w:sz w:val="28"/>
                <w:szCs w:val="28"/>
                <w14:textFill>
                  <w14:solidFill>
                    <w14:schemeClr w14:val="tx1"/>
                  </w14:solidFill>
                </w14:textFill>
              </w:rPr>
              <w:t>（开标时间以前不得开封）</w:t>
            </w:r>
          </w:p>
          <w:p w14:paraId="5DC7AA35">
            <w:pPr>
              <w:spacing w:before="312" w:beforeLines="100" w:after="312" w:afterLines="100"/>
              <w:jc w:val="center"/>
              <w:rPr>
                <w:rFonts w:eastAsia="黑体"/>
                <w:color w:val="000000" w:themeColor="text1"/>
                <w:sz w:val="52"/>
                <w:szCs w:val="36"/>
                <w14:textFill>
                  <w14:solidFill>
                    <w14:schemeClr w14:val="tx1"/>
                  </w14:solidFill>
                </w14:textFill>
              </w:rPr>
            </w:pPr>
          </w:p>
          <w:p w14:paraId="4FD9AD3D">
            <w:pPr>
              <w:pStyle w:val="6"/>
              <w:spacing w:before="312" w:beforeLines="100" w:after="312" w:afterLines="100"/>
              <w:jc w:val="center"/>
              <w:rPr>
                <w:rFonts w:eastAsia="黑体"/>
                <w:color w:val="000000" w:themeColor="text1"/>
                <w:sz w:val="52"/>
                <w:szCs w:val="36"/>
                <w14:textFill>
                  <w14:solidFill>
                    <w14:schemeClr w14:val="tx1"/>
                  </w14:solidFill>
                </w14:textFill>
              </w:rPr>
            </w:pPr>
          </w:p>
          <w:p w14:paraId="6CD7CBE8">
            <w:pPr>
              <w:spacing w:line="360" w:lineRule="auto"/>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：（盖单位章）</w:t>
            </w:r>
          </w:p>
          <w:p w14:paraId="2DB67FD0">
            <w:pPr>
              <w:spacing w:line="360" w:lineRule="auto"/>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法定代表人或其委托的代理人：（签字）</w:t>
            </w:r>
          </w:p>
          <w:p w14:paraId="4D522434">
            <w:pPr>
              <w:spacing w:line="360" w:lineRule="auto"/>
              <w:ind w:firstLine="1440" w:firstLineChars="600"/>
              <w:rPr>
                <w:rFonts w:eastAsia="黑体"/>
                <w:color w:val="000000" w:themeColor="text1"/>
                <w:sz w:val="24"/>
                <w:u w:val="single"/>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地址：</w:t>
            </w:r>
          </w:p>
          <w:p w14:paraId="6343D055">
            <w:pPr>
              <w:spacing w:after="624" w:afterLines="200"/>
              <w:ind w:firstLine="3000" w:firstLineChars="1250"/>
              <w:rPr>
                <w:color w:val="000000" w:themeColor="text1"/>
                <w:kern w:val="11"/>
                <w14:textFill>
                  <w14:solidFill>
                    <w14:schemeClr w14:val="tx1"/>
                  </w14:solidFill>
                </w14:textFill>
              </w:rPr>
            </w:pPr>
            <w:r>
              <w:rPr>
                <w:rFonts w:eastAsia="黑体"/>
                <w:color w:val="000000" w:themeColor="text1"/>
                <w:sz w:val="24"/>
                <w14:textFill>
                  <w14:solidFill>
                    <w14:schemeClr w14:val="tx1"/>
                  </w14:solidFill>
                </w14:textFill>
              </w:rPr>
              <w:t>年月日</w:t>
            </w:r>
          </w:p>
        </w:tc>
      </w:tr>
      <w:bookmarkEnd w:id="83"/>
    </w:tbl>
    <w:p w14:paraId="708BF241">
      <w:pPr>
        <w:rPr>
          <w:color w:val="000000" w:themeColor="text1"/>
          <w:kern w:val="11"/>
          <w:sz w:val="24"/>
          <w14:textFill>
            <w14:solidFill>
              <w14:schemeClr w14:val="tx1"/>
            </w14:solidFill>
          </w14:textFill>
        </w:rPr>
      </w:pPr>
    </w:p>
    <w:p w14:paraId="43D99F20">
      <w:pPr>
        <w:widowControl/>
        <w:ind w:firstLine="420"/>
        <w:jc w:val="left"/>
        <w:rPr>
          <w:color w:val="000000" w:themeColor="text1"/>
          <w14:textFill>
            <w14:solidFill>
              <w14:schemeClr w14:val="tx1"/>
            </w14:solidFill>
          </w14:textFill>
        </w:rPr>
      </w:pPr>
    </w:p>
    <w:p w14:paraId="0EBA5DAD">
      <w:pPr>
        <w:widowControl/>
        <w:spacing w:line="360" w:lineRule="auto"/>
        <w:jc w:val="left"/>
        <w:rPr>
          <w:color w:val="000000" w:themeColor="text1"/>
          <w:kern w:val="11"/>
          <w:sz w:val="24"/>
          <w14:textFill>
            <w14:solidFill>
              <w14:schemeClr w14:val="tx1"/>
            </w14:solidFill>
          </w14:textFill>
        </w:rPr>
      </w:pPr>
    </w:p>
    <w:p w14:paraId="1EA88187">
      <w:pPr>
        <w:widowControl/>
        <w:spacing w:line="360" w:lineRule="auto"/>
        <w:jc w:val="left"/>
        <w:rPr>
          <w:color w:val="000000" w:themeColor="text1"/>
          <w:sz w:val="24"/>
          <w14:textFill>
            <w14:solidFill>
              <w14:schemeClr w14:val="tx1"/>
            </w14:solidFill>
          </w14:textFill>
        </w:rPr>
      </w:pPr>
      <w:r>
        <w:rPr>
          <w:rFonts w:hint="eastAsia"/>
          <w:color w:val="000000" w:themeColor="text1"/>
          <w:kern w:val="11"/>
          <w:sz w:val="24"/>
          <w14:textFill>
            <w14:solidFill>
              <w14:schemeClr w14:val="tx1"/>
            </w14:solidFill>
          </w14:textFill>
        </w:rPr>
        <w:t>响应文件电子版</w:t>
      </w:r>
      <w:r>
        <w:rPr>
          <w:color w:val="000000" w:themeColor="text1"/>
          <w:kern w:val="11"/>
          <w:sz w:val="24"/>
          <w14:textFill>
            <w14:solidFill>
              <w14:schemeClr w14:val="tx1"/>
            </w14:solidFill>
          </w14:textFill>
        </w:rPr>
        <w:t>封套格式</w:t>
      </w:r>
      <w:r>
        <w:rPr>
          <w:color w:val="000000" w:themeColor="text1"/>
          <w:sz w:val="24"/>
          <w14:textFill>
            <w14:solidFill>
              <w14:schemeClr w14:val="tx1"/>
            </w14:solidFill>
          </w14:textFill>
        </w:rPr>
        <w:t>如下：</w:t>
      </w:r>
    </w:p>
    <w:tbl>
      <w:tblPr>
        <w:tblStyle w:val="1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377FF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417DDD0D">
            <w:pPr>
              <w:spacing w:before="156" w:beforeLines="50" w:after="312" w:afterLines="100"/>
              <w:ind w:firstLine="640"/>
              <w:jc w:val="center"/>
              <w:rPr>
                <w:rFonts w:eastAsia="黑体"/>
                <w:color w:val="000000" w:themeColor="text1"/>
                <w:sz w:val="32"/>
                <w:szCs w:val="32"/>
                <w:u w:val="single"/>
                <w14:textFill>
                  <w14:solidFill>
                    <w14:schemeClr w14:val="tx1"/>
                  </w14:solidFill>
                </w14:textFill>
              </w:rPr>
            </w:pPr>
          </w:p>
          <w:p w14:paraId="149620BB">
            <w:pPr>
              <w:ind w:firstLine="640"/>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江苏省广电有线信息网络股份有限公司</w:t>
            </w:r>
          </w:p>
          <w:p w14:paraId="5E7253B7">
            <w:pPr>
              <w:ind w:firstLine="640"/>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防火墙采购项目</w:t>
            </w:r>
          </w:p>
          <w:p w14:paraId="63026CA5">
            <w:pPr>
              <w:ind w:firstLine="560"/>
              <w:jc w:val="center"/>
              <w:rPr>
                <w:rFonts w:eastAsia="黑体"/>
                <w:color w:val="000000" w:themeColor="text1"/>
                <w:sz w:val="28"/>
                <w:szCs w:val="28"/>
                <w14:textFill>
                  <w14:solidFill>
                    <w14:schemeClr w14:val="tx1"/>
                  </w14:solidFill>
                </w14:textFill>
              </w:rPr>
            </w:pPr>
          </w:p>
          <w:p w14:paraId="6F0ED59F">
            <w:pPr>
              <w:pStyle w:val="6"/>
              <w:ind w:firstLine="560"/>
              <w:jc w:val="center"/>
              <w:rPr>
                <w:rFonts w:eastAsia="黑体"/>
                <w:color w:val="000000" w:themeColor="text1"/>
                <w:szCs w:val="28"/>
                <w:u w:val="single"/>
                <w14:textFill>
                  <w14:solidFill>
                    <w14:schemeClr w14:val="tx1"/>
                  </w14:solidFill>
                </w14:textFill>
              </w:rPr>
            </w:pPr>
          </w:p>
          <w:p w14:paraId="2726333E">
            <w:pPr>
              <w:spacing w:before="312" w:beforeLines="100" w:after="312" w:afterLines="100"/>
              <w:ind w:firstLine="1040"/>
              <w:jc w:val="center"/>
              <w:rPr>
                <w:rFonts w:eastAsia="黑体"/>
                <w:color w:val="000000" w:themeColor="text1"/>
                <w:sz w:val="52"/>
                <w:szCs w:val="36"/>
                <w14:textFill>
                  <w14:solidFill>
                    <w14:schemeClr w14:val="tx1"/>
                  </w14:solidFill>
                </w14:textFill>
              </w:rPr>
            </w:pPr>
          </w:p>
          <w:p w14:paraId="7F889C60">
            <w:pPr>
              <w:ind w:firstLine="2600" w:firstLineChars="500"/>
              <w:rPr>
                <w:rFonts w:eastAsia="黑体"/>
                <w:color w:val="000000" w:themeColor="text1"/>
                <w:sz w:val="52"/>
                <w:szCs w:val="36"/>
                <w14:textFill>
                  <w14:solidFill>
                    <w14:schemeClr w14:val="tx1"/>
                  </w14:solidFill>
                </w14:textFill>
              </w:rPr>
            </w:pPr>
            <w:r>
              <w:rPr>
                <w:rFonts w:hint="eastAsia" w:eastAsia="黑体"/>
                <w:color w:val="000000" w:themeColor="text1"/>
                <w:sz w:val="52"/>
                <w:szCs w:val="36"/>
                <w14:textFill>
                  <w14:solidFill>
                    <w14:schemeClr w14:val="tx1"/>
                  </w14:solidFill>
                </w14:textFill>
              </w:rPr>
              <w:t>响应文件电子版</w:t>
            </w:r>
          </w:p>
          <w:p w14:paraId="36E3FA53">
            <w:pPr>
              <w:spacing w:after="120"/>
              <w:ind w:firstLine="560"/>
              <w:jc w:val="center"/>
              <w:rPr>
                <w:rFonts w:eastAsia="PMingLiU"/>
                <w:color w:val="000000" w:themeColor="text1"/>
                <w:sz w:val="36"/>
                <w:szCs w:val="36"/>
                <w:lang w:val="zh-TW" w:eastAsia="zh-TW"/>
                <w14:textFill>
                  <w14:solidFill>
                    <w14:schemeClr w14:val="tx1"/>
                  </w14:solidFill>
                </w14:textFill>
              </w:rPr>
            </w:pPr>
            <w:r>
              <w:rPr>
                <w:rFonts w:hint="eastAsia" w:eastAsia="黑体"/>
                <w:color w:val="000000" w:themeColor="text1"/>
                <w:sz w:val="28"/>
                <w:szCs w:val="28"/>
                <w14:textFill>
                  <w14:solidFill>
                    <w14:schemeClr w14:val="tx1"/>
                  </w14:solidFill>
                </w14:textFill>
              </w:rPr>
              <w:t>（开标时间以前不得开封）</w:t>
            </w:r>
          </w:p>
          <w:p w14:paraId="630707E9">
            <w:pPr>
              <w:ind w:firstLine="883"/>
              <w:jc w:val="center"/>
              <w:rPr>
                <w:rFonts w:eastAsia="黑体"/>
                <w:b/>
                <w:bCs/>
                <w:color w:val="000000" w:themeColor="text1"/>
                <w:sz w:val="44"/>
                <w:szCs w:val="44"/>
                <w:lang w:eastAsia="zh-TW"/>
                <w14:textFill>
                  <w14:solidFill>
                    <w14:schemeClr w14:val="tx1"/>
                  </w14:solidFill>
                </w14:textFill>
              </w:rPr>
            </w:pPr>
          </w:p>
          <w:p w14:paraId="1FC7539B">
            <w:pPr>
              <w:spacing w:before="312" w:beforeLines="100" w:after="312" w:afterLines="100"/>
              <w:ind w:firstLine="1040"/>
              <w:jc w:val="center"/>
              <w:rPr>
                <w:rFonts w:eastAsia="黑体"/>
                <w:color w:val="000000" w:themeColor="text1"/>
                <w:sz w:val="52"/>
                <w:szCs w:val="36"/>
                <w14:textFill>
                  <w14:solidFill>
                    <w14:schemeClr w14:val="tx1"/>
                  </w14:solidFill>
                </w14:textFill>
              </w:rPr>
            </w:pPr>
          </w:p>
          <w:p w14:paraId="3CDF329B">
            <w:pPr>
              <w:spacing w:line="360" w:lineRule="auto"/>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：（盖单位章）</w:t>
            </w:r>
          </w:p>
          <w:p w14:paraId="59A54138">
            <w:pPr>
              <w:spacing w:line="360" w:lineRule="auto"/>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法定代表人或其委托的代理人：（签字）</w:t>
            </w:r>
          </w:p>
          <w:p w14:paraId="33C3E42D">
            <w:pPr>
              <w:spacing w:line="360" w:lineRule="auto"/>
              <w:ind w:firstLine="1440" w:firstLineChars="600"/>
              <w:rPr>
                <w:rFonts w:eastAsia="黑体"/>
                <w:color w:val="000000" w:themeColor="text1"/>
                <w:sz w:val="24"/>
                <w:u w:val="single"/>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地址：</w:t>
            </w:r>
          </w:p>
          <w:p w14:paraId="7D155C39">
            <w:pPr>
              <w:spacing w:after="624" w:afterLines="200"/>
              <w:ind w:firstLine="3000" w:firstLineChars="1250"/>
              <w:rPr>
                <w:color w:val="000000" w:themeColor="text1"/>
                <w:kern w:val="11"/>
                <w14:textFill>
                  <w14:solidFill>
                    <w14:schemeClr w14:val="tx1"/>
                  </w14:solidFill>
                </w14:textFill>
              </w:rPr>
            </w:pPr>
            <w:r>
              <w:rPr>
                <w:rFonts w:eastAsia="黑体"/>
                <w:color w:val="000000" w:themeColor="text1"/>
                <w:sz w:val="24"/>
                <w14:textFill>
                  <w14:solidFill>
                    <w14:schemeClr w14:val="tx1"/>
                  </w14:solidFill>
                </w14:textFill>
              </w:rPr>
              <w:t>年月日</w:t>
            </w:r>
          </w:p>
        </w:tc>
      </w:tr>
    </w:tbl>
    <w:p w14:paraId="43BFD3ED">
      <w:pPr>
        <w:rPr>
          <w:color w:val="000000" w:themeColor="text1"/>
          <w:kern w:val="11"/>
          <w:sz w:val="24"/>
          <w14:textFill>
            <w14:solidFill>
              <w14:schemeClr w14:val="tx1"/>
            </w14:solidFill>
          </w14:textFill>
        </w:rPr>
      </w:pPr>
    </w:p>
    <w:p w14:paraId="3131FD38">
      <w:pPr>
        <w:widowControl/>
        <w:jc w:val="left"/>
        <w:rPr>
          <w:color w:val="000000" w:themeColor="text1"/>
          <w:kern w:val="11"/>
          <w:sz w:val="24"/>
          <w14:textFill>
            <w14:solidFill>
              <w14:schemeClr w14:val="tx1"/>
            </w14:solidFill>
          </w14:textFill>
        </w:rPr>
      </w:pPr>
      <w:r>
        <w:rPr>
          <w:color w:val="000000" w:themeColor="text1"/>
          <w:kern w:val="11"/>
          <w:sz w:val="24"/>
          <w14:textFill>
            <w14:solidFill>
              <w14:schemeClr w14:val="tx1"/>
            </w14:solidFill>
          </w14:textFill>
        </w:rPr>
        <w:br w:type="page"/>
      </w:r>
    </w:p>
    <w:p w14:paraId="65CC2A2E">
      <w:pPr>
        <w:widowControl/>
        <w:jc w:val="left"/>
        <w:rPr>
          <w:rFonts w:eastAsia="黑体"/>
          <w:bCs/>
          <w:color w:val="000000" w:themeColor="text1"/>
          <w:kern w:val="44"/>
          <w:sz w:val="30"/>
          <w:szCs w:val="44"/>
          <w14:textFill>
            <w14:solidFill>
              <w14:schemeClr w14:val="tx1"/>
            </w14:solidFill>
          </w14:textFill>
        </w:rPr>
      </w:pPr>
      <w:r>
        <w:rPr>
          <w:rFonts w:hint="eastAsia"/>
          <w:color w:val="000000" w:themeColor="text1"/>
          <w:kern w:val="11"/>
          <w:sz w:val="24"/>
          <w14:textFill>
            <w14:solidFill>
              <w14:schemeClr w14:val="tx1"/>
            </w14:solidFill>
          </w14:textFill>
        </w:rPr>
        <w:t>响应</w:t>
      </w:r>
      <w:r>
        <w:rPr>
          <w:color w:val="000000" w:themeColor="text1"/>
          <w:kern w:val="11"/>
          <w:sz w:val="24"/>
          <w14:textFill>
            <w14:solidFill>
              <w14:schemeClr w14:val="tx1"/>
            </w14:solidFill>
          </w14:textFill>
        </w:rPr>
        <w:t>文件</w:t>
      </w:r>
      <w:r>
        <w:rPr>
          <w:rFonts w:hint="eastAsia"/>
          <w:color w:val="000000" w:themeColor="text1"/>
          <w:kern w:val="11"/>
          <w:sz w:val="24"/>
          <w14:textFill>
            <w14:solidFill>
              <w14:schemeClr w14:val="tx1"/>
            </w14:solidFill>
          </w14:textFill>
        </w:rPr>
        <w:t>封口格式</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E1E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14:paraId="647B0292">
            <w:pPr>
              <w:spacing w:line="360" w:lineRule="auto"/>
              <w:ind w:firstLine="482"/>
              <w:jc w:val="center"/>
              <w:rPr>
                <w:color w:val="000000" w:themeColor="text1"/>
                <w14:textFill>
                  <w14:solidFill>
                    <w14:schemeClr w14:val="tx1"/>
                  </w14:solidFill>
                </w14:textFill>
              </w:rPr>
            </w:pPr>
            <w:r>
              <w:rPr>
                <w:b/>
                <w:bCs/>
                <w:color w:val="000000" w:themeColor="text1"/>
                <w:kern w:val="11"/>
                <w:sz w:val="24"/>
                <w14:textFill>
                  <w14:solidFill>
                    <w14:schemeClr w14:val="tx1"/>
                  </w14:solidFill>
                </w14:textFill>
              </w:rPr>
              <w:t>--------------</w:t>
            </w:r>
            <w:r>
              <w:rPr>
                <w:rFonts w:ascii="黑体" w:hAnsi="黑体" w:eastAsia="黑体"/>
                <w:bCs/>
                <w:color w:val="000000" w:themeColor="text1"/>
                <w:kern w:val="11"/>
                <w:sz w:val="24"/>
                <w14:textFill>
                  <w14:solidFill>
                    <w14:schemeClr w14:val="tx1"/>
                  </w14:solidFill>
                </w14:textFill>
              </w:rPr>
              <w:t xml:space="preserve">于    年  月  日  </w:t>
            </w:r>
            <w:r>
              <w:rPr>
                <w:rFonts w:hint="eastAsia" w:ascii="黑体" w:hAnsi="黑体" w:eastAsia="黑体"/>
                <w:bCs/>
                <w:color w:val="000000" w:themeColor="text1"/>
                <w:kern w:val="11"/>
                <w:sz w:val="24"/>
                <w14:textFill>
                  <w14:solidFill>
                    <w14:schemeClr w14:val="tx1"/>
                  </w14:solidFill>
                </w14:textFill>
              </w:rPr>
              <w:t>时  分</w:t>
            </w:r>
            <w:r>
              <w:rPr>
                <w:rFonts w:ascii="黑体" w:hAnsi="黑体" w:eastAsia="黑体"/>
                <w:bCs/>
                <w:color w:val="000000" w:themeColor="text1"/>
                <w:kern w:val="11"/>
                <w:sz w:val="24"/>
                <w14:textFill>
                  <w14:solidFill>
                    <w14:schemeClr w14:val="tx1"/>
                  </w14:solidFill>
                </w14:textFill>
              </w:rPr>
              <w:t>之前不准启封（公章）</w:t>
            </w:r>
            <w:r>
              <w:rPr>
                <w:b/>
                <w:bCs/>
                <w:color w:val="000000" w:themeColor="text1"/>
                <w:kern w:val="11"/>
                <w:sz w:val="24"/>
                <w14:textFill>
                  <w14:solidFill>
                    <w14:schemeClr w14:val="tx1"/>
                  </w14:solidFill>
                </w14:textFill>
              </w:rPr>
              <w:t>----------------</w:t>
            </w:r>
          </w:p>
        </w:tc>
      </w:tr>
    </w:tbl>
    <w:p w14:paraId="55703FA1">
      <w:pPr>
        <w:ind w:firstLine="420"/>
        <w:rPr>
          <w:color w:val="000000" w:themeColor="text1"/>
          <w14:textFill>
            <w14:solidFill>
              <w14:schemeClr w14:val="tx1"/>
            </w14:solidFill>
          </w14:textFill>
        </w:rPr>
      </w:pPr>
    </w:p>
    <w:p w14:paraId="4E45DBD4">
      <w:pPr>
        <w:pStyle w:val="6"/>
        <w:jc w:val="center"/>
        <w:rPr>
          <w:b/>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r>
        <w:rPr>
          <w:rFonts w:hint="eastAsia"/>
          <w:b/>
          <w:color w:val="000000" w:themeColor="text1"/>
          <w:sz w:val="44"/>
          <w:szCs w:val="44"/>
          <w14:textFill>
            <w14:solidFill>
              <w14:schemeClr w14:val="tx1"/>
            </w14:solidFill>
          </w14:textFill>
        </w:rPr>
        <w:t>响应确认信息表</w:t>
      </w:r>
    </w:p>
    <w:p w14:paraId="690F33C6">
      <w:pPr>
        <w:widowControl/>
        <w:jc w:val="left"/>
        <w:rPr>
          <w:rFonts w:ascii="Arial" w:hAnsi="Arial" w:eastAsia="黑体"/>
          <w:bCs/>
          <w:color w:val="000000" w:themeColor="text1"/>
          <w:sz w:val="28"/>
          <w:szCs w:val="32"/>
          <w14:textFill>
            <w14:solidFill>
              <w14:schemeClr w14:val="tx1"/>
            </w14:solidFill>
          </w14:textFill>
        </w:rPr>
      </w:pPr>
    </w:p>
    <w:p w14:paraId="0742120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江苏省广电有线信息网络股份有限公司：</w:t>
      </w:r>
    </w:p>
    <w:p w14:paraId="0CB9EA3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我单位申请参与贵单位项目。</w:t>
      </w:r>
    </w:p>
    <w:p w14:paraId="5359F8E5">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现委派我单位      (姓名)负责本项目报名和正式采购前的联系工作，详细信息如下（以下信息均为必填项）：</w:t>
      </w:r>
    </w:p>
    <w:p w14:paraId="3DAE51A4">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1.姓名：</w:t>
      </w:r>
    </w:p>
    <w:p w14:paraId="637EE25C">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2.身份证号：</w:t>
      </w:r>
    </w:p>
    <w:p w14:paraId="15BEBED6">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3.职位：</w:t>
      </w:r>
    </w:p>
    <w:p w14:paraId="51ABE24C">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4.联系电话（手机）：</w:t>
      </w:r>
    </w:p>
    <w:p w14:paraId="4A154D2F">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5.联系电子邮箱：</w:t>
      </w:r>
    </w:p>
    <w:p w14:paraId="2E3EDA2B">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6.微信号:</w:t>
      </w:r>
    </w:p>
    <w:p w14:paraId="3C447226">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7.响应文件递送方式：</w:t>
      </w:r>
    </w:p>
    <w:p w14:paraId="28DBDD12">
      <w:pPr>
        <w:spacing w:line="360" w:lineRule="auto"/>
        <w:ind w:firstLine="200"/>
        <w:rPr>
          <w:color w:val="000000" w:themeColor="text1"/>
          <w14:textFill>
            <w14:solidFill>
              <w14:schemeClr w14:val="tx1"/>
            </w14:solidFill>
          </w14:textFill>
        </w:rPr>
      </w:pPr>
    </w:p>
    <w:p w14:paraId="15BCB709">
      <w:pPr>
        <w:spacing w:line="360" w:lineRule="auto"/>
        <w:ind w:firstLine="200"/>
        <w:rPr>
          <w:color w:val="000000" w:themeColor="text1"/>
          <w14:textFill>
            <w14:solidFill>
              <w14:schemeClr w14:val="tx1"/>
            </w14:solidFill>
          </w14:textFill>
        </w:rPr>
      </w:pPr>
    </w:p>
    <w:p w14:paraId="03C6904B">
      <w:pPr>
        <w:spacing w:line="360" w:lineRule="auto"/>
        <w:ind w:firstLine="200"/>
        <w:rPr>
          <w:color w:val="000000" w:themeColor="text1"/>
          <w14:textFill>
            <w14:solidFill>
              <w14:schemeClr w14:val="tx1"/>
            </w14:solidFill>
          </w14:textFill>
        </w:rPr>
      </w:pPr>
    </w:p>
    <w:p w14:paraId="739A2D50">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供应商：（盖章）</w:t>
      </w:r>
    </w:p>
    <w:p w14:paraId="7CC94C5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14:paraId="5183D185">
      <w:pPr>
        <w:pStyle w:val="17"/>
        <w:ind w:firstLine="200"/>
        <w:rPr>
          <w:color w:val="000000" w:themeColor="text1"/>
          <w14:textFill>
            <w14:solidFill>
              <w14:schemeClr w14:val="tx1"/>
            </w14:solidFill>
          </w14:textFill>
        </w:rPr>
      </w:pPr>
    </w:p>
    <w:p w14:paraId="4909C2A4">
      <w:pPr>
        <w:pStyle w:val="17"/>
        <w:ind w:firstLine="200"/>
        <w:rPr>
          <w:color w:val="000000" w:themeColor="text1"/>
          <w14:textFill>
            <w14:solidFill>
              <w14:schemeClr w14:val="tx1"/>
            </w14:solidFill>
          </w14:textFill>
        </w:rPr>
      </w:pPr>
    </w:p>
    <w:p w14:paraId="167CF9ED"/>
    <w:p w14:paraId="538CC5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75DE">
    <w:pPr>
      <w:pStyle w:val="14"/>
      <w:jc w:val="center"/>
    </w:pPr>
    <w:r>
      <w:fldChar w:fldCharType="begin"/>
    </w:r>
    <w:r>
      <w:instrText xml:space="preserve">PAGE   \* MERGEFORMAT</w:instrText>
    </w:r>
    <w:r>
      <w:fldChar w:fldCharType="separate"/>
    </w:r>
    <w:r>
      <w:rPr>
        <w:lang w:val="zh-CN"/>
      </w:rPr>
      <w:t>2</w:t>
    </w:r>
    <w:r>
      <w:rPr>
        <w:lang w:val="zh-CN"/>
      </w:rPr>
      <w:fldChar w:fldCharType="end"/>
    </w:r>
  </w:p>
  <w:p w14:paraId="17D4BA1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199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076BE">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C3445">
    <w:pPr>
      <w:pStyle w:val="14"/>
      <w:jc w:val="center"/>
    </w:pPr>
    <w:r>
      <w:fldChar w:fldCharType="begin"/>
    </w:r>
    <w:r>
      <w:rPr>
        <w:rStyle w:val="22"/>
      </w:rPr>
      <w:instrText xml:space="preserve"> PAGE </w:instrText>
    </w:r>
    <w:r>
      <w:fldChar w:fldCharType="separate"/>
    </w:r>
    <w:r>
      <w:rPr>
        <w:rStyle w:val="22"/>
      </w:rPr>
      <w:t>45</w:t>
    </w:r>
    <w:r>
      <w:fldChar w:fldCharType="end"/>
    </w:r>
  </w:p>
  <w:p w14:paraId="168DF97C">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99DD">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A2B14">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E634">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A248">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12"/>
    <w:multiLevelType w:val="multilevel"/>
    <w:tmpl w:val="0000001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6"/>
      <w:numFmt w:val="japaneseCounting"/>
      <w:lvlText w:val="第%2章"/>
      <w:lvlJc w:val="left"/>
      <w:pPr>
        <w:tabs>
          <w:tab w:val="left" w:pos="1995"/>
        </w:tabs>
        <w:ind w:left="1995" w:hanging="1575"/>
      </w:pPr>
      <w:rPr>
        <w:rFonts w:hint="default"/>
      </w:rPr>
    </w:lvl>
    <w:lvl w:ilvl="2" w:tentative="0">
      <w:start w:val="3"/>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6"/>
    <w:multiLevelType w:val="multilevel"/>
    <w:tmpl w:val="00000016"/>
    <w:lvl w:ilvl="0" w:tentative="0">
      <w:start w:val="1"/>
      <w:numFmt w:val="decimal"/>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19"/>
    <w:multiLevelType w:val="multilevel"/>
    <w:tmpl w:val="00000019"/>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2"/>
    <w:multiLevelType w:val="multilevel"/>
    <w:tmpl w:val="0000002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4"/>
    <w:multiLevelType w:val="multilevel"/>
    <w:tmpl w:val="00000024"/>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B"/>
    <w:multiLevelType w:val="multilevel"/>
    <w:tmpl w:val="0000002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D"/>
    <w:multiLevelType w:val="multilevel"/>
    <w:tmpl w:val="0000002D"/>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35"/>
    <w:multiLevelType w:val="multilevel"/>
    <w:tmpl w:val="00000035"/>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440388E"/>
    <w:multiLevelType w:val="multilevel"/>
    <w:tmpl w:val="0440388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4">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5">
    <w:nsid w:val="2EEF3A27"/>
    <w:multiLevelType w:val="multilevel"/>
    <w:tmpl w:val="2EEF3A27"/>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447EBFA7"/>
    <w:multiLevelType w:val="singleLevel"/>
    <w:tmpl w:val="447EBFA7"/>
    <w:lvl w:ilvl="0" w:tentative="0">
      <w:start w:val="1"/>
      <w:numFmt w:val="decimal"/>
      <w:suff w:val="nothing"/>
      <w:lvlText w:val="%1、"/>
      <w:lvlJc w:val="left"/>
    </w:lvl>
  </w:abstractNum>
  <w:abstractNum w:abstractNumId="17">
    <w:nsid w:val="4D9645EC"/>
    <w:multiLevelType w:val="multilevel"/>
    <w:tmpl w:val="4D9645EC"/>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8">
    <w:nsid w:val="512D7E78"/>
    <w:multiLevelType w:val="multilevel"/>
    <w:tmpl w:val="512D7E78"/>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abstractNum w:abstractNumId="19">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648F044E"/>
    <w:multiLevelType w:val="multilevel"/>
    <w:tmpl w:val="648F044E"/>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DC56E31"/>
    <w:multiLevelType w:val="multilevel"/>
    <w:tmpl w:val="6DC56E3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6"/>
  </w:num>
  <w:num w:numId="2">
    <w:abstractNumId w:val="1"/>
  </w:num>
  <w:num w:numId="3">
    <w:abstractNumId w:val="6"/>
  </w:num>
  <w:num w:numId="4">
    <w:abstractNumId w:val="11"/>
  </w:num>
  <w:num w:numId="5">
    <w:abstractNumId w:val="9"/>
  </w:num>
  <w:num w:numId="6">
    <w:abstractNumId w:val="5"/>
  </w:num>
  <w:num w:numId="7">
    <w:abstractNumId w:val="3"/>
  </w:num>
  <w:num w:numId="8">
    <w:abstractNumId w:val="10"/>
  </w:num>
  <w:num w:numId="9">
    <w:abstractNumId w:val="15"/>
  </w:num>
  <w:num w:numId="10">
    <w:abstractNumId w:val="21"/>
  </w:num>
  <w:num w:numId="11">
    <w:abstractNumId w:val="4"/>
  </w:num>
  <w:num w:numId="12">
    <w:abstractNumId w:val="7"/>
  </w:num>
  <w:num w:numId="13">
    <w:abstractNumId w:val="8"/>
  </w:num>
  <w:num w:numId="14">
    <w:abstractNumId w:val="2"/>
  </w:num>
  <w:num w:numId="15">
    <w:abstractNumId w:val="0"/>
  </w:num>
  <w:num w:numId="16">
    <w:abstractNumId w:val="12"/>
  </w:num>
  <w:num w:numId="17">
    <w:abstractNumId w:val="20"/>
  </w:num>
  <w:num w:numId="18">
    <w:abstractNumId w:val="17"/>
  </w:num>
  <w:num w:numId="19">
    <w:abstractNumId w:val="18"/>
  </w:num>
  <w:num w:numId="20">
    <w:abstractNumId w:val="13"/>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0722D"/>
    <w:rsid w:val="00032B26"/>
    <w:rsid w:val="00040E2B"/>
    <w:rsid w:val="000A0BE9"/>
    <w:rsid w:val="000D5622"/>
    <w:rsid w:val="001875BD"/>
    <w:rsid w:val="001A5AF9"/>
    <w:rsid w:val="001D0576"/>
    <w:rsid w:val="001E085E"/>
    <w:rsid w:val="00214E7C"/>
    <w:rsid w:val="002344AB"/>
    <w:rsid w:val="00260ACB"/>
    <w:rsid w:val="00280E99"/>
    <w:rsid w:val="00286277"/>
    <w:rsid w:val="00312837"/>
    <w:rsid w:val="00340BF2"/>
    <w:rsid w:val="003C2DB0"/>
    <w:rsid w:val="003F36A4"/>
    <w:rsid w:val="00406D6F"/>
    <w:rsid w:val="00407FFE"/>
    <w:rsid w:val="00490FA2"/>
    <w:rsid w:val="004B37F1"/>
    <w:rsid w:val="004D6730"/>
    <w:rsid w:val="00502A50"/>
    <w:rsid w:val="00527887"/>
    <w:rsid w:val="005E1A8E"/>
    <w:rsid w:val="006047FC"/>
    <w:rsid w:val="00640F73"/>
    <w:rsid w:val="006452AA"/>
    <w:rsid w:val="006C5DCA"/>
    <w:rsid w:val="006F719D"/>
    <w:rsid w:val="007323DD"/>
    <w:rsid w:val="007521EB"/>
    <w:rsid w:val="007F1EC1"/>
    <w:rsid w:val="00803162"/>
    <w:rsid w:val="00810621"/>
    <w:rsid w:val="00862803"/>
    <w:rsid w:val="00876AC6"/>
    <w:rsid w:val="00880C8F"/>
    <w:rsid w:val="008F1186"/>
    <w:rsid w:val="008F47FD"/>
    <w:rsid w:val="00945E68"/>
    <w:rsid w:val="00946882"/>
    <w:rsid w:val="0099207A"/>
    <w:rsid w:val="009F1F27"/>
    <w:rsid w:val="00A041C4"/>
    <w:rsid w:val="00A361F4"/>
    <w:rsid w:val="00AF5F7F"/>
    <w:rsid w:val="00B1199B"/>
    <w:rsid w:val="00B80B5B"/>
    <w:rsid w:val="00BB1EF1"/>
    <w:rsid w:val="00BC7622"/>
    <w:rsid w:val="00C10D54"/>
    <w:rsid w:val="00C11BB4"/>
    <w:rsid w:val="00CD318F"/>
    <w:rsid w:val="00CF1FB7"/>
    <w:rsid w:val="00D97EFE"/>
    <w:rsid w:val="00EC7B5C"/>
    <w:rsid w:val="00EF1116"/>
    <w:rsid w:val="00EF4AF7"/>
    <w:rsid w:val="00F1491F"/>
    <w:rsid w:val="00F864B1"/>
    <w:rsid w:val="00F87931"/>
    <w:rsid w:val="00FD5A30"/>
    <w:rsid w:val="01B008EC"/>
    <w:rsid w:val="0737795B"/>
    <w:rsid w:val="09E86505"/>
    <w:rsid w:val="0B720E60"/>
    <w:rsid w:val="0C2574AE"/>
    <w:rsid w:val="0E7616B1"/>
    <w:rsid w:val="0F8E3DA6"/>
    <w:rsid w:val="14731EDD"/>
    <w:rsid w:val="151F44EE"/>
    <w:rsid w:val="17942BA8"/>
    <w:rsid w:val="18D41D91"/>
    <w:rsid w:val="18F77CFC"/>
    <w:rsid w:val="1D5F6557"/>
    <w:rsid w:val="1E851DE6"/>
    <w:rsid w:val="1ED26847"/>
    <w:rsid w:val="1F851776"/>
    <w:rsid w:val="21135FD2"/>
    <w:rsid w:val="26495231"/>
    <w:rsid w:val="30B02818"/>
    <w:rsid w:val="31C32B6E"/>
    <w:rsid w:val="3390722D"/>
    <w:rsid w:val="33CA2CB4"/>
    <w:rsid w:val="35524E10"/>
    <w:rsid w:val="36D6243D"/>
    <w:rsid w:val="377B7F1F"/>
    <w:rsid w:val="382622B4"/>
    <w:rsid w:val="3A8C23C1"/>
    <w:rsid w:val="3B762441"/>
    <w:rsid w:val="3F1F0790"/>
    <w:rsid w:val="41780CC1"/>
    <w:rsid w:val="42A55CFA"/>
    <w:rsid w:val="42D406E5"/>
    <w:rsid w:val="4353232B"/>
    <w:rsid w:val="447B7530"/>
    <w:rsid w:val="47E522FB"/>
    <w:rsid w:val="4A610104"/>
    <w:rsid w:val="4B6A69C7"/>
    <w:rsid w:val="4CD62D3F"/>
    <w:rsid w:val="505575D3"/>
    <w:rsid w:val="51441F75"/>
    <w:rsid w:val="514A5AAA"/>
    <w:rsid w:val="54123FF7"/>
    <w:rsid w:val="544374DC"/>
    <w:rsid w:val="55560EC1"/>
    <w:rsid w:val="562E1ABB"/>
    <w:rsid w:val="57D47E6C"/>
    <w:rsid w:val="57E642F4"/>
    <w:rsid w:val="5B2A781E"/>
    <w:rsid w:val="5B700045"/>
    <w:rsid w:val="5D2C0BD3"/>
    <w:rsid w:val="5ED54284"/>
    <w:rsid w:val="5F7069DB"/>
    <w:rsid w:val="63A21930"/>
    <w:rsid w:val="64F3442E"/>
    <w:rsid w:val="66FA17A4"/>
    <w:rsid w:val="68630BBB"/>
    <w:rsid w:val="69D33FBE"/>
    <w:rsid w:val="6AD2092B"/>
    <w:rsid w:val="6E2B5261"/>
    <w:rsid w:val="7017719F"/>
    <w:rsid w:val="713C21CE"/>
    <w:rsid w:val="72C40867"/>
    <w:rsid w:val="737361D7"/>
    <w:rsid w:val="73CE5088"/>
    <w:rsid w:val="75C472BD"/>
    <w:rsid w:val="78126A72"/>
    <w:rsid w:val="7ABF0A8C"/>
    <w:rsid w:val="7CA67817"/>
    <w:rsid w:val="7DBC6459"/>
    <w:rsid w:val="7E8D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黑体"/>
      <w:bCs/>
      <w:kern w:val="44"/>
      <w:sz w:val="30"/>
      <w:szCs w:val="44"/>
    </w:rPr>
  </w:style>
  <w:style w:type="paragraph" w:styleId="4">
    <w:name w:val="heading 2"/>
    <w:basedOn w:val="1"/>
    <w:next w:val="1"/>
    <w:qFormat/>
    <w:uiPriority w:val="99"/>
    <w:pPr>
      <w:keepNext/>
      <w:keepLines/>
      <w:snapToGrid w:val="0"/>
      <w:spacing w:beforeLines="100" w:afterLines="100" w:line="415" w:lineRule="auto"/>
      <w:ind w:right="210" w:rightChars="100"/>
      <w:outlineLvl w:val="1"/>
    </w:pPr>
    <w:rPr>
      <w:rFonts w:ascii="Arial" w:hAnsi="宋体" w:eastAsia="黑体"/>
      <w:bCs/>
      <w:color w:val="000000" w:themeColor="text1"/>
      <w:sz w:val="24"/>
      <w14:textFill>
        <w14:solidFill>
          <w14:schemeClr w14:val="tx1"/>
        </w14:solidFill>
      </w14:textFill>
    </w:rPr>
  </w:style>
  <w:style w:type="paragraph" w:styleId="5">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qFormat/>
    <w:uiPriority w:val="0"/>
    <w:pPr>
      <w:keepNext/>
      <w:outlineLvl w:val="3"/>
    </w:pPr>
    <w:rPr>
      <w:sz w:val="28"/>
      <w:szCs w:val="20"/>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rPr>
      <w:color w:val="FF0000"/>
      <w:kern w:val="0"/>
      <w:sz w:val="20"/>
      <w:szCs w:val="20"/>
    </w:rPr>
  </w:style>
  <w:style w:type="paragraph" w:styleId="7">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8">
    <w:name w:val="annotation text"/>
    <w:basedOn w:val="1"/>
    <w:qFormat/>
    <w:uiPriority w:val="0"/>
    <w:pPr>
      <w:jc w:val="left"/>
    </w:pPr>
  </w:style>
  <w:style w:type="paragraph" w:styleId="9">
    <w:name w:val="Body Text"/>
    <w:basedOn w:val="1"/>
    <w:qFormat/>
    <w:uiPriority w:val="99"/>
    <w:rPr>
      <w:sz w:val="28"/>
      <w:szCs w:val="20"/>
    </w:rPr>
  </w:style>
  <w:style w:type="paragraph" w:styleId="10">
    <w:name w:val="Body Text Indent"/>
    <w:basedOn w:val="1"/>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11">
    <w:name w:val="Plain Text"/>
    <w:basedOn w:val="1"/>
    <w:next w:val="12"/>
    <w:qFormat/>
    <w:uiPriority w:val="99"/>
    <w:rPr>
      <w:rFonts w:ascii="宋体" w:hAnsi="Courier New"/>
      <w:szCs w:val="20"/>
    </w:rPr>
  </w:style>
  <w:style w:type="paragraph" w:styleId="12">
    <w:name w:val="toc 4"/>
    <w:basedOn w:val="1"/>
    <w:next w:val="1"/>
    <w:unhideWhenUsed/>
    <w:qFormat/>
    <w:uiPriority w:val="99"/>
    <w:pPr>
      <w:ind w:left="1260" w:leftChars="600"/>
    </w:pPr>
    <w:rPr>
      <w:rFonts w:ascii="Calibri" w:hAnsi="Calibri"/>
      <w:szCs w:val="22"/>
    </w:rPr>
  </w:style>
  <w:style w:type="paragraph" w:styleId="13">
    <w:name w:val="Balloon Text"/>
    <w:basedOn w:val="1"/>
    <w:link w:val="34"/>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306"/>
      </w:tabs>
      <w:autoSpaceDE w:val="0"/>
      <w:autoSpaceDN w:val="0"/>
      <w:adjustRightInd w:val="0"/>
      <w:spacing w:before="120" w:after="120" w:line="315" w:lineRule="atLeast"/>
      <w:ind w:right="958"/>
      <w:jc w:val="right"/>
    </w:pPr>
    <w:rPr>
      <w:rFonts w:eastAsia="黑体"/>
      <w:caps/>
      <w:kern w:val="0"/>
      <w:szCs w:val="21"/>
    </w:rPr>
  </w:style>
  <w:style w:type="paragraph" w:styleId="17">
    <w:name w:val="Body Text First Indent"/>
    <w:basedOn w:val="9"/>
    <w:qFormat/>
    <w:uiPriority w:val="99"/>
    <w:pPr>
      <w:spacing w:after="120"/>
      <w:ind w:firstLine="210" w:firstLineChars="100"/>
    </w:pPr>
    <w:rPr>
      <w:kern w:val="0"/>
      <w:sz w:val="20"/>
    </w:r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99"/>
  </w:style>
  <w:style w:type="character" w:styleId="23">
    <w:name w:val="Emphasis"/>
    <w:basedOn w:val="21"/>
    <w:qFormat/>
    <w:uiPriority w:val="0"/>
    <w:rPr>
      <w:i/>
    </w:rPr>
  </w:style>
  <w:style w:type="character" w:styleId="24">
    <w:name w:val="annotation reference"/>
    <w:basedOn w:val="21"/>
    <w:qFormat/>
    <w:uiPriority w:val="0"/>
    <w:rPr>
      <w:sz w:val="21"/>
      <w:szCs w:val="21"/>
    </w:rPr>
  </w:style>
  <w:style w:type="paragraph" w:customStyle="1" w:styleId="25">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
    <w:name w:val="Body Text First Indent1"/>
    <w:basedOn w:val="9"/>
    <w:qFormat/>
    <w:uiPriority w:val="0"/>
    <w:pPr>
      <w:ind w:firstLine="420"/>
    </w:pPr>
  </w:style>
  <w:style w:type="character" w:customStyle="1" w:styleId="27">
    <w:name w:val="font31"/>
    <w:qFormat/>
    <w:uiPriority w:val="0"/>
    <w:rPr>
      <w:rFonts w:hint="eastAsia" w:ascii="宋体" w:hAnsi="宋体" w:eastAsia="宋体" w:cs="宋体"/>
      <w:color w:val="FF0000"/>
      <w:kern w:val="2"/>
      <w:sz w:val="22"/>
      <w:szCs w:val="22"/>
      <w:lang w:val="en-US" w:eastAsia="zh-CN" w:bidi="ar-SA"/>
    </w:rPr>
  </w:style>
  <w:style w:type="character" w:customStyle="1" w:styleId="28">
    <w:name w:val="msonormal1"/>
    <w:autoRedefine/>
    <w:qFormat/>
    <w:uiPriority w:val="0"/>
  </w:style>
  <w:style w:type="paragraph" w:styleId="29">
    <w:name w:val="List Paragraph"/>
    <w:basedOn w:val="1"/>
    <w:link w:val="33"/>
    <w:autoRedefine/>
    <w:qFormat/>
    <w:uiPriority w:val="34"/>
    <w:pPr>
      <w:ind w:firstLine="420" w:firstLineChars="200"/>
    </w:pPr>
    <w:rPr>
      <w:rFonts w:asciiTheme="minorHAnsi" w:hAnsiTheme="minorHAnsi" w:eastAsiaTheme="minorEastAsia" w:cstheme="minorBidi"/>
      <w:szCs w:val="22"/>
    </w:rPr>
  </w:style>
  <w:style w:type="character" w:customStyle="1" w:styleId="30">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31">
    <w:name w:val="标题 1 Char"/>
    <w:autoRedefine/>
    <w:qFormat/>
    <w:uiPriority w:val="0"/>
    <w:rPr>
      <w:rFonts w:ascii="黑体"/>
      <w:b/>
      <w:kern w:val="44"/>
      <w:sz w:val="32"/>
    </w:rPr>
  </w:style>
  <w:style w:type="paragraph" w:customStyle="1" w:styleId="32">
    <w:name w:val="列出段落1"/>
    <w:basedOn w:val="1"/>
    <w:autoRedefine/>
    <w:qFormat/>
    <w:uiPriority w:val="0"/>
    <w:pPr>
      <w:ind w:firstLine="420" w:firstLineChars="200"/>
    </w:pPr>
  </w:style>
  <w:style w:type="character" w:customStyle="1" w:styleId="33">
    <w:name w:val="列表段落 字符"/>
    <w:link w:val="29"/>
    <w:qFormat/>
    <w:uiPriority w:val="34"/>
    <w:rPr>
      <w:rFonts w:asciiTheme="minorHAnsi" w:hAnsiTheme="minorHAnsi" w:eastAsiaTheme="minorEastAsia" w:cstheme="minorBidi"/>
      <w:kern w:val="2"/>
      <w:sz w:val="21"/>
      <w:szCs w:val="22"/>
    </w:rPr>
  </w:style>
  <w:style w:type="character" w:customStyle="1" w:styleId="34">
    <w:name w:val="批注框文本 字符"/>
    <w:basedOn w:val="21"/>
    <w:link w:val="13"/>
    <w:qFormat/>
    <w:uiPriority w:val="0"/>
    <w:rPr>
      <w:kern w:val="2"/>
      <w:sz w:val="18"/>
      <w:szCs w:val="18"/>
    </w:rPr>
  </w:style>
  <w:style w:type="paragraph" w:customStyle="1" w:styleId="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package" Target="embeddings/Microsoft_Visio___1.vsdx"/><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1803</Words>
  <Characters>1976</Characters>
  <Lines>243</Lines>
  <Paragraphs>68</Paragraphs>
  <TotalTime>34</TotalTime>
  <ScaleCrop>false</ScaleCrop>
  <LinksUpToDate>false</LinksUpToDate>
  <CharactersWithSpaces>1983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2025-02-12T07:15:00Z</dcterms:created>
  <dc:creator>wu</dc:creator>
  <cp:lastModifiedBy>氨基酸</cp:lastModifiedBy>
  <dcterms:modified xsi:type="dcterms:W3CDTF">2025-02-28T08:20:00Z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83C9C420D7F8496E98E6DD4AB9B58455_13</vt:lpwstr>
  </property>
  <property fmtid="{D5CDD505-2E9C-101B-9397-08002B2CF9AE}" pid="4" name="KSOTemplateDocerSaveRecord">
    <vt:lpwstr>eyJoZGlkIjoiOTM1YzlmZTVhNTU1YTIyNWNkOTM5OTVmY2YyZjE4NTUiLCJ1c2VySWQiOiI2MzIyOTE4MzAifQ==</vt:lpwstr>
  </property>
</Properties>
</file>