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Ansi="宋体" w:cs="宋体"/>
          <w:sz w:val="52"/>
          <w:szCs w:val="52"/>
        </w:rPr>
      </w:pPr>
    </w:p>
    <w:p>
      <w:pPr>
        <w:jc w:val="center"/>
        <w:rPr>
          <w:rFonts w:ascii="宋体" w:hAnsi="宋体" w:cs="宋体"/>
          <w:sz w:val="52"/>
          <w:szCs w:val="52"/>
        </w:rPr>
      </w:pPr>
      <w:r>
        <w:rPr>
          <w:rFonts w:hint="eastAsia" w:ascii="宋体" w:hAnsi="宋体" w:cs="宋体"/>
          <w:sz w:val="52"/>
          <w:szCs w:val="52"/>
        </w:rPr>
        <w:t>动环及监控系统升级采购项目</w:t>
      </w:r>
    </w:p>
    <w:p>
      <w:pPr>
        <w:pStyle w:val="9"/>
        <w:jc w:val="center"/>
        <w:rPr>
          <w:rFonts w:hAnsi="宋体" w:cs="宋体"/>
          <w:sz w:val="52"/>
          <w:szCs w:val="52"/>
        </w:rPr>
      </w:pPr>
      <w:r>
        <w:rPr>
          <w:rFonts w:hint="eastAsia" w:hAnsi="宋体" w:cs="宋体"/>
          <w:sz w:val="52"/>
          <w:szCs w:val="52"/>
        </w:rPr>
        <w:t>单一来源谈判</w:t>
      </w:r>
    </w:p>
    <w:p>
      <w:pPr>
        <w:pStyle w:val="9"/>
        <w:jc w:val="center"/>
        <w:rPr>
          <w:rFonts w:hAnsi="宋体" w:cs="宋体"/>
          <w:sz w:val="52"/>
          <w:szCs w:val="52"/>
        </w:rPr>
      </w:pPr>
    </w:p>
    <w:p>
      <w:pPr>
        <w:pStyle w:val="9"/>
        <w:jc w:val="center"/>
        <w:rPr>
          <w:rFonts w:hAnsi="宋体" w:cs="宋体"/>
          <w:sz w:val="52"/>
          <w:szCs w:val="52"/>
        </w:rPr>
      </w:pPr>
    </w:p>
    <w:p>
      <w:pPr>
        <w:pStyle w:val="9"/>
        <w:jc w:val="center"/>
        <w:rPr>
          <w:rFonts w:hAnsi="宋体" w:cs="宋体"/>
          <w:sz w:val="52"/>
          <w:szCs w:val="52"/>
        </w:rPr>
      </w:pPr>
      <w:r>
        <w:rPr>
          <w:rFonts w:hint="eastAsia" w:hAnsi="宋体" w:cs="宋体"/>
          <w:sz w:val="52"/>
          <w:szCs w:val="52"/>
        </w:rPr>
        <w:t>邀</w:t>
      </w:r>
    </w:p>
    <w:p>
      <w:pPr>
        <w:pStyle w:val="9"/>
        <w:jc w:val="center"/>
        <w:rPr>
          <w:rFonts w:hAnsi="宋体" w:cs="宋体"/>
          <w:sz w:val="52"/>
          <w:szCs w:val="52"/>
        </w:rPr>
      </w:pPr>
    </w:p>
    <w:p>
      <w:pPr>
        <w:pStyle w:val="9"/>
        <w:jc w:val="center"/>
        <w:rPr>
          <w:rFonts w:hAnsi="宋体" w:cs="宋体"/>
          <w:sz w:val="52"/>
          <w:szCs w:val="52"/>
        </w:rPr>
      </w:pPr>
    </w:p>
    <w:p>
      <w:pPr>
        <w:pStyle w:val="9"/>
        <w:jc w:val="center"/>
        <w:rPr>
          <w:rFonts w:hAnsi="宋体" w:cs="宋体"/>
          <w:sz w:val="52"/>
          <w:szCs w:val="52"/>
        </w:rPr>
      </w:pPr>
      <w:r>
        <w:rPr>
          <w:rFonts w:hint="eastAsia" w:hAnsi="宋体" w:cs="宋体"/>
          <w:sz w:val="52"/>
          <w:szCs w:val="52"/>
        </w:rPr>
        <w:t>请</w:t>
      </w:r>
    </w:p>
    <w:p>
      <w:pPr>
        <w:pStyle w:val="9"/>
        <w:jc w:val="center"/>
        <w:rPr>
          <w:rFonts w:hAnsi="宋体" w:cs="宋体"/>
          <w:sz w:val="52"/>
          <w:szCs w:val="52"/>
        </w:rPr>
      </w:pPr>
    </w:p>
    <w:p>
      <w:pPr>
        <w:pStyle w:val="9"/>
        <w:jc w:val="center"/>
        <w:rPr>
          <w:rFonts w:hAnsi="宋体" w:cs="宋体"/>
          <w:sz w:val="52"/>
          <w:szCs w:val="52"/>
        </w:rPr>
      </w:pPr>
    </w:p>
    <w:p>
      <w:pPr>
        <w:pStyle w:val="9"/>
        <w:jc w:val="center"/>
        <w:rPr>
          <w:rFonts w:hAnsi="宋体" w:cs="宋体"/>
          <w:sz w:val="52"/>
          <w:szCs w:val="52"/>
        </w:rPr>
      </w:pPr>
      <w:r>
        <w:rPr>
          <w:rFonts w:hint="eastAsia" w:hAnsi="宋体" w:cs="宋体"/>
          <w:sz w:val="52"/>
          <w:szCs w:val="52"/>
        </w:rPr>
        <w:t>函</w:t>
      </w:r>
    </w:p>
    <w:p>
      <w:pPr>
        <w:pStyle w:val="9"/>
        <w:jc w:val="center"/>
        <w:rPr>
          <w:rFonts w:hAnsi="宋体" w:cs="宋体"/>
          <w:sz w:val="52"/>
          <w:szCs w:val="52"/>
        </w:rPr>
      </w:pPr>
    </w:p>
    <w:p>
      <w:pPr>
        <w:pStyle w:val="9"/>
        <w:jc w:val="center"/>
        <w:rPr>
          <w:rFonts w:hAnsi="宋体" w:cs="宋体"/>
          <w:sz w:val="52"/>
          <w:szCs w:val="52"/>
        </w:rPr>
      </w:pPr>
    </w:p>
    <w:p>
      <w:pPr>
        <w:pStyle w:val="9"/>
        <w:jc w:val="center"/>
        <w:rPr>
          <w:rFonts w:hAnsi="宋体" w:cs="宋体"/>
          <w:sz w:val="52"/>
          <w:szCs w:val="52"/>
        </w:rPr>
      </w:pPr>
    </w:p>
    <w:p>
      <w:pPr>
        <w:pStyle w:val="9"/>
        <w:jc w:val="center"/>
        <w:rPr>
          <w:rFonts w:hAnsi="宋体" w:cs="宋体"/>
          <w:sz w:val="52"/>
          <w:szCs w:val="52"/>
        </w:rPr>
      </w:pPr>
    </w:p>
    <w:p>
      <w:pPr>
        <w:autoSpaceDE w:val="0"/>
        <w:autoSpaceDN w:val="0"/>
        <w:adjustRightInd w:val="0"/>
        <w:spacing w:line="360" w:lineRule="auto"/>
        <w:jc w:val="center"/>
        <w:rPr>
          <w:rFonts w:hAnsi="宋体"/>
          <w:b/>
          <w:color w:val="000000" w:themeColor="text1"/>
          <w:sz w:val="36"/>
          <w:szCs w:val="36"/>
        </w:rPr>
      </w:pPr>
    </w:p>
    <w:p>
      <w:pPr>
        <w:autoSpaceDE w:val="0"/>
        <w:autoSpaceDN w:val="0"/>
        <w:adjustRightInd w:val="0"/>
        <w:spacing w:line="360" w:lineRule="auto"/>
        <w:jc w:val="center"/>
        <w:rPr>
          <w:rFonts w:hAnsi="宋体"/>
          <w:b/>
          <w:color w:val="000000" w:themeColor="text1"/>
          <w:sz w:val="36"/>
          <w:szCs w:val="36"/>
        </w:rPr>
      </w:pPr>
    </w:p>
    <w:p>
      <w:pPr>
        <w:autoSpaceDE w:val="0"/>
        <w:autoSpaceDN w:val="0"/>
        <w:adjustRightInd w:val="0"/>
        <w:spacing w:line="360" w:lineRule="auto"/>
        <w:jc w:val="center"/>
        <w:rPr>
          <w:rFonts w:hAnsi="宋体"/>
          <w:b/>
          <w:color w:val="000000" w:themeColor="text1"/>
          <w:sz w:val="36"/>
          <w:szCs w:val="36"/>
        </w:rPr>
      </w:pPr>
    </w:p>
    <w:p>
      <w:pPr>
        <w:autoSpaceDE w:val="0"/>
        <w:autoSpaceDN w:val="0"/>
        <w:adjustRightInd w:val="0"/>
        <w:spacing w:line="360" w:lineRule="auto"/>
        <w:jc w:val="center"/>
        <w:rPr>
          <w:rFonts w:hAnsi="宋体"/>
          <w:b/>
          <w:color w:val="000000" w:themeColor="text1"/>
          <w:sz w:val="36"/>
          <w:szCs w:val="36"/>
        </w:rPr>
      </w:pPr>
    </w:p>
    <w:p>
      <w:pPr>
        <w:autoSpaceDE w:val="0"/>
        <w:autoSpaceDN w:val="0"/>
        <w:adjustRightInd w:val="0"/>
        <w:spacing w:line="360" w:lineRule="auto"/>
        <w:jc w:val="center"/>
        <w:rPr>
          <w:rFonts w:hAnsi="宋体"/>
          <w:b/>
          <w:color w:val="000000" w:themeColor="text1"/>
          <w:sz w:val="36"/>
          <w:szCs w:val="36"/>
        </w:rPr>
      </w:pPr>
    </w:p>
    <w:p>
      <w:pPr>
        <w:autoSpaceDE w:val="0"/>
        <w:autoSpaceDN w:val="0"/>
        <w:adjustRightInd w:val="0"/>
        <w:spacing w:line="360" w:lineRule="auto"/>
        <w:jc w:val="center"/>
        <w:rPr>
          <w:rFonts w:hAnsi="宋体"/>
          <w:b/>
          <w:color w:val="000000" w:themeColor="text1"/>
          <w:sz w:val="36"/>
          <w:szCs w:val="36"/>
        </w:rPr>
      </w:pPr>
      <w:r>
        <w:rPr>
          <w:rFonts w:hint="eastAsia" w:hAnsi="宋体"/>
          <w:b/>
          <w:color w:val="000000" w:themeColor="text1"/>
          <w:sz w:val="36"/>
          <w:szCs w:val="36"/>
        </w:rPr>
        <w:t>招标</w:t>
      </w:r>
      <w:r>
        <w:rPr>
          <w:rFonts w:hAnsi="宋体"/>
          <w:b/>
          <w:color w:val="000000" w:themeColor="text1"/>
          <w:sz w:val="36"/>
          <w:szCs w:val="36"/>
        </w:rPr>
        <w:t>人：江苏省</w:t>
      </w:r>
      <w:r>
        <w:rPr>
          <w:rFonts w:hint="eastAsia" w:hAnsi="宋体"/>
          <w:b/>
          <w:color w:val="000000" w:themeColor="text1"/>
          <w:sz w:val="36"/>
          <w:szCs w:val="36"/>
        </w:rPr>
        <w:t>广电有线</w:t>
      </w:r>
      <w:r>
        <w:rPr>
          <w:rFonts w:hAnsi="宋体"/>
          <w:b/>
          <w:color w:val="000000" w:themeColor="text1"/>
          <w:sz w:val="36"/>
          <w:szCs w:val="36"/>
        </w:rPr>
        <w:t>信息网络股份有限公司</w:t>
      </w:r>
    </w:p>
    <w:p>
      <w:pPr>
        <w:autoSpaceDE w:val="0"/>
        <w:autoSpaceDN w:val="0"/>
        <w:adjustRightInd w:val="0"/>
        <w:spacing w:line="360" w:lineRule="auto"/>
        <w:jc w:val="center"/>
        <w:rPr>
          <w:b/>
          <w:sz w:val="36"/>
          <w:szCs w:val="36"/>
        </w:rPr>
      </w:pPr>
      <w:r>
        <w:rPr>
          <w:rFonts w:hint="eastAsia" w:hAnsi="宋体"/>
          <w:b/>
          <w:sz w:val="36"/>
          <w:szCs w:val="36"/>
        </w:rPr>
        <w:t>泰州</w:t>
      </w:r>
      <w:r>
        <w:rPr>
          <w:rFonts w:hAnsi="宋体"/>
          <w:b/>
          <w:sz w:val="36"/>
          <w:szCs w:val="36"/>
        </w:rPr>
        <w:t>分公司</w:t>
      </w:r>
    </w:p>
    <w:p>
      <w:pPr>
        <w:autoSpaceDE w:val="0"/>
        <w:autoSpaceDN w:val="0"/>
        <w:adjustRightInd w:val="0"/>
        <w:spacing w:line="360" w:lineRule="auto"/>
        <w:ind w:firstLine="3253" w:firstLineChars="900"/>
        <w:rPr>
          <w:rFonts w:hAnsi="宋体"/>
          <w:b/>
          <w:sz w:val="36"/>
          <w:szCs w:val="36"/>
        </w:rPr>
      </w:pPr>
      <w:r>
        <w:rPr>
          <w:rFonts w:hint="eastAsia" w:hAnsi="宋体"/>
          <w:b/>
          <w:sz w:val="36"/>
          <w:szCs w:val="36"/>
        </w:rPr>
        <w:t>二0二三年五月十五日</w:t>
      </w:r>
    </w:p>
    <w:p>
      <w:pPr>
        <w:spacing w:line="360" w:lineRule="auto"/>
        <w:rPr>
          <w:rFonts w:ascii="宋体" w:hAnsi="宋体" w:cs="宋体"/>
          <w:b/>
          <w:sz w:val="40"/>
          <w:szCs w:val="40"/>
        </w:rPr>
      </w:pPr>
    </w:p>
    <w:p>
      <w:pPr>
        <w:spacing w:line="360" w:lineRule="auto"/>
        <w:jc w:val="center"/>
        <w:rPr>
          <w:rFonts w:ascii="宋体" w:hAnsi="宋体" w:cs="宋体"/>
          <w:b/>
          <w:sz w:val="40"/>
          <w:szCs w:val="40"/>
        </w:rPr>
      </w:pPr>
      <w:r>
        <w:rPr>
          <w:rFonts w:hint="eastAsia" w:ascii="宋体" w:hAnsi="宋体" w:cs="宋体"/>
          <w:b/>
          <w:sz w:val="40"/>
          <w:szCs w:val="40"/>
        </w:rPr>
        <w:t>单一来源采购谈判邀请函</w:t>
      </w:r>
    </w:p>
    <w:p>
      <w:pPr>
        <w:pStyle w:val="32"/>
        <w:spacing w:line="360" w:lineRule="auto"/>
        <w:ind w:firstLine="420" w:firstLineChars="200"/>
        <w:rPr>
          <w:sz w:val="21"/>
          <w:szCs w:val="21"/>
        </w:rPr>
      </w:pPr>
      <w:r>
        <w:rPr>
          <w:rFonts w:hint="eastAsia"/>
          <w:sz w:val="21"/>
          <w:szCs w:val="21"/>
        </w:rPr>
        <w:t>江苏省广电有线网络股份有限公司泰州分公司（以下简称江苏有线泰州分公司）现就动环及监控系统升级项目进行采购，已完成相应</w:t>
      </w:r>
      <w:r>
        <w:rPr>
          <w:sz w:val="21"/>
          <w:szCs w:val="21"/>
        </w:rPr>
        <w:t>准备工作，</w:t>
      </w:r>
      <w:r>
        <w:rPr>
          <w:rFonts w:hint="eastAsia"/>
          <w:sz w:val="21"/>
          <w:szCs w:val="21"/>
        </w:rPr>
        <w:t>现</w:t>
      </w:r>
      <w:r>
        <w:rPr>
          <w:sz w:val="21"/>
          <w:szCs w:val="21"/>
        </w:rPr>
        <w:t>诚邀</w:t>
      </w:r>
      <w:r>
        <w:rPr>
          <w:rFonts w:hint="eastAsia"/>
          <w:sz w:val="21"/>
          <w:szCs w:val="21"/>
        </w:rPr>
        <w:t>深圳共济科技股份有限公司参加</w:t>
      </w:r>
      <w:r>
        <w:rPr>
          <w:sz w:val="21"/>
          <w:szCs w:val="21"/>
        </w:rPr>
        <w:t>谈判</w:t>
      </w:r>
      <w:r>
        <w:rPr>
          <w:rFonts w:hint="eastAsia"/>
          <w:sz w:val="21"/>
          <w:szCs w:val="21"/>
        </w:rPr>
        <w:t>。</w:t>
      </w:r>
    </w:p>
    <w:p>
      <w:pPr>
        <w:spacing w:line="360" w:lineRule="auto"/>
        <w:rPr>
          <w:rFonts w:ascii="宋体" w:hAnsi="宋体" w:cs="宋体"/>
          <w:b/>
          <w:bCs/>
          <w:kern w:val="0"/>
          <w:sz w:val="24"/>
        </w:rPr>
      </w:pPr>
      <w:r>
        <w:rPr>
          <w:rFonts w:hint="eastAsia" w:ascii="宋体" w:hAnsi="宋体" w:cs="宋体"/>
          <w:b/>
          <w:bCs/>
          <w:kern w:val="0"/>
          <w:sz w:val="24"/>
        </w:rPr>
        <w:t>一、项目名称</w:t>
      </w:r>
    </w:p>
    <w:p>
      <w:pPr>
        <w:spacing w:line="360" w:lineRule="auto"/>
        <w:rPr>
          <w:rFonts w:ascii="宋体" w:hAnsi="宋体" w:cs="宋体"/>
          <w:szCs w:val="21"/>
        </w:rPr>
      </w:pPr>
      <w:r>
        <w:rPr>
          <w:rFonts w:hint="eastAsia" w:ascii="宋体" w:hAnsi="宋体" w:cs="宋体"/>
          <w:kern w:val="0"/>
          <w:szCs w:val="21"/>
        </w:rPr>
        <w:t>项目名称</w:t>
      </w:r>
      <w:r>
        <w:rPr>
          <w:rFonts w:hint="eastAsia" w:ascii="宋体" w:hAnsi="宋体" w:cs="宋体"/>
          <w:szCs w:val="21"/>
        </w:rPr>
        <w:t>：江苏有线</w:t>
      </w:r>
      <w:r>
        <w:rPr>
          <w:rFonts w:hint="eastAsia"/>
          <w:bCs/>
          <w:szCs w:val="21"/>
        </w:rPr>
        <w:t>泰州分公司</w:t>
      </w:r>
      <w:r>
        <w:rPr>
          <w:rFonts w:hint="eastAsia" w:ascii="宋体" w:hAnsi="宋体" w:cs="宋体"/>
          <w:szCs w:val="21"/>
        </w:rPr>
        <w:t>机房动环及监控系统升级</w:t>
      </w:r>
    </w:p>
    <w:p>
      <w:pPr>
        <w:spacing w:line="360" w:lineRule="auto"/>
        <w:rPr>
          <w:rFonts w:ascii="宋体" w:hAnsi="宋体" w:cs="宋体"/>
          <w:szCs w:val="21"/>
        </w:rPr>
      </w:pPr>
      <w:r>
        <w:rPr>
          <w:rFonts w:hint="eastAsia" w:ascii="宋体" w:hAnsi="宋体" w:cs="宋体"/>
          <w:szCs w:val="21"/>
        </w:rPr>
        <w:t>采购方：江苏有线泰州分公司</w:t>
      </w:r>
    </w:p>
    <w:p>
      <w:pPr>
        <w:spacing w:line="360" w:lineRule="auto"/>
        <w:rPr>
          <w:rFonts w:ascii="宋体" w:hAnsi="宋体" w:cs="宋体"/>
          <w:b/>
          <w:bCs/>
          <w:kern w:val="0"/>
          <w:sz w:val="24"/>
        </w:rPr>
      </w:pPr>
      <w:r>
        <w:rPr>
          <w:rFonts w:hint="eastAsia" w:ascii="宋体" w:hAnsi="宋体" w:cs="宋体"/>
          <w:b/>
          <w:bCs/>
          <w:kern w:val="0"/>
          <w:sz w:val="24"/>
        </w:rPr>
        <w:t>二、项目内容及相关要求</w:t>
      </w:r>
    </w:p>
    <w:p>
      <w:pPr>
        <w:spacing w:line="360" w:lineRule="auto"/>
        <w:ind w:firstLine="630" w:firstLineChars="300"/>
        <w:rPr>
          <w:bCs/>
          <w:szCs w:val="21"/>
        </w:rPr>
      </w:pPr>
      <w:r>
        <w:rPr>
          <w:rFonts w:hint="eastAsia"/>
          <w:bCs/>
          <w:szCs w:val="21"/>
        </w:rPr>
        <w:t>中心机房及各乡镇机房动力环境及视频监控系统的正常运行为公司各类业务开展提供有力支撑，该系统(V6版本)由深圳市共济科技股份有限公司建设维护，自合作以来一直提供较好技术保障。该套系统软硬件运行近十年，且分机房不断</w:t>
      </w:r>
      <w:r>
        <w:rPr>
          <w:rFonts w:hint="eastAsia"/>
          <w:bCs/>
          <w:szCs w:val="21"/>
          <w:highlight w:val="yellow"/>
        </w:rPr>
        <w:t>建设增加</w:t>
      </w:r>
      <w:r>
        <w:rPr>
          <w:rFonts w:hint="eastAsia"/>
          <w:bCs/>
          <w:szCs w:val="21"/>
        </w:rPr>
        <w:t>，动环系统软硬件处理能力已严重不足，需进行升级改造。由于其他设备供应商无法匹配现有系统各机房的动环采集设备，为保障动环系统正常运行，现申请采用单一来源方式向共济科技购买新版本乡镇机房动力环境监控系统软件，并采购两个新建分机房的采集单元、温湿度传感器、门禁系统等硬件设备，以及兴化分公司5</w:t>
      </w:r>
      <w:r>
        <w:rPr>
          <w:bCs/>
          <w:szCs w:val="21"/>
        </w:rPr>
        <w:t>0</w:t>
      </w:r>
      <w:r>
        <w:rPr>
          <w:rFonts w:hint="eastAsia"/>
          <w:bCs/>
          <w:szCs w:val="21"/>
        </w:rPr>
        <w:t>个机房的动环采集套件、温湿度传感器等硬件设备。</w:t>
      </w:r>
    </w:p>
    <w:p>
      <w:pPr>
        <w:spacing w:line="360" w:lineRule="auto"/>
        <w:ind w:left="1680" w:hanging="1680" w:hangingChars="800"/>
        <w:jc w:val="left"/>
        <w:rPr>
          <w:rFonts w:ascii="宋体" w:hAnsi="宋体" w:cs="宋体"/>
          <w:kern w:val="0"/>
          <w:szCs w:val="21"/>
        </w:rPr>
      </w:pPr>
      <w:r>
        <w:rPr>
          <w:rFonts w:hint="eastAsia" w:ascii="宋体" w:hAnsi="宋体" w:cs="宋体"/>
          <w:kern w:val="0"/>
          <w:szCs w:val="21"/>
        </w:rPr>
        <w:t xml:space="preserve">项目内容： （1）江苏有线泰州分公司乡镇机房CM-DESK 机房动力环境监控系统升级，其中包括软件 </w:t>
      </w:r>
      <w:r>
        <w:rPr>
          <w:rFonts w:ascii="宋体" w:hAnsi="宋体" w:cs="宋体"/>
          <w:kern w:val="0"/>
          <w:szCs w:val="21"/>
        </w:rPr>
        <w:t xml:space="preserve">                                      </w:t>
      </w:r>
      <w:r>
        <w:rPr>
          <w:rFonts w:hint="eastAsia" w:ascii="宋体" w:hAnsi="宋体" w:cs="宋体"/>
          <w:kern w:val="0"/>
          <w:szCs w:val="21"/>
        </w:rPr>
        <w:t>部分（共济KE监控系统软件）</w:t>
      </w:r>
    </w:p>
    <w:p>
      <w:pPr>
        <w:pStyle w:val="45"/>
        <w:spacing w:line="360" w:lineRule="auto"/>
        <w:ind w:left="1680" w:hanging="1680" w:hangingChars="800"/>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（2）两个待建设的分机房动环系统硬件设备采购和调试，其中包括温湿度传感器、现场采集单元、门禁控制设备、配套开关电源模块以及开关按钮等。</w:t>
      </w:r>
    </w:p>
    <w:p>
      <w:pPr>
        <w:pStyle w:val="45"/>
        <w:spacing w:line="360" w:lineRule="auto"/>
        <w:ind w:left="1680" w:hanging="1680" w:hangingChars="800"/>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（3）兴化分公司中心机房和4</w:t>
      </w:r>
      <w:r>
        <w:rPr>
          <w:rFonts w:ascii="宋体" w:hAnsi="宋体" w:cs="宋体"/>
          <w:kern w:val="0"/>
          <w:szCs w:val="21"/>
        </w:rPr>
        <w:t>9</w:t>
      </w:r>
      <w:r>
        <w:rPr>
          <w:rFonts w:hint="eastAsia" w:ascii="宋体" w:hAnsi="宋体" w:cs="宋体"/>
          <w:kern w:val="0"/>
          <w:szCs w:val="21"/>
        </w:rPr>
        <w:t>个分机房，共计5</w:t>
      </w:r>
      <w:r>
        <w:rPr>
          <w:rFonts w:ascii="宋体" w:hAnsi="宋体" w:cs="宋体"/>
          <w:kern w:val="0"/>
          <w:szCs w:val="21"/>
        </w:rPr>
        <w:t>0</w:t>
      </w:r>
      <w:r>
        <w:rPr>
          <w:rFonts w:hint="eastAsia" w:ascii="宋体" w:hAnsi="宋体" w:cs="宋体"/>
          <w:kern w:val="0"/>
          <w:szCs w:val="21"/>
        </w:rPr>
        <w:t>个机房的动环系统硬件设备采购和调试，其中包括温湿度传感器、串口服务器、通讯转换模块、供电模块箱等。</w:t>
      </w:r>
    </w:p>
    <w:p>
      <w:pPr>
        <w:pStyle w:val="45"/>
        <w:spacing w:line="360" w:lineRule="auto"/>
        <w:ind w:left="360" w:firstLine="1050" w:firstLineChars="500"/>
        <w:rPr>
          <w:rFonts w:ascii="宋体" w:hAnsi="宋体" w:cs="宋体"/>
          <w:kern w:val="0"/>
          <w:szCs w:val="21"/>
        </w:rPr>
      </w:pPr>
      <w:r>
        <w:rPr>
          <w:rFonts w:hint="eastAsia" w:ascii="宋体" w:hAnsi="宋体" w:cs="宋体"/>
          <w:kern w:val="0"/>
          <w:szCs w:val="21"/>
        </w:rPr>
        <w:t>详细升级清单，由投标方填写。</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2、中标人应尽职尽责地做好升级维保工作，以确保邀标人的机房监控系统正常运行。</w:t>
      </w:r>
    </w:p>
    <w:p>
      <w:pPr>
        <w:pStyle w:val="32"/>
        <w:adjustRightInd w:val="0"/>
        <w:snapToGrid w:val="0"/>
        <w:spacing w:line="360" w:lineRule="auto"/>
        <w:rPr>
          <w:sz w:val="21"/>
          <w:szCs w:val="21"/>
        </w:rPr>
      </w:pPr>
      <w:r>
        <w:rPr>
          <w:rFonts w:hint="eastAsia"/>
          <w:sz w:val="21"/>
          <w:szCs w:val="21"/>
        </w:rPr>
        <w:t>3、在接到邀标人通过电话、信函、传真、电子邮件、网上提交等方式提出对其机房监控系统软硬件的升级请求后，中标人应及时予以响应。</w:t>
      </w:r>
    </w:p>
    <w:p>
      <w:pPr>
        <w:pStyle w:val="32"/>
        <w:adjustRightInd w:val="0"/>
        <w:snapToGrid w:val="0"/>
        <w:spacing w:line="360" w:lineRule="auto"/>
        <w:rPr>
          <w:sz w:val="21"/>
          <w:szCs w:val="21"/>
        </w:rPr>
      </w:pPr>
      <w:r>
        <w:rPr>
          <w:rFonts w:hint="eastAsia"/>
          <w:sz w:val="21"/>
          <w:szCs w:val="21"/>
        </w:rPr>
        <w:t>4、</w:t>
      </w:r>
      <w:r>
        <w:rPr>
          <w:rFonts w:hint="eastAsia"/>
          <w:color w:val="FF0000"/>
          <w:sz w:val="21"/>
          <w:szCs w:val="21"/>
        </w:rPr>
        <w:t>机房监控系统软硬件的安装调试后，功能上需要达到：</w:t>
      </w:r>
      <w:r>
        <w:rPr>
          <w:rFonts w:hint="eastAsia"/>
          <w:sz w:val="21"/>
          <w:szCs w:val="21"/>
        </w:rPr>
        <w:t>良好的数据采集速度、稳定的数据分析、实时故障预警以及整体系统平稳运行。对邀标人的机房监控系统的运行情况定期跟踪和巡检，以确保该系统稳定、可靠运行；对升级的设备或应用软件的运行情况进行跟踪，以确保升级后的设备和软件工作稳定、功能正常。</w:t>
      </w:r>
    </w:p>
    <w:p>
      <w:pPr>
        <w:pStyle w:val="32"/>
        <w:adjustRightInd w:val="0"/>
        <w:snapToGrid w:val="0"/>
        <w:spacing w:line="360" w:lineRule="auto"/>
        <w:rPr>
          <w:sz w:val="21"/>
          <w:szCs w:val="21"/>
        </w:rPr>
      </w:pPr>
      <w:r>
        <w:rPr>
          <w:rFonts w:hint="eastAsia"/>
          <w:sz w:val="21"/>
          <w:szCs w:val="21"/>
        </w:rPr>
        <w:t>5、中标人应保证其提供的软硬件及备品备件的正常供应和质量可靠，且满足该监控升级系统的技术</w:t>
      </w:r>
      <w:bookmarkStart w:id="4" w:name="_GoBack"/>
      <w:r>
        <w:rPr>
          <w:rFonts w:hint="eastAsia"/>
          <w:sz w:val="21"/>
          <w:szCs w:val="21"/>
          <w:highlight w:val="yellow"/>
          <w:lang w:val="en-US" w:eastAsia="zh-CN"/>
        </w:rPr>
        <w:t>要求</w:t>
      </w:r>
      <w:bookmarkEnd w:id="4"/>
      <w:r>
        <w:rPr>
          <w:rFonts w:hint="eastAsia"/>
          <w:sz w:val="21"/>
          <w:szCs w:val="21"/>
        </w:rPr>
        <w:t>。</w:t>
      </w:r>
    </w:p>
    <w:p>
      <w:pPr>
        <w:pStyle w:val="32"/>
        <w:adjustRightInd w:val="0"/>
        <w:snapToGrid w:val="0"/>
        <w:spacing w:line="360" w:lineRule="auto"/>
        <w:rPr>
          <w:sz w:val="21"/>
          <w:szCs w:val="21"/>
        </w:rPr>
      </w:pPr>
      <w:r>
        <w:rPr>
          <w:rFonts w:hint="eastAsia"/>
          <w:sz w:val="21"/>
          <w:szCs w:val="21"/>
        </w:rPr>
        <w:t>6、规范和功能要求：中标人对邀标人系统或设备进行故障处理时，应携带必要的软件、备品备件和工具，以保证故障能及时得到解决。</w:t>
      </w:r>
    </w:p>
    <w:p>
      <w:pPr>
        <w:pStyle w:val="9"/>
        <w:adjustRightInd w:val="0"/>
        <w:snapToGrid w:val="0"/>
        <w:spacing w:line="360" w:lineRule="auto"/>
        <w:ind w:firstLine="0"/>
        <w:jc w:val="left"/>
        <w:rPr>
          <w:rFonts w:hAnsi="宋体" w:cs="宋体"/>
          <w:kern w:val="0"/>
          <w:sz w:val="21"/>
          <w:szCs w:val="21"/>
        </w:rPr>
      </w:pPr>
      <w:r>
        <w:rPr>
          <w:rFonts w:hint="eastAsia" w:hAnsi="宋体" w:cs="宋体"/>
          <w:kern w:val="0"/>
          <w:sz w:val="21"/>
          <w:szCs w:val="21"/>
        </w:rPr>
        <w:t>7、维保期内软件、硬件故障免费维修（人为原因损坏或被盗除外）。</w:t>
      </w:r>
    </w:p>
    <w:p>
      <w:pPr>
        <w:pStyle w:val="9"/>
        <w:adjustRightInd w:val="0"/>
        <w:snapToGrid w:val="0"/>
        <w:spacing w:line="360" w:lineRule="auto"/>
        <w:ind w:firstLine="0"/>
        <w:jc w:val="left"/>
        <w:rPr>
          <w:rFonts w:hAnsi="宋体" w:cs="宋体"/>
          <w:kern w:val="0"/>
          <w:sz w:val="21"/>
          <w:szCs w:val="21"/>
        </w:rPr>
      </w:pPr>
      <w:r>
        <w:rPr>
          <w:rFonts w:hAnsi="宋体" w:cs="宋体"/>
          <w:kern w:val="0"/>
          <w:sz w:val="21"/>
          <w:szCs w:val="21"/>
        </w:rPr>
        <w:t>8.</w:t>
      </w:r>
      <w:r>
        <w:rPr>
          <w:rFonts w:hint="eastAsia" w:hAnsi="宋体" w:cs="宋体"/>
          <w:kern w:val="0"/>
          <w:sz w:val="21"/>
          <w:szCs w:val="21"/>
        </w:rPr>
        <w:t>最高限价为</w:t>
      </w:r>
      <w:r>
        <w:rPr>
          <w:rFonts w:hAnsi="宋体" w:cs="宋体"/>
          <w:kern w:val="0"/>
          <w:sz w:val="21"/>
          <w:szCs w:val="21"/>
        </w:rPr>
        <w:t>100000.00</w:t>
      </w:r>
      <w:r>
        <w:rPr>
          <w:rFonts w:hint="eastAsia" w:hAnsi="宋体" w:cs="宋体"/>
          <w:kern w:val="0"/>
          <w:sz w:val="21"/>
          <w:szCs w:val="21"/>
        </w:rPr>
        <w:t>元人民币</w:t>
      </w:r>
    </w:p>
    <w:p>
      <w:pPr>
        <w:spacing w:line="360" w:lineRule="auto"/>
        <w:rPr>
          <w:rFonts w:ascii="宋体" w:hAnsi="宋体" w:cs="宋体"/>
          <w:b/>
          <w:bCs/>
          <w:kern w:val="0"/>
          <w:sz w:val="24"/>
        </w:rPr>
      </w:pPr>
      <w:r>
        <w:rPr>
          <w:rFonts w:hint="eastAsia" w:ascii="宋体" w:hAnsi="宋体" w:cs="宋体"/>
          <w:b/>
          <w:bCs/>
          <w:kern w:val="0"/>
          <w:sz w:val="24"/>
        </w:rPr>
        <w:t>三、谈判文件</w:t>
      </w:r>
    </w:p>
    <w:p>
      <w:pPr>
        <w:spacing w:line="360" w:lineRule="auto"/>
        <w:rPr>
          <w:b/>
          <w:bCs/>
          <w:szCs w:val="21"/>
        </w:rPr>
      </w:pPr>
      <w:r>
        <w:rPr>
          <w:rFonts w:ascii="宋体" w:hAnsi="宋体" w:cs="宋体"/>
          <w:b/>
          <w:bCs/>
          <w:kern w:val="0"/>
          <w:szCs w:val="21"/>
        </w:rPr>
        <w:t xml:space="preserve">1. </w:t>
      </w:r>
      <w:r>
        <w:rPr>
          <w:rFonts w:hint="eastAsia" w:ascii="宋体" w:hAnsi="宋体" w:cs="宋体"/>
          <w:b/>
          <w:bCs/>
          <w:kern w:val="0"/>
          <w:szCs w:val="21"/>
        </w:rPr>
        <w:t>响应文件的</w:t>
      </w:r>
      <w:r>
        <w:rPr>
          <w:rFonts w:ascii="宋体" w:hAnsi="宋体" w:cs="宋体"/>
          <w:b/>
          <w:bCs/>
          <w:kern w:val="0"/>
          <w:szCs w:val="21"/>
        </w:rPr>
        <w:t>构成</w:t>
      </w:r>
      <w:r>
        <w:rPr>
          <w:rFonts w:hint="eastAsia" w:ascii="宋体" w:hAnsi="宋体" w:cs="宋体"/>
          <w:b/>
          <w:bCs/>
          <w:kern w:val="0"/>
          <w:szCs w:val="21"/>
        </w:rPr>
        <w:t>：</w:t>
      </w:r>
    </w:p>
    <w:p>
      <w:pPr>
        <w:pStyle w:val="32"/>
        <w:adjustRightInd w:val="0"/>
        <w:snapToGrid w:val="0"/>
        <w:spacing w:line="360" w:lineRule="auto"/>
        <w:ind w:right="-109" w:firstLine="420" w:firstLineChars="200"/>
        <w:rPr>
          <w:sz w:val="21"/>
          <w:szCs w:val="21"/>
        </w:rPr>
      </w:pPr>
      <w:r>
        <w:rPr>
          <w:rFonts w:hint="eastAsia"/>
          <w:sz w:val="21"/>
          <w:szCs w:val="21"/>
        </w:rPr>
        <w:t>报价表；</w:t>
      </w:r>
    </w:p>
    <w:p>
      <w:pPr>
        <w:pStyle w:val="32"/>
        <w:adjustRightInd w:val="0"/>
        <w:snapToGrid w:val="0"/>
        <w:spacing w:line="360" w:lineRule="auto"/>
        <w:ind w:right="-109" w:firstLine="420" w:firstLineChars="200"/>
        <w:rPr>
          <w:sz w:val="21"/>
          <w:szCs w:val="21"/>
        </w:rPr>
      </w:pPr>
      <w:r>
        <w:rPr>
          <w:rFonts w:hint="eastAsia"/>
          <w:sz w:val="21"/>
          <w:szCs w:val="21"/>
        </w:rPr>
        <w:t>法定代表人授权书（格式后附） ；</w:t>
      </w:r>
    </w:p>
    <w:p>
      <w:pPr>
        <w:pStyle w:val="32"/>
        <w:adjustRightInd w:val="0"/>
        <w:snapToGrid w:val="0"/>
        <w:spacing w:line="360" w:lineRule="auto"/>
        <w:ind w:right="-109" w:firstLine="420" w:firstLineChars="200"/>
        <w:rPr>
          <w:sz w:val="21"/>
          <w:szCs w:val="21"/>
        </w:rPr>
      </w:pPr>
      <w:r>
        <w:rPr>
          <w:rFonts w:hint="eastAsia"/>
          <w:sz w:val="21"/>
          <w:szCs w:val="21"/>
        </w:rPr>
        <w:t>营业执照复印件；</w:t>
      </w:r>
    </w:p>
    <w:p>
      <w:pPr>
        <w:pStyle w:val="32"/>
        <w:adjustRightInd w:val="0"/>
        <w:snapToGrid w:val="0"/>
        <w:spacing w:line="360" w:lineRule="auto"/>
        <w:ind w:right="-109" w:firstLine="420" w:firstLineChars="200"/>
        <w:rPr>
          <w:sz w:val="21"/>
          <w:szCs w:val="21"/>
        </w:rPr>
      </w:pPr>
      <w:r>
        <w:rPr>
          <w:rFonts w:hint="eastAsia"/>
          <w:sz w:val="21"/>
          <w:szCs w:val="21"/>
        </w:rPr>
        <w:t>法人和委托人身份证复印件：</w:t>
      </w:r>
    </w:p>
    <w:p>
      <w:pPr>
        <w:pStyle w:val="32"/>
        <w:adjustRightInd w:val="0"/>
        <w:snapToGrid w:val="0"/>
        <w:spacing w:line="360" w:lineRule="auto"/>
        <w:ind w:firstLine="420" w:firstLineChars="200"/>
        <w:rPr>
          <w:sz w:val="21"/>
          <w:szCs w:val="21"/>
        </w:rPr>
      </w:pPr>
      <w:r>
        <w:rPr>
          <w:rFonts w:hint="eastAsia"/>
          <w:sz w:val="21"/>
          <w:szCs w:val="21"/>
        </w:rPr>
        <w:t>以上文件需加盖公章。</w:t>
      </w:r>
    </w:p>
    <w:p>
      <w:pPr>
        <w:spacing w:line="360" w:lineRule="auto"/>
        <w:rPr>
          <w:rFonts w:ascii="宋体" w:hAnsi="宋体" w:cs="宋体"/>
          <w:b/>
          <w:bCs/>
          <w:kern w:val="0"/>
          <w:szCs w:val="21"/>
        </w:rPr>
      </w:pPr>
      <w:r>
        <w:rPr>
          <w:rFonts w:hint="eastAsia" w:ascii="宋体" w:hAnsi="宋体" w:cs="宋体"/>
          <w:b/>
          <w:bCs/>
          <w:kern w:val="0"/>
          <w:szCs w:val="21"/>
        </w:rPr>
        <w:t>2</w:t>
      </w:r>
      <w:r>
        <w:rPr>
          <w:rFonts w:ascii="宋体" w:hAnsi="宋体" w:cs="宋体"/>
          <w:b/>
          <w:bCs/>
          <w:kern w:val="0"/>
          <w:szCs w:val="21"/>
        </w:rPr>
        <w:t xml:space="preserve">. </w:t>
      </w:r>
      <w:r>
        <w:rPr>
          <w:rFonts w:hint="eastAsia" w:ascii="宋体" w:hAnsi="宋体" w:cs="宋体"/>
          <w:b/>
          <w:bCs/>
          <w:kern w:val="0"/>
          <w:szCs w:val="21"/>
        </w:rPr>
        <w:t>谈判响应时间与地点：</w:t>
      </w:r>
    </w:p>
    <w:p>
      <w:pPr>
        <w:pStyle w:val="32"/>
        <w:adjustRightInd w:val="0"/>
        <w:snapToGrid w:val="0"/>
        <w:spacing w:line="360" w:lineRule="auto"/>
        <w:ind w:right="-108" w:firstLine="420"/>
        <w:rPr>
          <w:sz w:val="21"/>
          <w:szCs w:val="21"/>
        </w:rPr>
      </w:pPr>
      <w:r>
        <w:rPr>
          <w:rFonts w:hint="eastAsia"/>
          <w:sz w:val="21"/>
          <w:szCs w:val="21"/>
        </w:rPr>
        <w:t>请你公司</w:t>
      </w:r>
      <w:r>
        <w:rPr>
          <w:rFonts w:hint="eastAsia"/>
          <w:bCs/>
          <w:sz w:val="21"/>
          <w:szCs w:val="21"/>
        </w:rPr>
        <w:t>于</w:t>
      </w:r>
      <w:r>
        <w:rPr>
          <w:rFonts w:hint="eastAsia"/>
          <w:bCs/>
          <w:color w:val="FF0000"/>
          <w:sz w:val="21"/>
          <w:szCs w:val="21"/>
        </w:rPr>
        <w:t>20</w:t>
      </w:r>
      <w:r>
        <w:rPr>
          <w:bCs/>
          <w:color w:val="FF0000"/>
          <w:sz w:val="21"/>
          <w:szCs w:val="21"/>
        </w:rPr>
        <w:t>23</w:t>
      </w:r>
      <w:r>
        <w:rPr>
          <w:rFonts w:hint="eastAsia"/>
          <w:bCs/>
          <w:color w:val="FF0000"/>
          <w:sz w:val="21"/>
          <w:szCs w:val="21"/>
        </w:rPr>
        <w:t>年</w:t>
      </w:r>
      <w:r>
        <w:rPr>
          <w:bCs/>
          <w:color w:val="FF0000"/>
          <w:sz w:val="21"/>
          <w:szCs w:val="21"/>
        </w:rPr>
        <w:t xml:space="preserve"> 5</w:t>
      </w:r>
      <w:r>
        <w:rPr>
          <w:rFonts w:hint="eastAsia"/>
          <w:bCs/>
          <w:color w:val="FF0000"/>
          <w:sz w:val="21"/>
          <w:szCs w:val="21"/>
        </w:rPr>
        <w:t>月</w:t>
      </w:r>
      <w:r>
        <w:rPr>
          <w:bCs/>
          <w:color w:val="FF0000"/>
          <w:sz w:val="21"/>
          <w:szCs w:val="21"/>
        </w:rPr>
        <w:t xml:space="preserve"> 25 </w:t>
      </w:r>
      <w:r>
        <w:rPr>
          <w:rFonts w:hint="eastAsia"/>
          <w:bCs/>
          <w:color w:val="FF0000"/>
          <w:sz w:val="21"/>
          <w:szCs w:val="21"/>
        </w:rPr>
        <w:t>日</w:t>
      </w:r>
      <w:r>
        <w:rPr>
          <w:bCs/>
          <w:color w:val="FF0000"/>
          <w:sz w:val="21"/>
          <w:szCs w:val="21"/>
        </w:rPr>
        <w:t xml:space="preserve"> 18 </w:t>
      </w:r>
      <w:r>
        <w:rPr>
          <w:rFonts w:hint="eastAsia"/>
          <w:bCs/>
          <w:color w:val="FF0000"/>
          <w:sz w:val="21"/>
          <w:szCs w:val="21"/>
        </w:rPr>
        <w:t>时</w:t>
      </w:r>
      <w:r>
        <w:rPr>
          <w:rFonts w:hint="eastAsia"/>
          <w:bCs/>
          <w:sz w:val="21"/>
          <w:szCs w:val="21"/>
        </w:rPr>
        <w:t>前将响应文件密封盖公司启封章后邮寄或送达江苏省广电有线信息网络股份有限公司泰州分公司（泰州市海陵区梅兰东路99号），</w:t>
      </w:r>
      <w:r>
        <w:rPr>
          <w:rFonts w:hint="eastAsia"/>
          <w:sz w:val="21"/>
          <w:szCs w:val="21"/>
          <w:lang w:val="zh-CN"/>
        </w:rPr>
        <w:t>现场或者远程在线</w:t>
      </w:r>
      <w:r>
        <w:rPr>
          <w:sz w:val="21"/>
          <w:szCs w:val="21"/>
          <w:lang w:val="zh-CN"/>
        </w:rPr>
        <w:t>提交</w:t>
      </w:r>
      <w:r>
        <w:rPr>
          <w:rFonts w:hint="eastAsia"/>
          <w:sz w:val="21"/>
          <w:szCs w:val="21"/>
          <w:lang w:val="zh-CN"/>
        </w:rPr>
        <w:t>报价</w:t>
      </w:r>
      <w:r>
        <w:rPr>
          <w:sz w:val="21"/>
          <w:szCs w:val="21"/>
          <w:lang w:val="zh-CN"/>
        </w:rPr>
        <w:t>，并参与</w:t>
      </w:r>
      <w:r>
        <w:rPr>
          <w:rFonts w:hint="eastAsia"/>
          <w:sz w:val="21"/>
          <w:szCs w:val="21"/>
          <w:lang w:val="zh-CN"/>
        </w:rPr>
        <w:t>采购</w:t>
      </w:r>
      <w:r>
        <w:rPr>
          <w:sz w:val="21"/>
          <w:szCs w:val="21"/>
          <w:lang w:val="zh-CN"/>
        </w:rPr>
        <w:t>谈判</w:t>
      </w:r>
      <w:r>
        <w:rPr>
          <w:rFonts w:hint="eastAsia"/>
          <w:sz w:val="21"/>
          <w:szCs w:val="21"/>
        </w:rPr>
        <w:t>。</w:t>
      </w:r>
    </w:p>
    <w:p>
      <w:pPr>
        <w:pStyle w:val="32"/>
        <w:adjustRightInd w:val="0"/>
        <w:snapToGrid w:val="0"/>
        <w:spacing w:line="360" w:lineRule="auto"/>
        <w:ind w:right="-109" w:firstLine="420"/>
        <w:rPr>
          <w:sz w:val="21"/>
          <w:szCs w:val="21"/>
        </w:rPr>
      </w:pPr>
      <w:r>
        <w:rPr>
          <w:rFonts w:hint="eastAsia"/>
          <w:sz w:val="21"/>
          <w:szCs w:val="21"/>
        </w:rPr>
        <w:t>项目商务联系人：李先生  电话：</w:t>
      </w:r>
      <w:r>
        <w:rPr>
          <w:sz w:val="21"/>
          <w:szCs w:val="21"/>
        </w:rPr>
        <w:t>15052813300</w:t>
      </w:r>
    </w:p>
    <w:p>
      <w:pPr>
        <w:pStyle w:val="32"/>
        <w:adjustRightInd w:val="0"/>
        <w:snapToGrid w:val="0"/>
        <w:spacing w:line="360" w:lineRule="auto"/>
        <w:ind w:right="-109" w:firstLine="420"/>
        <w:rPr>
          <w:color w:val="FF0000"/>
          <w:sz w:val="21"/>
          <w:szCs w:val="21"/>
        </w:rPr>
      </w:pPr>
      <w:r>
        <w:rPr>
          <w:rFonts w:hint="eastAsia"/>
          <w:sz w:val="21"/>
          <w:szCs w:val="21"/>
        </w:rPr>
        <w:t>项目技术联系人：</w:t>
      </w:r>
      <w:r>
        <w:rPr>
          <w:rFonts w:hint="eastAsia"/>
          <w:color w:val="FF0000"/>
          <w:sz w:val="21"/>
          <w:szCs w:val="21"/>
        </w:rPr>
        <w:t xml:space="preserve">朱先生 </w:t>
      </w:r>
      <w:r>
        <w:rPr>
          <w:color w:val="FF0000"/>
          <w:sz w:val="21"/>
          <w:szCs w:val="21"/>
        </w:rPr>
        <w:t xml:space="preserve">  </w:t>
      </w:r>
      <w:r>
        <w:rPr>
          <w:rFonts w:hint="eastAsia"/>
          <w:color w:val="FF0000"/>
          <w:sz w:val="21"/>
          <w:szCs w:val="21"/>
        </w:rPr>
        <w:t>电话：</w:t>
      </w:r>
      <w:r>
        <w:rPr>
          <w:color w:val="FF0000"/>
          <w:sz w:val="21"/>
          <w:szCs w:val="21"/>
        </w:rPr>
        <w:t>13852615692</w:t>
      </w:r>
    </w:p>
    <w:p>
      <w:pPr>
        <w:pStyle w:val="32"/>
        <w:adjustRightInd w:val="0"/>
        <w:snapToGrid w:val="0"/>
        <w:spacing w:line="360" w:lineRule="auto"/>
        <w:jc w:val="right"/>
      </w:pPr>
    </w:p>
    <w:p>
      <w:pPr>
        <w:pStyle w:val="32"/>
        <w:adjustRightInd w:val="0"/>
        <w:snapToGrid w:val="0"/>
        <w:spacing w:line="360" w:lineRule="auto"/>
        <w:jc w:val="right"/>
      </w:pPr>
    </w:p>
    <w:p>
      <w:pPr>
        <w:pStyle w:val="32"/>
        <w:adjustRightInd w:val="0"/>
        <w:snapToGrid w:val="0"/>
        <w:spacing w:line="360" w:lineRule="auto"/>
        <w:jc w:val="right"/>
      </w:pPr>
    </w:p>
    <w:p>
      <w:pPr>
        <w:pStyle w:val="32"/>
        <w:adjustRightInd w:val="0"/>
        <w:snapToGrid w:val="0"/>
        <w:spacing w:line="360" w:lineRule="auto"/>
        <w:jc w:val="right"/>
      </w:pPr>
    </w:p>
    <w:p>
      <w:pPr>
        <w:pStyle w:val="32"/>
        <w:adjustRightInd w:val="0"/>
        <w:snapToGrid w:val="0"/>
        <w:spacing w:line="360" w:lineRule="auto"/>
        <w:jc w:val="right"/>
      </w:pPr>
    </w:p>
    <w:p>
      <w:pPr>
        <w:pStyle w:val="32"/>
        <w:adjustRightInd w:val="0"/>
        <w:snapToGrid w:val="0"/>
        <w:spacing w:line="360" w:lineRule="auto"/>
        <w:jc w:val="right"/>
      </w:pPr>
    </w:p>
    <w:p>
      <w:pPr>
        <w:pStyle w:val="32"/>
        <w:adjustRightInd w:val="0"/>
        <w:snapToGrid w:val="0"/>
        <w:spacing w:line="360" w:lineRule="auto"/>
        <w:jc w:val="right"/>
      </w:pPr>
    </w:p>
    <w:p>
      <w:pPr>
        <w:pStyle w:val="32"/>
        <w:adjustRightInd w:val="0"/>
        <w:snapToGrid w:val="0"/>
        <w:spacing w:line="360" w:lineRule="auto"/>
        <w:jc w:val="right"/>
      </w:pPr>
    </w:p>
    <w:p>
      <w:pPr>
        <w:pStyle w:val="32"/>
        <w:adjustRightInd w:val="0"/>
        <w:snapToGrid w:val="0"/>
        <w:spacing w:line="360" w:lineRule="auto"/>
        <w:jc w:val="right"/>
      </w:pPr>
    </w:p>
    <w:p>
      <w:pPr>
        <w:pStyle w:val="32"/>
        <w:adjustRightInd w:val="0"/>
        <w:snapToGrid w:val="0"/>
        <w:spacing w:line="360" w:lineRule="auto"/>
        <w:jc w:val="right"/>
      </w:pPr>
    </w:p>
    <w:p>
      <w:pPr>
        <w:pStyle w:val="32"/>
        <w:adjustRightInd w:val="0"/>
        <w:snapToGrid w:val="0"/>
        <w:spacing w:line="360" w:lineRule="auto"/>
        <w:jc w:val="right"/>
      </w:pPr>
    </w:p>
    <w:p>
      <w:pPr>
        <w:pStyle w:val="32"/>
        <w:adjustRightInd w:val="0"/>
        <w:snapToGrid w:val="0"/>
        <w:spacing w:line="360" w:lineRule="auto"/>
        <w:jc w:val="center"/>
      </w:pPr>
      <w:r>
        <w:rPr>
          <w:rFonts w:hint="eastAsia"/>
        </w:rPr>
        <w:t xml:space="preserve"> </w:t>
      </w:r>
      <w:r>
        <w:t xml:space="preserve">                        </w:t>
      </w:r>
      <w:r>
        <w:rPr>
          <w:rFonts w:hint="eastAsia"/>
        </w:rPr>
        <w:t>江苏省广电有线信息网络股份有线公司</w:t>
      </w:r>
    </w:p>
    <w:p>
      <w:pPr>
        <w:pStyle w:val="32"/>
        <w:adjustRightInd w:val="0"/>
        <w:snapToGrid w:val="0"/>
        <w:spacing w:line="360" w:lineRule="auto"/>
        <w:jc w:val="center"/>
      </w:pPr>
      <w:r>
        <w:rPr>
          <w:rFonts w:hint="eastAsia"/>
        </w:rPr>
        <w:t xml:space="preserve"> </w:t>
      </w:r>
      <w:r>
        <w:t xml:space="preserve">                                </w:t>
      </w:r>
      <w:r>
        <w:rPr>
          <w:rFonts w:hint="eastAsia"/>
        </w:rPr>
        <w:t>泰州分公司</w:t>
      </w:r>
    </w:p>
    <w:p>
      <w:pPr>
        <w:pStyle w:val="32"/>
        <w:adjustRightInd w:val="0"/>
        <w:snapToGrid w:val="0"/>
        <w:spacing w:line="360" w:lineRule="auto"/>
        <w:ind w:firstLine="6000" w:firstLineChars="2500"/>
        <w:jc w:val="both"/>
      </w:pPr>
      <w:r>
        <w:rPr>
          <w:rFonts w:hint="eastAsia"/>
        </w:rPr>
        <w:t>202</w:t>
      </w:r>
      <w:r>
        <w:t>3</w:t>
      </w:r>
      <w:r>
        <w:rPr>
          <w:rFonts w:hint="eastAsia"/>
        </w:rPr>
        <w:t>年</w:t>
      </w:r>
      <w:r>
        <w:t>5</w:t>
      </w:r>
      <w:r>
        <w:rPr>
          <w:rFonts w:hint="eastAsia"/>
        </w:rPr>
        <w:t>月</w:t>
      </w:r>
      <w:r>
        <w:t>15</w:t>
      </w:r>
      <w:r>
        <w:rPr>
          <w:rFonts w:hint="eastAsia"/>
        </w:rPr>
        <w:t>日</w:t>
      </w:r>
    </w:p>
    <w:p>
      <w:pPr>
        <w:spacing w:after="312" w:afterLines="100" w:line="640" w:lineRule="exact"/>
        <w:jc w:val="center"/>
        <w:rPr>
          <w:rFonts w:ascii="宋体" w:hAnsi="宋体"/>
          <w:b/>
          <w:sz w:val="44"/>
          <w:szCs w:val="44"/>
        </w:rPr>
      </w:pPr>
    </w:p>
    <w:p>
      <w:pPr>
        <w:spacing w:after="312" w:afterLines="100" w:line="640" w:lineRule="exact"/>
        <w:jc w:val="center"/>
        <w:rPr>
          <w:rFonts w:ascii="宋体" w:hAnsi="宋体"/>
          <w:b/>
          <w:sz w:val="44"/>
          <w:szCs w:val="44"/>
        </w:rPr>
      </w:pPr>
      <w:r>
        <w:rPr>
          <w:rFonts w:hint="eastAsia" w:ascii="宋体" w:hAnsi="宋体"/>
          <w:b/>
          <w:sz w:val="44"/>
          <w:szCs w:val="44"/>
        </w:rPr>
        <w:t>法人授权委托书格式</w:t>
      </w:r>
    </w:p>
    <w:p>
      <w:pPr>
        <w:pStyle w:val="10"/>
        <w:spacing w:line="500" w:lineRule="exact"/>
        <w:rPr>
          <w:rFonts w:ascii="仿宋_GB2312" w:hAnsi="Times New Roman" w:eastAsia="仿宋_GB2312"/>
          <w:b/>
          <w:sz w:val="24"/>
          <w:u w:val="single"/>
        </w:rPr>
      </w:pPr>
      <w:r>
        <w:rPr>
          <w:rFonts w:hint="eastAsia" w:ascii="仿宋_GB2312" w:hAnsi="宋体" w:eastAsia="仿宋_GB2312"/>
          <w:sz w:val="24"/>
          <w:u w:val="single"/>
        </w:rPr>
        <w:t>江苏省广电有线信息网络股份有限公司泰州分公司</w:t>
      </w:r>
      <w:r>
        <w:rPr>
          <w:rFonts w:hint="eastAsia" w:ascii="仿宋_GB2312" w:hAnsi="Times New Roman" w:eastAsia="仿宋_GB2312"/>
          <w:sz w:val="24"/>
          <w:u w:val="single"/>
        </w:rPr>
        <w:t>：</w:t>
      </w:r>
    </w:p>
    <w:p>
      <w:pPr>
        <w:pStyle w:val="10"/>
        <w:spacing w:line="500" w:lineRule="exact"/>
        <w:ind w:firstLine="420"/>
        <w:rPr>
          <w:rFonts w:ascii="仿宋_GB2312" w:hAnsi="Times New Roman" w:eastAsia="仿宋_GB2312"/>
          <w:sz w:val="24"/>
        </w:rPr>
      </w:pPr>
    </w:p>
    <w:p>
      <w:pPr>
        <w:pStyle w:val="10"/>
        <w:spacing w:line="500" w:lineRule="exact"/>
        <w:ind w:firstLine="420"/>
        <w:rPr>
          <w:rFonts w:ascii="仿宋_GB2312" w:hAnsi="Times New Roman" w:eastAsia="仿宋_GB2312"/>
          <w:sz w:val="24"/>
        </w:rPr>
      </w:pPr>
      <w:r>
        <w:rPr>
          <w:rFonts w:hint="eastAsia" w:ascii="仿宋_GB2312" w:hAnsi="Times New Roman" w:eastAsia="仿宋_GB2312"/>
          <w:sz w:val="24"/>
        </w:rPr>
        <w:t>本授权书声明：注册为</w:t>
      </w:r>
      <w:r>
        <w:rPr>
          <w:rFonts w:hint="eastAsia" w:ascii="仿宋_GB2312" w:hAnsi="Times New Roman" w:eastAsia="仿宋_GB2312"/>
          <w:sz w:val="24"/>
          <w:u w:val="single"/>
        </w:rPr>
        <w:t xml:space="preserve">        </w:t>
      </w:r>
      <w:r>
        <w:rPr>
          <w:rFonts w:ascii="仿宋_GB2312" w:hAnsi="Times New Roman" w:eastAsia="仿宋_GB2312"/>
          <w:sz w:val="24"/>
          <w:u w:val="single"/>
        </w:rPr>
        <w:t xml:space="preserve">       </w:t>
      </w:r>
      <w:r>
        <w:rPr>
          <w:rFonts w:hint="eastAsia" w:ascii="仿宋_GB2312" w:hAnsi="Times New Roman" w:eastAsia="仿宋_GB2312"/>
          <w:sz w:val="24"/>
          <w:u w:val="single"/>
        </w:rPr>
        <w:t xml:space="preserve">     （委托单位全称） </w:t>
      </w:r>
      <w:r>
        <w:rPr>
          <w:rFonts w:hint="eastAsia" w:ascii="仿宋_GB2312" w:hAnsi="Times New Roman" w:eastAsia="仿宋_GB2312"/>
          <w:sz w:val="24"/>
        </w:rPr>
        <w:t>的法人代表代表本公司授权</w:t>
      </w:r>
      <w:r>
        <w:rPr>
          <w:rFonts w:hint="eastAsia" w:ascii="仿宋_GB2312" w:hAnsi="Times New Roman" w:eastAsia="仿宋_GB2312"/>
          <w:sz w:val="24"/>
          <w:u w:val="single"/>
        </w:rPr>
        <w:t xml:space="preserve">               （姓名和职务）</w:t>
      </w:r>
      <w:r>
        <w:rPr>
          <w:rFonts w:hint="eastAsia" w:ascii="仿宋_GB2312" w:hAnsi="Times New Roman" w:eastAsia="仿宋_GB2312"/>
          <w:sz w:val="24"/>
        </w:rPr>
        <w:t>为本公司合法代理人，就贵方组织的有关</w:t>
      </w:r>
      <w:r>
        <w:rPr>
          <w:rFonts w:hint="eastAsia" w:ascii="仿宋_GB2312" w:hAnsi="Times New Roman" w:eastAsia="仿宋_GB2312"/>
          <w:sz w:val="24"/>
          <w:u w:val="single"/>
        </w:rPr>
        <w:t xml:space="preserve">                   （项目名称）项目</w:t>
      </w:r>
      <w:r>
        <w:rPr>
          <w:rFonts w:hint="eastAsia" w:ascii="仿宋_GB2312" w:hAnsi="Times New Roman" w:eastAsia="仿宋_GB2312"/>
          <w:sz w:val="24"/>
        </w:rPr>
        <w:t>（采购编号：</w:t>
      </w:r>
      <w:r>
        <w:rPr>
          <w:rFonts w:hint="eastAsia" w:ascii="仿宋_GB2312" w:hAnsi="Times New Roman" w:eastAsia="仿宋_GB2312"/>
          <w:sz w:val="24"/>
          <w:u w:val="single"/>
        </w:rPr>
        <w:t xml:space="preserve">                  </w:t>
      </w:r>
      <w:r>
        <w:rPr>
          <w:rFonts w:hint="eastAsia" w:ascii="仿宋_GB2312" w:hAnsi="Times New Roman" w:eastAsia="仿宋_GB2312"/>
          <w:sz w:val="24"/>
        </w:rPr>
        <w:t>）的合同投标及合同的执行、完成，以本单位名义处理一切与之有关的事务。</w:t>
      </w:r>
    </w:p>
    <w:p>
      <w:pPr>
        <w:pStyle w:val="10"/>
        <w:spacing w:line="500" w:lineRule="exact"/>
        <w:ind w:firstLine="420"/>
        <w:rPr>
          <w:rFonts w:ascii="仿宋_GB2312" w:hAnsi="Times New Roman" w:eastAsia="仿宋_GB2312"/>
          <w:sz w:val="24"/>
        </w:rPr>
      </w:pPr>
      <w:r>
        <w:rPr>
          <w:rFonts w:hint="eastAsia" w:ascii="仿宋_GB2312" w:hAnsi="Times New Roman" w:eastAsia="仿宋_GB2312"/>
          <w:sz w:val="24"/>
        </w:rPr>
        <w:t>本授权书于</w:t>
      </w:r>
      <w:r>
        <w:rPr>
          <w:rFonts w:hint="eastAsia" w:ascii="仿宋_GB2312" w:eastAsia="仿宋_GB2312"/>
          <w:spacing w:val="10"/>
          <w:sz w:val="24"/>
          <w:u w:val="single"/>
        </w:rPr>
        <w:t xml:space="preserve">     </w:t>
      </w:r>
      <w:r>
        <w:rPr>
          <w:rFonts w:hint="eastAsia" w:ascii="仿宋_GB2312" w:hAnsi="Times New Roman" w:eastAsia="仿宋_GB2312"/>
          <w:sz w:val="24"/>
        </w:rPr>
        <w:t>年</w:t>
      </w:r>
      <w:r>
        <w:rPr>
          <w:rFonts w:hint="eastAsia" w:ascii="仿宋_GB2312" w:eastAsia="仿宋_GB2312"/>
          <w:spacing w:val="10"/>
          <w:sz w:val="24"/>
          <w:u w:val="single"/>
        </w:rPr>
        <w:t xml:space="preserve">  </w:t>
      </w:r>
      <w:r>
        <w:rPr>
          <w:rFonts w:hint="eastAsia" w:ascii="仿宋_GB2312" w:hAnsi="Times New Roman" w:eastAsia="仿宋_GB2312"/>
          <w:sz w:val="24"/>
        </w:rPr>
        <w:t>月</w:t>
      </w:r>
      <w:r>
        <w:rPr>
          <w:rFonts w:hint="eastAsia" w:ascii="仿宋_GB2312" w:eastAsia="仿宋_GB2312"/>
          <w:spacing w:val="10"/>
          <w:sz w:val="24"/>
          <w:u w:val="single"/>
        </w:rPr>
        <w:t xml:space="preserve">  </w:t>
      </w:r>
      <w:r>
        <w:rPr>
          <w:rFonts w:hint="eastAsia" w:ascii="仿宋_GB2312" w:hAnsi="Times New Roman" w:eastAsia="仿宋_GB2312"/>
          <w:sz w:val="24"/>
        </w:rPr>
        <w:t>日签字生效，特此声明。</w:t>
      </w:r>
    </w:p>
    <w:p>
      <w:pPr>
        <w:pStyle w:val="10"/>
        <w:spacing w:line="500" w:lineRule="exact"/>
        <w:ind w:firstLine="420"/>
        <w:rPr>
          <w:rFonts w:ascii="仿宋_GB2312" w:hAnsi="Times New Roman" w:eastAsia="仿宋_GB2312"/>
          <w:sz w:val="24"/>
        </w:rPr>
      </w:pPr>
    </w:p>
    <w:p>
      <w:pPr>
        <w:pStyle w:val="10"/>
        <w:spacing w:line="500" w:lineRule="exact"/>
        <w:ind w:firstLine="420"/>
        <w:rPr>
          <w:rFonts w:ascii="仿宋_GB2312" w:hAnsi="Times New Roman" w:eastAsia="仿宋_GB2312"/>
          <w:sz w:val="24"/>
        </w:rPr>
      </w:pPr>
      <w:r>
        <w:rPr>
          <w:rFonts w:hint="eastAsia" w:ascii="仿宋_GB2312" w:hAnsi="Times New Roman" w:eastAsia="仿宋_GB2312"/>
          <w:sz w:val="24"/>
        </w:rPr>
        <w:t>委托单位：    （公章）            法定代表人：（签字或盖章）</w:t>
      </w:r>
    </w:p>
    <w:p>
      <w:pPr>
        <w:pStyle w:val="10"/>
        <w:spacing w:line="500" w:lineRule="exact"/>
        <w:ind w:firstLine="420"/>
        <w:rPr>
          <w:rFonts w:ascii="仿宋_GB2312" w:hAnsi="Times New Roman" w:eastAsia="仿宋_GB2312"/>
          <w:sz w:val="24"/>
        </w:rPr>
      </w:pPr>
    </w:p>
    <w:p>
      <w:pPr>
        <w:pStyle w:val="10"/>
        <w:spacing w:line="500" w:lineRule="exact"/>
        <w:ind w:firstLine="420"/>
        <w:rPr>
          <w:rFonts w:ascii="仿宋_GB2312" w:hAnsi="Times New Roman" w:eastAsia="仿宋_GB2312"/>
          <w:sz w:val="24"/>
        </w:rPr>
      </w:pPr>
      <w:r>
        <w:rPr>
          <w:rFonts w:hint="eastAsia" w:ascii="仿宋_GB2312" w:hAnsi="Times New Roman" w:eastAsia="仿宋_GB2312"/>
          <w:sz w:val="24"/>
        </w:rPr>
        <w:t>签发日期：</w:t>
      </w:r>
      <w:r>
        <w:rPr>
          <w:rFonts w:hint="eastAsia" w:ascii="仿宋_GB2312" w:hAnsi="Times New Roman" w:eastAsia="仿宋_GB2312"/>
          <w:sz w:val="24"/>
          <w:u w:val="single"/>
        </w:rPr>
        <w:t xml:space="preserve">     </w:t>
      </w:r>
      <w:r>
        <w:rPr>
          <w:rFonts w:hint="eastAsia" w:ascii="仿宋_GB2312" w:hAnsi="Times New Roman" w:eastAsia="仿宋_GB2312"/>
          <w:sz w:val="24"/>
        </w:rPr>
        <w:t>年</w:t>
      </w:r>
      <w:r>
        <w:rPr>
          <w:rFonts w:hint="eastAsia" w:ascii="仿宋_GB2312" w:hAnsi="Times New Roman" w:eastAsia="仿宋_GB2312"/>
          <w:sz w:val="24"/>
          <w:u w:val="single"/>
        </w:rPr>
        <w:t xml:space="preserve">    </w:t>
      </w:r>
      <w:r>
        <w:rPr>
          <w:rFonts w:hint="eastAsia" w:ascii="仿宋_GB2312" w:hAnsi="Times New Roman" w:eastAsia="仿宋_GB2312"/>
          <w:sz w:val="24"/>
        </w:rPr>
        <w:t>月</w:t>
      </w:r>
      <w:r>
        <w:rPr>
          <w:rFonts w:hint="eastAsia" w:ascii="仿宋_GB2312" w:hAnsi="Times New Roman" w:eastAsia="仿宋_GB2312"/>
          <w:sz w:val="24"/>
          <w:u w:val="single"/>
        </w:rPr>
        <w:t xml:space="preserve">    </w:t>
      </w:r>
      <w:r>
        <w:rPr>
          <w:rFonts w:hint="eastAsia" w:ascii="仿宋_GB2312" w:hAnsi="Times New Roman" w:eastAsia="仿宋_GB2312"/>
          <w:sz w:val="24"/>
        </w:rPr>
        <w:t>日</w:t>
      </w:r>
    </w:p>
    <w:p>
      <w:pPr>
        <w:pStyle w:val="10"/>
        <w:spacing w:line="500" w:lineRule="exact"/>
        <w:rPr>
          <w:rFonts w:ascii="仿宋_GB2312" w:hAnsi="Times New Roman" w:eastAsia="仿宋_GB2312"/>
          <w:sz w:val="24"/>
        </w:rPr>
      </w:pPr>
      <w:r>
        <w:rPr>
          <w:rFonts w:ascii="仿宋_GB2312" w:hAnsi="Times New Roman" w:eastAsia="仿宋_GB2312"/>
          <w:sz w:val="24"/>
        </w:rPr>
        <w:t>___________________________________________________________</w:t>
      </w:r>
    </w:p>
    <w:p>
      <w:pPr>
        <w:pStyle w:val="10"/>
        <w:spacing w:line="500" w:lineRule="exact"/>
        <w:ind w:firstLine="480" w:firstLineChars="200"/>
        <w:rPr>
          <w:rFonts w:ascii="仿宋_GB2312" w:hAnsi="Times New Roman" w:eastAsia="仿宋_GB2312"/>
          <w:sz w:val="24"/>
        </w:rPr>
      </w:pPr>
    </w:p>
    <w:p>
      <w:pPr>
        <w:pStyle w:val="10"/>
        <w:spacing w:line="500" w:lineRule="exact"/>
        <w:ind w:firstLine="480" w:firstLineChars="200"/>
        <w:rPr>
          <w:rFonts w:ascii="仿宋_GB2312" w:hAnsi="Times New Roman" w:eastAsia="仿宋_GB2312"/>
          <w:sz w:val="24"/>
        </w:rPr>
      </w:pPr>
    </w:p>
    <w:p>
      <w:pPr>
        <w:pStyle w:val="10"/>
        <w:spacing w:line="500" w:lineRule="exact"/>
        <w:ind w:firstLine="480" w:firstLineChars="200"/>
        <w:rPr>
          <w:rFonts w:ascii="仿宋_GB2312" w:hAnsi="Times New Roman" w:eastAsia="仿宋_GB2312"/>
          <w:sz w:val="24"/>
        </w:rPr>
      </w:pPr>
    </w:p>
    <w:p>
      <w:pPr>
        <w:pStyle w:val="10"/>
        <w:spacing w:line="500" w:lineRule="exact"/>
        <w:ind w:firstLine="480" w:firstLineChars="200"/>
        <w:rPr>
          <w:rFonts w:ascii="仿宋_GB2312" w:hAnsi="Times New Roman" w:eastAsia="仿宋_GB2312"/>
          <w:sz w:val="24"/>
        </w:rPr>
      </w:pPr>
    </w:p>
    <w:p>
      <w:pPr>
        <w:pStyle w:val="10"/>
        <w:spacing w:line="500" w:lineRule="exact"/>
        <w:ind w:firstLine="480" w:firstLineChars="200"/>
        <w:rPr>
          <w:rFonts w:ascii="仿宋_GB2312" w:hAnsi="Times New Roman" w:eastAsia="仿宋_GB2312"/>
          <w:sz w:val="24"/>
        </w:rPr>
      </w:pPr>
    </w:p>
    <w:p>
      <w:pPr>
        <w:pStyle w:val="10"/>
        <w:spacing w:line="500" w:lineRule="exact"/>
        <w:ind w:firstLine="480" w:firstLineChars="200"/>
        <w:rPr>
          <w:rFonts w:ascii="仿宋_GB2312" w:hAnsi="Times New Roman" w:eastAsia="仿宋_GB2312"/>
          <w:sz w:val="24"/>
        </w:rPr>
      </w:pPr>
    </w:p>
    <w:p>
      <w:pPr>
        <w:pStyle w:val="10"/>
        <w:spacing w:line="500" w:lineRule="exact"/>
        <w:ind w:firstLine="480" w:firstLineChars="200"/>
        <w:rPr>
          <w:rFonts w:ascii="仿宋_GB2312" w:hAnsi="Times New Roman" w:eastAsia="仿宋_GB2312"/>
          <w:sz w:val="24"/>
        </w:rPr>
      </w:pPr>
    </w:p>
    <w:p>
      <w:pPr>
        <w:pStyle w:val="10"/>
        <w:spacing w:line="500" w:lineRule="exact"/>
        <w:ind w:firstLine="480" w:firstLineChars="200"/>
        <w:rPr>
          <w:rFonts w:ascii="仿宋_GB2312" w:hAnsi="Times New Roman" w:eastAsia="仿宋_GB2312"/>
          <w:sz w:val="24"/>
        </w:rPr>
      </w:pPr>
    </w:p>
    <w:p>
      <w:pPr>
        <w:pStyle w:val="10"/>
        <w:spacing w:line="500" w:lineRule="exact"/>
        <w:ind w:firstLine="480" w:firstLineChars="200"/>
        <w:rPr>
          <w:rFonts w:hAnsi="宋体"/>
          <w:sz w:val="24"/>
        </w:rPr>
      </w:pPr>
      <w:r>
        <w:rPr>
          <w:rFonts w:hint="eastAsia" w:hAnsi="宋体"/>
          <w:sz w:val="24"/>
        </w:rPr>
        <w:t>说明：</w:t>
      </w:r>
    </w:p>
    <w:p>
      <w:pPr>
        <w:pStyle w:val="10"/>
        <w:spacing w:line="360" w:lineRule="auto"/>
        <w:ind w:firstLine="480" w:firstLineChars="200"/>
        <w:rPr>
          <w:rFonts w:hAnsi="宋体"/>
          <w:sz w:val="24"/>
        </w:rPr>
      </w:pPr>
      <w:r>
        <w:rPr>
          <w:rFonts w:hint="eastAsia" w:hAnsi="宋体"/>
          <w:sz w:val="24"/>
        </w:rPr>
        <w:t>1.委托书内容填写要明确，文字要工整清楚，涂改无效。</w:t>
      </w:r>
    </w:p>
    <w:p>
      <w:pPr>
        <w:pStyle w:val="10"/>
        <w:spacing w:line="360" w:lineRule="auto"/>
        <w:ind w:firstLine="480" w:firstLineChars="200"/>
        <w:rPr>
          <w:rFonts w:hAnsi="宋体"/>
          <w:sz w:val="24"/>
        </w:rPr>
      </w:pPr>
      <w:r>
        <w:rPr>
          <w:rFonts w:hint="eastAsia" w:hAnsi="宋体"/>
          <w:sz w:val="24"/>
        </w:rPr>
        <w:t>2．委托书不得转借、转让，不得买卖。</w:t>
      </w:r>
    </w:p>
    <w:p>
      <w:pPr>
        <w:widowControl/>
        <w:ind w:firstLine="480" w:firstLineChars="200"/>
        <w:rPr>
          <w:rFonts w:ascii="宋体" w:hAnsi="宋体" w:cs="宋体"/>
          <w:kern w:val="0"/>
          <w:sz w:val="24"/>
        </w:rPr>
      </w:pPr>
      <w:r>
        <w:rPr>
          <w:rFonts w:hint="eastAsia" w:hAnsi="宋体"/>
          <w:sz w:val="24"/>
        </w:rPr>
        <w:t>3．全权代表人根据授权范围，以委托单位的名义签订合同</w:t>
      </w:r>
    </w:p>
    <w:tbl>
      <w:tblPr>
        <w:tblStyle w:val="17"/>
        <w:tblpPr w:leftFromText="180" w:rightFromText="180" w:vertAnchor="page" w:horzAnchor="margin" w:tblpY="2366"/>
        <w:tblW w:w="5000" w:type="pct"/>
        <w:tblInd w:w="0" w:type="dxa"/>
        <w:tblLayout w:type="autofit"/>
        <w:tblCellMar>
          <w:top w:w="0" w:type="dxa"/>
          <w:left w:w="108" w:type="dxa"/>
          <w:bottom w:w="0" w:type="dxa"/>
          <w:right w:w="108" w:type="dxa"/>
        </w:tblCellMar>
      </w:tblPr>
      <w:tblGrid>
        <w:gridCol w:w="625"/>
        <w:gridCol w:w="1620"/>
        <w:gridCol w:w="1395"/>
        <w:gridCol w:w="696"/>
        <w:gridCol w:w="646"/>
        <w:gridCol w:w="1021"/>
        <w:gridCol w:w="1058"/>
        <w:gridCol w:w="995"/>
        <w:gridCol w:w="1798"/>
      </w:tblGrid>
      <w:tr>
        <w:tblPrEx>
          <w:tblCellMar>
            <w:top w:w="0" w:type="dxa"/>
            <w:left w:w="108" w:type="dxa"/>
            <w:bottom w:w="0" w:type="dxa"/>
            <w:right w:w="108" w:type="dxa"/>
          </w:tblCellMar>
        </w:tblPrEx>
        <w:trPr>
          <w:trHeight w:val="420" w:hRule="atLeast"/>
        </w:trPr>
        <w:tc>
          <w:tcPr>
            <w:tcW w:w="5000" w:type="pct"/>
            <w:gridSpan w:val="9"/>
            <w:tcBorders>
              <w:top w:val="single" w:color="auto" w:sz="4" w:space="0"/>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32"/>
                <w:szCs w:val="32"/>
              </w:rPr>
            </w:pPr>
            <w:bookmarkStart w:id="0" w:name="RANGE!A1:I14"/>
            <w:r>
              <w:rPr>
                <w:rFonts w:hint="eastAsia" w:ascii="宋体" w:hAnsi="宋体" w:cs="宋体"/>
                <w:b/>
                <w:bCs/>
                <w:color w:val="000000"/>
                <w:kern w:val="0"/>
                <w:sz w:val="32"/>
                <w:szCs w:val="32"/>
              </w:rPr>
              <w:t>机房动环及监控系统设备升级清单</w:t>
            </w:r>
            <w:bookmarkEnd w:id="0"/>
          </w:p>
        </w:tc>
      </w:tr>
      <w:tr>
        <w:tblPrEx>
          <w:tblCellMar>
            <w:top w:w="0" w:type="dxa"/>
            <w:left w:w="108" w:type="dxa"/>
            <w:bottom w:w="0" w:type="dxa"/>
            <w:right w:w="108" w:type="dxa"/>
          </w:tblCellMar>
        </w:tblPrEx>
        <w:trPr>
          <w:trHeight w:val="27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822"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708"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设备型号</w:t>
            </w:r>
          </w:p>
        </w:tc>
        <w:tc>
          <w:tcPr>
            <w:tcW w:w="353"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328"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518"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单价</w:t>
            </w:r>
          </w:p>
        </w:tc>
        <w:tc>
          <w:tcPr>
            <w:tcW w:w="537"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505"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品牌/产地</w:t>
            </w:r>
          </w:p>
        </w:tc>
        <w:tc>
          <w:tcPr>
            <w:tcW w:w="913"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7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w:t>
            </w:r>
          </w:p>
        </w:tc>
        <w:tc>
          <w:tcPr>
            <w:tcW w:w="822"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53"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2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18"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37"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05"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2</w:t>
            </w:r>
          </w:p>
        </w:tc>
        <w:tc>
          <w:tcPr>
            <w:tcW w:w="822"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53"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2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18"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37"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05"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3</w:t>
            </w:r>
          </w:p>
        </w:tc>
        <w:tc>
          <w:tcPr>
            <w:tcW w:w="822"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53"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2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18"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37"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05"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4</w:t>
            </w:r>
          </w:p>
        </w:tc>
        <w:tc>
          <w:tcPr>
            <w:tcW w:w="822"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53"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2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18"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37"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05"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5</w:t>
            </w:r>
          </w:p>
        </w:tc>
        <w:tc>
          <w:tcPr>
            <w:tcW w:w="822"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53"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2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18"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37"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05"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6</w:t>
            </w:r>
          </w:p>
        </w:tc>
        <w:tc>
          <w:tcPr>
            <w:tcW w:w="822"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53"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2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18"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37"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05"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7</w:t>
            </w:r>
          </w:p>
        </w:tc>
        <w:tc>
          <w:tcPr>
            <w:tcW w:w="822"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53"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2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18"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37"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05"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8</w:t>
            </w:r>
          </w:p>
        </w:tc>
        <w:tc>
          <w:tcPr>
            <w:tcW w:w="822"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53"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2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18"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37"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05"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9</w:t>
            </w:r>
          </w:p>
        </w:tc>
        <w:tc>
          <w:tcPr>
            <w:tcW w:w="822" w:type="pct"/>
            <w:tcBorders>
              <w:top w:val="nil"/>
              <w:left w:val="nil"/>
              <w:bottom w:val="single" w:color="auto" w:sz="4" w:space="0"/>
              <w:right w:val="single" w:color="auto" w:sz="4" w:space="0"/>
            </w:tcBorders>
            <w:shd w:val="clear" w:color="000000" w:fill="FFFFFF"/>
            <w:noWra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pct"/>
            <w:tcBorders>
              <w:top w:val="nil"/>
              <w:left w:val="nil"/>
              <w:bottom w:val="single" w:color="auto" w:sz="4" w:space="0"/>
              <w:right w:val="single" w:color="auto" w:sz="4" w:space="0"/>
            </w:tcBorders>
            <w:shd w:val="clear" w:color="000000" w:fill="FFFFFF"/>
            <w:noWra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53" w:type="pct"/>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28" w:type="pct"/>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18"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37"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05" w:type="pct"/>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10</w:t>
            </w:r>
          </w:p>
        </w:tc>
        <w:tc>
          <w:tcPr>
            <w:tcW w:w="822"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53"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2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18"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37"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05"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11</w:t>
            </w:r>
          </w:p>
        </w:tc>
        <w:tc>
          <w:tcPr>
            <w:tcW w:w="822"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53"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2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18"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37"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05"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17"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12</w:t>
            </w:r>
          </w:p>
        </w:tc>
        <w:tc>
          <w:tcPr>
            <w:tcW w:w="822" w:type="pct"/>
            <w:tcBorders>
              <w:top w:val="nil"/>
              <w:left w:val="nil"/>
              <w:bottom w:val="single" w:color="auto" w:sz="4" w:space="0"/>
              <w:right w:val="single" w:color="auto" w:sz="4" w:space="0"/>
            </w:tcBorders>
            <w:shd w:val="clear" w:color="000000" w:fill="FFFFFF"/>
            <w:noWra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pct"/>
            <w:tcBorders>
              <w:top w:val="nil"/>
              <w:left w:val="nil"/>
              <w:bottom w:val="single" w:color="auto" w:sz="4" w:space="0"/>
              <w:right w:val="single" w:color="auto" w:sz="4" w:space="0"/>
            </w:tcBorders>
            <w:shd w:val="clear" w:color="000000" w:fill="FFFFFF"/>
            <w:noWra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53" w:type="pct"/>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28" w:type="pct"/>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18"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37"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05" w:type="pct"/>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widowControl/>
        <w:rPr>
          <w:rFonts w:ascii="宋体" w:hAnsi="宋体" w:cs="宋体"/>
          <w:b/>
          <w:bCs/>
          <w:kern w:val="0"/>
          <w:sz w:val="36"/>
          <w:szCs w:val="36"/>
        </w:rPr>
      </w:pPr>
      <w:r>
        <w:rPr>
          <w:rFonts w:hint="eastAsia" w:ascii="宋体" w:hAnsi="宋体" w:cs="宋体"/>
          <w:b/>
          <w:bCs/>
          <w:kern w:val="0"/>
          <w:sz w:val="36"/>
          <w:szCs w:val="36"/>
        </w:rPr>
        <w:t>附件</w:t>
      </w:r>
      <w:r>
        <w:rPr>
          <w:rFonts w:ascii="宋体" w:hAnsi="宋体" w:cs="宋体"/>
          <w:b/>
          <w:bCs/>
          <w:kern w:val="0"/>
          <w:sz w:val="36"/>
          <w:szCs w:val="36"/>
        </w:rPr>
        <w:t>1</w:t>
      </w:r>
      <w:r>
        <w:rPr>
          <w:rFonts w:hint="eastAsia" w:ascii="宋体" w:hAnsi="宋体" w:cs="宋体"/>
          <w:b/>
          <w:bCs/>
          <w:kern w:val="0"/>
          <w:sz w:val="36"/>
          <w:szCs w:val="36"/>
        </w:rPr>
        <w:t>：机房动环及监控系统设备升级清单</w:t>
      </w:r>
    </w:p>
    <w:p>
      <w:pPr>
        <w:pStyle w:val="9"/>
        <w:adjustRightInd w:val="0"/>
        <w:snapToGrid w:val="0"/>
        <w:spacing w:line="360" w:lineRule="auto"/>
        <w:ind w:firstLine="0"/>
        <w:jc w:val="left"/>
        <w:rPr>
          <w:rFonts w:hAnsi="宋体" w:cs="宋体"/>
          <w:b/>
          <w:sz w:val="10"/>
          <w:szCs w:val="10"/>
        </w:rPr>
        <w:sectPr>
          <w:footerReference r:id="rId3" w:type="default"/>
          <w:pgSz w:w="11906" w:h="16838"/>
          <w:pgMar w:top="1418" w:right="1134" w:bottom="1418" w:left="1134" w:header="680" w:footer="680" w:gutter="0"/>
          <w:cols w:space="720" w:num="1"/>
          <w:docGrid w:type="lines" w:linePitch="312" w:charSpace="0"/>
        </w:sectPr>
      </w:pPr>
    </w:p>
    <w:p>
      <w:pPr>
        <w:autoSpaceDE w:val="0"/>
        <w:autoSpaceDN w:val="0"/>
        <w:adjustRightInd w:val="0"/>
        <w:snapToGrid w:val="0"/>
        <w:spacing w:line="360" w:lineRule="auto"/>
        <w:jc w:val="left"/>
        <w:outlineLvl w:val="1"/>
        <w:rPr>
          <w:rFonts w:asciiTheme="minorEastAsia" w:hAnsiTheme="minorEastAsia" w:eastAsiaTheme="minorEastAsia"/>
          <w:sz w:val="36"/>
          <w:szCs w:val="36"/>
        </w:rPr>
      </w:pPr>
      <w:bookmarkStart w:id="1" w:name="_Toc440442903"/>
      <w:bookmarkStart w:id="2" w:name="_Toc439921452"/>
      <w:r>
        <w:rPr>
          <w:rStyle w:val="25"/>
          <w:rFonts w:hint="eastAsia" w:asciiTheme="minorEastAsia" w:hAnsiTheme="minorEastAsia" w:eastAsiaTheme="minorEastAsia"/>
          <w:sz w:val="36"/>
          <w:szCs w:val="36"/>
        </w:rPr>
        <w:t>附件2：报价</w:t>
      </w:r>
      <w:r>
        <w:rPr>
          <w:rStyle w:val="25"/>
          <w:rFonts w:asciiTheme="minorEastAsia" w:hAnsiTheme="minorEastAsia" w:eastAsiaTheme="minorEastAsia"/>
          <w:sz w:val="36"/>
          <w:szCs w:val="36"/>
        </w:rPr>
        <w:t>一览表</w:t>
      </w:r>
      <w:bookmarkEnd w:id="1"/>
      <w:bookmarkEnd w:id="2"/>
    </w:p>
    <w:p>
      <w:pPr>
        <w:spacing w:line="360" w:lineRule="auto"/>
        <w:rPr>
          <w:rFonts w:ascii="宋体" w:hAnsi="宋体"/>
          <w:szCs w:val="21"/>
          <w:u w:val="single"/>
        </w:rPr>
      </w:pPr>
    </w:p>
    <w:tbl>
      <w:tblPr>
        <w:tblStyle w:val="17"/>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752"/>
        <w:gridCol w:w="3802"/>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895" w:type="dxa"/>
            <w:gridSpan w:val="2"/>
            <w:vAlign w:val="center"/>
          </w:tcPr>
          <w:p>
            <w:pPr>
              <w:spacing w:line="400" w:lineRule="exact"/>
              <w:jc w:val="center"/>
              <w:rPr>
                <w:rFonts w:ascii="Calibri" w:hAnsi="Calibri" w:cs="Calibri"/>
                <w:b/>
                <w:szCs w:val="21"/>
              </w:rPr>
            </w:pPr>
            <w:r>
              <w:rPr>
                <w:rFonts w:hint="eastAsia" w:ascii="Calibri" w:hAnsi="Calibri" w:cs="Calibri"/>
                <w:b/>
                <w:szCs w:val="21"/>
              </w:rPr>
              <w:t>项目名称</w:t>
            </w:r>
          </w:p>
        </w:tc>
        <w:tc>
          <w:tcPr>
            <w:tcW w:w="3802" w:type="dxa"/>
            <w:vAlign w:val="center"/>
          </w:tcPr>
          <w:p>
            <w:pPr>
              <w:spacing w:line="400" w:lineRule="exact"/>
              <w:jc w:val="center"/>
              <w:rPr>
                <w:rFonts w:ascii="Calibri" w:hAnsi="Calibri" w:cs="Calibri"/>
                <w:b/>
                <w:szCs w:val="21"/>
              </w:rPr>
            </w:pPr>
            <w:r>
              <w:rPr>
                <w:rFonts w:hint="eastAsia" w:ascii="Calibri" w:hAnsi="Calibri" w:cs="Calibri"/>
                <w:b/>
                <w:szCs w:val="21"/>
              </w:rPr>
              <w:t>金额</w:t>
            </w:r>
          </w:p>
        </w:tc>
        <w:tc>
          <w:tcPr>
            <w:tcW w:w="1818" w:type="dxa"/>
            <w:vAlign w:val="center"/>
          </w:tcPr>
          <w:p>
            <w:pPr>
              <w:spacing w:line="400" w:lineRule="exact"/>
              <w:jc w:val="center"/>
              <w:rPr>
                <w:rFonts w:ascii="Calibri" w:hAnsi="Calibri" w:cs="Calibri"/>
                <w:b/>
                <w:szCs w:val="21"/>
              </w:rPr>
            </w:pPr>
            <w:r>
              <w:rPr>
                <w:rFonts w:hint="eastAsia" w:ascii="Calibri" w:hAnsi="Calibri" w:cs="Calibri"/>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895" w:type="dxa"/>
            <w:gridSpan w:val="2"/>
            <w:vAlign w:val="center"/>
          </w:tcPr>
          <w:p>
            <w:pPr>
              <w:spacing w:before="120"/>
              <w:jc w:val="center"/>
            </w:pPr>
            <w:r>
              <w:rPr>
                <w:rFonts w:hint="eastAsia"/>
              </w:rPr>
              <w:t>江苏有线泰州分公司机房动环及监控系统升级</w:t>
            </w:r>
          </w:p>
        </w:tc>
        <w:tc>
          <w:tcPr>
            <w:tcW w:w="3802" w:type="dxa"/>
            <w:vAlign w:val="center"/>
          </w:tcPr>
          <w:p>
            <w:pPr>
              <w:spacing w:line="400" w:lineRule="exact"/>
              <w:jc w:val="center"/>
              <w:rPr>
                <w:rFonts w:ascii="Calibri" w:hAnsi="Calibri" w:cs="Calibri"/>
                <w:szCs w:val="21"/>
              </w:rPr>
            </w:pPr>
          </w:p>
        </w:tc>
        <w:tc>
          <w:tcPr>
            <w:tcW w:w="1818" w:type="dxa"/>
            <w:vAlign w:val="center"/>
          </w:tcPr>
          <w:p>
            <w:pPr>
              <w:spacing w:line="400" w:lineRule="exact"/>
              <w:jc w:val="center"/>
              <w:rPr>
                <w:rFonts w:ascii="Calibri" w:hAnsi="Calibri"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15" w:type="dxa"/>
            <w:gridSpan w:val="4"/>
            <w:vAlign w:val="center"/>
          </w:tcPr>
          <w:p>
            <w:pPr>
              <w:spacing w:line="400" w:lineRule="exact"/>
              <w:rPr>
                <w:rFonts w:ascii="Calibri" w:hAnsi="Calibri" w:cs="Calibri"/>
                <w:szCs w:val="21"/>
              </w:rPr>
            </w:pPr>
            <w:r>
              <w:rPr>
                <w:rFonts w:ascii="Calibri" w:hAnsi="Calibri" w:cs="Calibri"/>
                <w:szCs w:val="21"/>
              </w:rPr>
              <w:t>合计</w:t>
            </w:r>
            <w:r>
              <w:rPr>
                <w:rFonts w:hint="eastAsia" w:ascii="Calibri" w:hAnsi="Calibri" w:cs="Calibri"/>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43" w:type="dxa"/>
            <w:vAlign w:val="center"/>
          </w:tcPr>
          <w:p>
            <w:pPr>
              <w:spacing w:line="400" w:lineRule="exact"/>
              <w:rPr>
                <w:rFonts w:ascii="Calibri" w:hAnsi="Calibri" w:cs="Calibri"/>
                <w:szCs w:val="21"/>
              </w:rPr>
            </w:pPr>
            <w:r>
              <w:rPr>
                <w:rFonts w:hint="eastAsia" w:ascii="Calibri" w:hAnsi="Calibri" w:cs="Calibri"/>
                <w:szCs w:val="21"/>
              </w:rPr>
              <w:t>质保期</w:t>
            </w:r>
          </w:p>
        </w:tc>
        <w:tc>
          <w:tcPr>
            <w:tcW w:w="8372" w:type="dxa"/>
            <w:gridSpan w:val="3"/>
            <w:vAlign w:val="center"/>
          </w:tcPr>
          <w:p>
            <w:pPr>
              <w:spacing w:line="400" w:lineRule="exact"/>
              <w:rPr>
                <w:rFonts w:ascii="Calibri" w:hAnsi="Calibri"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43" w:type="dxa"/>
            <w:vAlign w:val="center"/>
          </w:tcPr>
          <w:p>
            <w:pPr>
              <w:spacing w:line="400" w:lineRule="exact"/>
              <w:rPr>
                <w:rFonts w:ascii="Calibri" w:hAnsi="Calibri" w:cs="Calibri"/>
                <w:szCs w:val="21"/>
              </w:rPr>
            </w:pPr>
            <w:r>
              <w:rPr>
                <w:rFonts w:hint="eastAsia" w:ascii="Calibri" w:hAnsi="Calibri" w:cs="Calibri"/>
                <w:szCs w:val="21"/>
              </w:rPr>
              <w:t>地点</w:t>
            </w:r>
          </w:p>
        </w:tc>
        <w:tc>
          <w:tcPr>
            <w:tcW w:w="8372" w:type="dxa"/>
            <w:gridSpan w:val="3"/>
            <w:vAlign w:val="center"/>
          </w:tcPr>
          <w:p>
            <w:pPr>
              <w:spacing w:line="400" w:lineRule="exact"/>
              <w:rPr>
                <w:rFonts w:ascii="Calibri" w:hAnsi="Calibri" w:cs="Calibri"/>
                <w:szCs w:val="21"/>
              </w:rPr>
            </w:pPr>
            <w:r>
              <w:rPr>
                <w:rFonts w:hint="eastAsia" w:ascii="Calibri" w:hAnsi="Calibri" w:cs="Calibri"/>
                <w:szCs w:val="21"/>
              </w:rPr>
              <w:t>采购</w:t>
            </w:r>
            <w:r>
              <w:rPr>
                <w:rFonts w:ascii="Calibri" w:hAnsi="Calibri" w:cs="Calibri"/>
                <w:szCs w:val="21"/>
              </w:rPr>
              <w:t>人指</w:t>
            </w:r>
            <w:r>
              <w:rPr>
                <w:rFonts w:hint="eastAsia" w:ascii="Calibri" w:hAnsi="Calibri" w:cs="Calibri"/>
                <w:szCs w:val="21"/>
              </w:rPr>
              <w:t>定</w:t>
            </w:r>
            <w:r>
              <w:rPr>
                <w:rFonts w:ascii="Calibri" w:hAnsi="Calibri" w:cs="Calibri"/>
                <w:szCs w:val="21"/>
              </w:rPr>
              <w:t>地点</w:t>
            </w:r>
            <w:r>
              <w:rPr>
                <w:rFonts w:hint="eastAsia" w:ascii="Calibri" w:hAnsi="Calibri" w:cs="Calibri"/>
                <w:szCs w:val="21"/>
              </w:rPr>
              <w:t>：</w:t>
            </w:r>
            <w:r>
              <w:rPr>
                <w:rFonts w:ascii="Calibri" w:hAnsi="Calibri" w:cs="Calibri"/>
                <w:szCs w:val="21"/>
              </w:rPr>
              <w:t>泰州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1143" w:type="dxa"/>
            <w:vAlign w:val="center"/>
          </w:tcPr>
          <w:p>
            <w:pPr>
              <w:spacing w:line="400" w:lineRule="exact"/>
              <w:rPr>
                <w:rFonts w:ascii="Calibri" w:hAnsi="Calibri" w:cs="Calibri"/>
                <w:szCs w:val="21"/>
              </w:rPr>
            </w:pPr>
            <w:r>
              <w:rPr>
                <w:rFonts w:hint="eastAsia" w:ascii="Calibri" w:hAnsi="Calibri" w:cs="Calibri"/>
                <w:szCs w:val="21"/>
              </w:rPr>
              <w:t>备注</w:t>
            </w:r>
          </w:p>
        </w:tc>
        <w:tc>
          <w:tcPr>
            <w:tcW w:w="8372" w:type="dxa"/>
            <w:gridSpan w:val="3"/>
            <w:vAlign w:val="center"/>
          </w:tcPr>
          <w:p>
            <w:pPr>
              <w:spacing w:line="360" w:lineRule="auto"/>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w:t>
            </w:r>
            <w:r>
              <w:rPr>
                <w:rFonts w:asciiTheme="minorEastAsia" w:hAnsiTheme="minorEastAsia" w:eastAsiaTheme="minorEastAsia"/>
                <w:color w:val="000000"/>
              </w:rPr>
              <w:t>投标人须按照招标文件要求，</w:t>
            </w:r>
            <w:r>
              <w:rPr>
                <w:rFonts w:hint="eastAsia" w:asciiTheme="minorEastAsia" w:hAnsiTheme="minorEastAsia" w:eastAsiaTheme="minorEastAsia"/>
                <w:color w:val="000000"/>
              </w:rPr>
              <w:t xml:space="preserve"> 开具增值税专用发票。</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．投标人须严格按照开标一览表格式进行报价，不得对表格条目进行增删和改动。</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．付款方式：为签订合同正常履约6个月后由中标方开具增值税专用发票，发包方收</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到发票按照合同条款对中标方进行考核并支付费用。</w:t>
            </w:r>
          </w:p>
        </w:tc>
      </w:tr>
    </w:tbl>
    <w:p>
      <w:pPr>
        <w:autoSpaceDE w:val="0"/>
        <w:autoSpaceDN w:val="0"/>
        <w:adjustRightInd w:val="0"/>
        <w:snapToGrid w:val="0"/>
        <w:spacing w:line="360" w:lineRule="auto"/>
        <w:jc w:val="center"/>
        <w:outlineLvl w:val="1"/>
        <w:rPr>
          <w:rFonts w:ascii="宋体" w:hAnsi="宋体"/>
          <w:b/>
          <w:spacing w:val="8"/>
          <w:kern w:val="0"/>
          <w:szCs w:val="21"/>
        </w:rPr>
      </w:pPr>
    </w:p>
    <w:p>
      <w:pPr>
        <w:pStyle w:val="9"/>
        <w:spacing w:line="360" w:lineRule="auto"/>
        <w:ind w:firstLine="1785" w:firstLineChars="850"/>
        <w:jc w:val="left"/>
        <w:rPr>
          <w:rFonts w:hAnsi="宋体"/>
          <w:sz w:val="21"/>
          <w:szCs w:val="21"/>
        </w:rPr>
      </w:pPr>
      <w:r>
        <w:rPr>
          <w:rFonts w:hint="eastAsia" w:hAnsi="宋体"/>
          <w:sz w:val="21"/>
          <w:szCs w:val="21"/>
        </w:rPr>
        <w:t>代理人（签字或盖章）：</w:t>
      </w:r>
    </w:p>
    <w:p>
      <w:pPr>
        <w:pStyle w:val="9"/>
        <w:spacing w:line="360" w:lineRule="auto"/>
        <w:jc w:val="left"/>
        <w:rPr>
          <w:rFonts w:hAnsi="宋体"/>
          <w:sz w:val="21"/>
          <w:szCs w:val="21"/>
        </w:rPr>
      </w:pPr>
    </w:p>
    <w:p>
      <w:pPr>
        <w:pStyle w:val="9"/>
        <w:spacing w:line="360" w:lineRule="auto"/>
        <w:ind w:firstLine="1785" w:firstLineChars="850"/>
        <w:jc w:val="left"/>
        <w:rPr>
          <w:rFonts w:hAnsi="宋体"/>
          <w:sz w:val="21"/>
          <w:szCs w:val="21"/>
        </w:rPr>
      </w:pPr>
      <w:r>
        <w:rPr>
          <w:rFonts w:hint="eastAsia" w:hAnsi="宋体"/>
          <w:sz w:val="21"/>
          <w:szCs w:val="21"/>
        </w:rPr>
        <w:t>法定代表人签字（盖章）：</w:t>
      </w:r>
    </w:p>
    <w:p>
      <w:pPr>
        <w:pStyle w:val="9"/>
        <w:spacing w:line="360" w:lineRule="auto"/>
        <w:jc w:val="left"/>
        <w:rPr>
          <w:rFonts w:hAnsi="宋体"/>
          <w:sz w:val="21"/>
          <w:szCs w:val="21"/>
        </w:rPr>
      </w:pPr>
    </w:p>
    <w:p>
      <w:pPr>
        <w:pStyle w:val="9"/>
        <w:spacing w:line="360" w:lineRule="auto"/>
        <w:ind w:firstLine="4935" w:firstLineChars="2350"/>
        <w:jc w:val="left"/>
        <w:rPr>
          <w:rFonts w:hAnsi="宋体"/>
          <w:sz w:val="21"/>
          <w:szCs w:val="21"/>
        </w:rPr>
      </w:pPr>
      <w:r>
        <w:rPr>
          <w:rFonts w:hint="eastAsia" w:hAnsi="宋体"/>
          <w:sz w:val="21"/>
          <w:szCs w:val="21"/>
        </w:rPr>
        <w:t xml:space="preserve">日期：   </w:t>
      </w:r>
      <w:r>
        <w:rPr>
          <w:rFonts w:hAnsi="宋体"/>
          <w:sz w:val="21"/>
          <w:szCs w:val="21"/>
        </w:rPr>
        <w:t xml:space="preserve">   </w:t>
      </w:r>
      <w:r>
        <w:rPr>
          <w:rFonts w:hint="eastAsia" w:hAnsi="宋体"/>
          <w:sz w:val="21"/>
          <w:szCs w:val="21"/>
        </w:rPr>
        <w:t xml:space="preserve"> 年 </w:t>
      </w:r>
      <w:r>
        <w:rPr>
          <w:rFonts w:hAnsi="宋体"/>
          <w:sz w:val="21"/>
          <w:szCs w:val="21"/>
        </w:rPr>
        <w:t xml:space="preserve">   </w:t>
      </w:r>
      <w:r>
        <w:rPr>
          <w:rFonts w:hint="eastAsia" w:hAnsi="宋体"/>
          <w:sz w:val="21"/>
          <w:szCs w:val="21"/>
        </w:rPr>
        <w:t xml:space="preserve"> 月      日</w:t>
      </w:r>
    </w:p>
    <w:p>
      <w:pPr>
        <w:pStyle w:val="9"/>
        <w:ind w:firstLine="0"/>
        <w:rPr>
          <w:rFonts w:ascii="黑体" w:hAnsi="黑体" w:eastAsia="黑体" w:cs="黑体"/>
          <w:b/>
          <w:sz w:val="44"/>
          <w:szCs w:val="44"/>
        </w:rPr>
      </w:pPr>
    </w:p>
    <w:p>
      <w:pPr>
        <w:pStyle w:val="9"/>
        <w:ind w:firstLine="0"/>
        <w:rPr>
          <w:rFonts w:ascii="黑体" w:hAnsi="黑体" w:eastAsia="黑体" w:cs="黑体"/>
          <w:b/>
          <w:sz w:val="44"/>
          <w:szCs w:val="44"/>
        </w:rPr>
      </w:pPr>
    </w:p>
    <w:p>
      <w:pPr>
        <w:pStyle w:val="9"/>
        <w:ind w:firstLine="0"/>
        <w:rPr>
          <w:rFonts w:ascii="黑体" w:hAnsi="黑体" w:eastAsia="黑体" w:cs="黑体"/>
          <w:b/>
          <w:sz w:val="44"/>
          <w:szCs w:val="44"/>
        </w:rPr>
      </w:pPr>
    </w:p>
    <w:p>
      <w:pPr>
        <w:pStyle w:val="9"/>
        <w:ind w:firstLine="0"/>
        <w:rPr>
          <w:rFonts w:ascii="黑体" w:hAnsi="黑体" w:eastAsia="黑体" w:cs="黑体"/>
          <w:b/>
          <w:sz w:val="44"/>
          <w:szCs w:val="44"/>
        </w:rPr>
      </w:pPr>
    </w:p>
    <w:p>
      <w:pPr>
        <w:pStyle w:val="9"/>
        <w:ind w:firstLine="0"/>
        <w:rPr>
          <w:rFonts w:ascii="黑体" w:hAnsi="黑体" w:eastAsia="黑体" w:cs="黑体"/>
          <w:b/>
          <w:sz w:val="44"/>
          <w:szCs w:val="44"/>
        </w:rPr>
      </w:pPr>
    </w:p>
    <w:p>
      <w:pPr>
        <w:autoSpaceDE w:val="0"/>
        <w:autoSpaceDN w:val="0"/>
        <w:adjustRightInd w:val="0"/>
        <w:snapToGrid w:val="0"/>
        <w:spacing w:line="360" w:lineRule="auto"/>
        <w:outlineLvl w:val="1"/>
        <w:rPr>
          <w:rStyle w:val="25"/>
          <w:rFonts w:hAnsi="宋体"/>
          <w:b w:val="0"/>
          <w:bCs w:val="0"/>
          <w:sz w:val="48"/>
          <w:szCs w:val="48"/>
        </w:rPr>
      </w:pPr>
    </w:p>
    <w:p>
      <w:pPr>
        <w:spacing w:line="360" w:lineRule="auto"/>
        <w:jc w:val="center"/>
        <w:rPr>
          <w:rFonts w:ascii="宋体" w:hAnsi="宋体" w:cs="方正仿宋简体"/>
          <w:b/>
          <w:sz w:val="48"/>
          <w:szCs w:val="48"/>
        </w:rPr>
      </w:pPr>
    </w:p>
    <w:p>
      <w:pPr>
        <w:spacing w:line="360" w:lineRule="auto"/>
        <w:jc w:val="center"/>
        <w:rPr>
          <w:rFonts w:ascii="宋体" w:hAnsi="宋体" w:cs="方正仿宋简体"/>
          <w:b/>
          <w:sz w:val="48"/>
          <w:szCs w:val="48"/>
        </w:rPr>
      </w:pPr>
      <w:r>
        <w:rPr>
          <w:rFonts w:hint="eastAsia" w:ascii="宋体" w:hAnsi="宋体" w:cs="方正仿宋简体"/>
          <w:b/>
          <w:sz w:val="48"/>
          <w:szCs w:val="48"/>
        </w:rPr>
        <w:t>江苏省广电有线信息网络股份有限公司</w:t>
      </w:r>
    </w:p>
    <w:p>
      <w:pPr>
        <w:spacing w:line="360" w:lineRule="auto"/>
        <w:jc w:val="center"/>
        <w:rPr>
          <w:rFonts w:ascii="宋体" w:hAnsi="宋体" w:cs="方正仿宋简体"/>
          <w:b/>
          <w:sz w:val="48"/>
          <w:szCs w:val="48"/>
        </w:rPr>
      </w:pPr>
      <w:r>
        <w:rPr>
          <w:rFonts w:hint="eastAsia" w:ascii="宋体" w:hAnsi="宋体" w:cs="方正仿宋简体"/>
          <w:b/>
          <w:sz w:val="48"/>
          <w:szCs w:val="48"/>
        </w:rPr>
        <w:t>泰州分公司分机房动环及系统升级</w:t>
      </w:r>
    </w:p>
    <w:p>
      <w:pPr>
        <w:spacing w:line="360" w:lineRule="auto"/>
        <w:jc w:val="center"/>
        <w:rPr>
          <w:rFonts w:ascii="宋体" w:hAnsi="宋体" w:cs="方正仿宋简体"/>
          <w:b/>
          <w:sz w:val="48"/>
          <w:szCs w:val="48"/>
        </w:rPr>
      </w:pPr>
    </w:p>
    <w:p>
      <w:pPr>
        <w:spacing w:line="360" w:lineRule="auto"/>
        <w:jc w:val="center"/>
        <w:rPr>
          <w:rFonts w:ascii="宋体" w:hAnsi="宋体" w:cs="方正仿宋简体"/>
          <w:b/>
          <w:sz w:val="48"/>
          <w:szCs w:val="48"/>
        </w:rPr>
      </w:pPr>
    </w:p>
    <w:p>
      <w:pPr>
        <w:spacing w:line="360" w:lineRule="auto"/>
        <w:jc w:val="center"/>
        <w:rPr>
          <w:rFonts w:ascii="宋体" w:hAnsi="宋体" w:cs="方正仿宋简体"/>
          <w:b/>
          <w:sz w:val="72"/>
          <w:szCs w:val="72"/>
        </w:rPr>
      </w:pPr>
    </w:p>
    <w:p>
      <w:pPr>
        <w:spacing w:line="360" w:lineRule="auto"/>
        <w:jc w:val="center"/>
        <w:rPr>
          <w:rFonts w:ascii="宋体" w:hAnsi="宋体" w:cs="方正仿宋简体"/>
          <w:b/>
          <w:sz w:val="72"/>
          <w:szCs w:val="72"/>
        </w:rPr>
      </w:pPr>
      <w:r>
        <w:rPr>
          <w:rFonts w:ascii="宋体" w:hAnsi="宋体" w:cs="方正仿宋简体"/>
          <w:b/>
          <w:sz w:val="72"/>
          <w:szCs w:val="72"/>
        </w:rPr>
        <w:t>采</w:t>
      </w:r>
    </w:p>
    <w:p>
      <w:pPr>
        <w:spacing w:line="360" w:lineRule="auto"/>
        <w:jc w:val="center"/>
        <w:rPr>
          <w:rFonts w:ascii="宋体" w:hAnsi="宋体" w:cs="方正仿宋简体"/>
          <w:b/>
          <w:sz w:val="72"/>
          <w:szCs w:val="72"/>
        </w:rPr>
      </w:pPr>
      <w:r>
        <w:rPr>
          <w:rFonts w:ascii="宋体" w:hAnsi="宋体" w:cs="方正仿宋简体"/>
          <w:b/>
          <w:sz w:val="72"/>
          <w:szCs w:val="72"/>
        </w:rPr>
        <w:t>购</w:t>
      </w:r>
    </w:p>
    <w:p>
      <w:pPr>
        <w:spacing w:line="360" w:lineRule="auto"/>
        <w:jc w:val="center"/>
        <w:rPr>
          <w:rFonts w:ascii="宋体" w:hAnsi="宋体" w:cs="方正仿宋简体"/>
          <w:b/>
          <w:sz w:val="72"/>
          <w:szCs w:val="72"/>
        </w:rPr>
      </w:pPr>
      <w:r>
        <w:rPr>
          <w:rFonts w:hint="eastAsia" w:ascii="宋体" w:hAnsi="宋体" w:cs="方正仿宋简体"/>
          <w:b/>
          <w:sz w:val="72"/>
          <w:szCs w:val="72"/>
        </w:rPr>
        <w:t>合</w:t>
      </w:r>
    </w:p>
    <w:p>
      <w:pPr>
        <w:spacing w:line="360" w:lineRule="auto"/>
        <w:jc w:val="center"/>
        <w:rPr>
          <w:rFonts w:ascii="宋体" w:hAnsi="宋体" w:cs="方正仿宋简体"/>
          <w:b/>
          <w:sz w:val="72"/>
          <w:szCs w:val="72"/>
        </w:rPr>
      </w:pPr>
      <w:r>
        <w:rPr>
          <w:rFonts w:hint="eastAsia" w:ascii="宋体" w:hAnsi="宋体" w:cs="方正仿宋简体"/>
          <w:b/>
          <w:sz w:val="72"/>
          <w:szCs w:val="72"/>
        </w:rPr>
        <w:t>同</w:t>
      </w:r>
    </w:p>
    <w:p>
      <w:pPr>
        <w:spacing w:line="360" w:lineRule="auto"/>
        <w:jc w:val="center"/>
        <w:rPr>
          <w:rFonts w:ascii="方正仿宋简体" w:hAnsi="方正仿宋简体" w:eastAsia="方正仿宋简体" w:cs="方正仿宋简体"/>
          <w:b/>
          <w:sz w:val="48"/>
          <w:szCs w:val="48"/>
        </w:rPr>
      </w:pPr>
    </w:p>
    <w:p>
      <w:pPr>
        <w:spacing w:line="360" w:lineRule="auto"/>
        <w:jc w:val="center"/>
        <w:rPr>
          <w:rFonts w:ascii="方正仿宋简体" w:hAnsi="方正仿宋简体" w:eastAsia="方正仿宋简体" w:cs="方正仿宋简体"/>
          <w:b/>
          <w:sz w:val="48"/>
          <w:szCs w:val="48"/>
        </w:rPr>
      </w:pPr>
    </w:p>
    <w:p>
      <w:pPr>
        <w:spacing w:line="360" w:lineRule="auto"/>
        <w:jc w:val="center"/>
        <w:rPr>
          <w:rFonts w:ascii="方正仿宋简体" w:hAnsi="方正仿宋简体" w:eastAsia="方正仿宋简体" w:cs="方正仿宋简体"/>
          <w:b/>
          <w:sz w:val="48"/>
          <w:szCs w:val="48"/>
        </w:rPr>
      </w:pPr>
    </w:p>
    <w:p>
      <w:pPr>
        <w:spacing w:line="360" w:lineRule="auto"/>
        <w:rPr>
          <w:rFonts w:ascii="方正仿宋简体" w:hAnsi="方正仿宋简体" w:eastAsia="方正仿宋简体" w:cs="方正仿宋简体"/>
          <w:b/>
          <w:sz w:val="48"/>
          <w:szCs w:val="48"/>
        </w:rPr>
      </w:pPr>
    </w:p>
    <w:p>
      <w:pPr>
        <w:tabs>
          <w:tab w:val="left" w:pos="360"/>
        </w:tabs>
        <w:spacing w:line="360" w:lineRule="auto"/>
        <w:jc w:val="center"/>
        <w:rPr>
          <w:rFonts w:ascii="宋体" w:hAnsi="宋体"/>
          <w:b/>
          <w:sz w:val="32"/>
          <w:szCs w:val="20"/>
        </w:rPr>
      </w:pPr>
      <w:r>
        <w:rPr>
          <w:rFonts w:hint="eastAsia" w:ascii="宋体" w:hAnsi="宋体"/>
          <w:b/>
          <w:sz w:val="32"/>
          <w:szCs w:val="20"/>
        </w:rPr>
        <w:t>江苏省广电有线信息网络股份有限公司泰州分公司</w:t>
      </w:r>
    </w:p>
    <w:p>
      <w:pPr>
        <w:jc w:val="center"/>
        <w:rPr>
          <w:rFonts w:ascii="宋体" w:hAnsi="宋体"/>
          <w:b/>
          <w:sz w:val="32"/>
          <w:szCs w:val="20"/>
        </w:rPr>
      </w:pPr>
      <w:r>
        <w:rPr>
          <w:rFonts w:hint="eastAsia" w:ascii="宋体" w:hAnsi="宋体"/>
          <w:b/>
          <w:sz w:val="32"/>
          <w:szCs w:val="20"/>
        </w:rPr>
        <w:t>深圳市共济科技股份有限公司</w:t>
      </w:r>
    </w:p>
    <w:p>
      <w:pPr>
        <w:jc w:val="center"/>
        <w:rPr>
          <w:rFonts w:ascii="宋体" w:hAnsi="宋体"/>
          <w:b/>
          <w:sz w:val="32"/>
          <w:szCs w:val="20"/>
        </w:rPr>
      </w:pPr>
      <w:r>
        <w:rPr>
          <w:rFonts w:hint="eastAsia" w:ascii="宋体" w:hAnsi="宋体"/>
          <w:b/>
          <w:sz w:val="32"/>
          <w:szCs w:val="20"/>
        </w:rPr>
        <w:t>二O二三年五月</w:t>
      </w:r>
    </w:p>
    <w:p>
      <w:pPr>
        <w:spacing w:line="360" w:lineRule="auto"/>
        <w:jc w:val="center"/>
        <w:rPr>
          <w:rFonts w:ascii="方正仿宋简体" w:hAnsi="方正仿宋简体" w:eastAsia="方正仿宋简体" w:cs="方正仿宋简体"/>
          <w:b/>
          <w:sz w:val="48"/>
          <w:szCs w:val="48"/>
        </w:rPr>
        <w:sectPr>
          <w:pgSz w:w="11906" w:h="16838"/>
          <w:pgMar w:top="1440" w:right="1800" w:bottom="1440" w:left="1800" w:header="851" w:footer="992" w:gutter="0"/>
          <w:cols w:space="720" w:num="1"/>
          <w:docGrid w:type="lines" w:linePitch="312" w:charSpace="0"/>
        </w:sectPr>
      </w:pPr>
    </w:p>
    <w:p>
      <w:pPr>
        <w:spacing w:line="360" w:lineRule="auto"/>
        <w:ind w:firstLine="415" w:firstLineChars="197"/>
        <w:rPr>
          <w:szCs w:val="21"/>
        </w:rPr>
      </w:pPr>
      <w:r>
        <w:rPr>
          <w:b/>
          <w:szCs w:val="21"/>
          <w:u w:val="single"/>
        </w:rPr>
        <w:t>江苏省</w:t>
      </w:r>
      <w:r>
        <w:rPr>
          <w:rFonts w:hint="eastAsia"/>
          <w:b/>
          <w:szCs w:val="21"/>
          <w:u w:val="single"/>
        </w:rPr>
        <w:t>广电有线</w:t>
      </w:r>
      <w:r>
        <w:rPr>
          <w:b/>
          <w:szCs w:val="21"/>
          <w:u w:val="single"/>
        </w:rPr>
        <w:t>信息网络股份有限公司</w:t>
      </w:r>
      <w:r>
        <w:rPr>
          <w:rFonts w:hint="eastAsia"/>
          <w:b/>
          <w:szCs w:val="21"/>
          <w:u w:val="single"/>
        </w:rPr>
        <w:t>泰州分公司</w:t>
      </w:r>
      <w:r>
        <w:rPr>
          <w:b/>
          <w:szCs w:val="21"/>
          <w:u w:val="single"/>
        </w:rPr>
        <w:t>（以下简称“买方”）</w:t>
      </w:r>
      <w:r>
        <w:rPr>
          <w:szCs w:val="21"/>
        </w:rPr>
        <w:t>就</w:t>
      </w:r>
      <w:r>
        <w:rPr>
          <w:rFonts w:hint="eastAsia"/>
          <w:b/>
          <w:szCs w:val="21"/>
          <w:u w:val="single"/>
        </w:rPr>
        <w:t xml:space="preserve"> </w:t>
      </w:r>
      <w:bookmarkStart w:id="3" w:name="_Hlk528273134"/>
      <w:r>
        <w:rPr>
          <w:rFonts w:hint="eastAsia"/>
          <w:b/>
          <w:szCs w:val="21"/>
          <w:u w:val="single"/>
        </w:rPr>
        <w:t>分公司动环监控动环及系统升级项目</w:t>
      </w:r>
      <w:bookmarkEnd w:id="3"/>
      <w:r>
        <w:rPr>
          <w:b/>
          <w:szCs w:val="21"/>
          <w:u w:val="single"/>
        </w:rPr>
        <w:t xml:space="preserve"> </w:t>
      </w:r>
      <w:r>
        <w:rPr>
          <w:szCs w:val="21"/>
        </w:rPr>
        <w:t>的采购及相关服务，经评委会严格评审，本项目</w:t>
      </w:r>
      <w:r>
        <w:rPr>
          <w:rFonts w:hint="eastAsia"/>
          <w:szCs w:val="21"/>
        </w:rPr>
        <w:t>采用单一来源采购的方式确定</w:t>
      </w:r>
      <w:r>
        <w:rPr>
          <w:rFonts w:hint="eastAsia"/>
          <w:b/>
          <w:szCs w:val="21"/>
          <w:u w:val="single"/>
        </w:rPr>
        <w:t>深圳市共济科技股份有限公司</w:t>
      </w:r>
      <w:r>
        <w:rPr>
          <w:b/>
          <w:szCs w:val="21"/>
        </w:rPr>
        <w:t>（以下简称“卖方”）</w:t>
      </w:r>
      <w:r>
        <w:rPr>
          <w:rFonts w:hint="eastAsia"/>
          <w:szCs w:val="21"/>
        </w:rPr>
        <w:t>作为供货方</w:t>
      </w:r>
      <w:r>
        <w:rPr>
          <w:szCs w:val="21"/>
        </w:rPr>
        <w:t>。</w:t>
      </w:r>
      <w:r>
        <w:rPr>
          <w:bCs/>
          <w:szCs w:val="21"/>
        </w:rPr>
        <w:t>买、卖双方根据</w:t>
      </w:r>
      <w:r>
        <w:rPr>
          <w:rFonts w:hint="eastAsia"/>
          <w:b/>
          <w:szCs w:val="21"/>
          <w:u w:val="single"/>
        </w:rPr>
        <w:t>动环系统单一来源采购谈判纪要</w:t>
      </w:r>
      <w:r>
        <w:rPr>
          <w:rFonts w:hint="eastAsia"/>
          <w:szCs w:val="21"/>
        </w:rPr>
        <w:t>约定</w:t>
      </w:r>
      <w:r>
        <w:rPr>
          <w:szCs w:val="21"/>
        </w:rPr>
        <w:t>，依法签订本合同。</w:t>
      </w:r>
    </w:p>
    <w:p>
      <w:pPr>
        <w:spacing w:before="312" w:beforeLines="100" w:after="312" w:afterLines="100" w:line="360" w:lineRule="auto"/>
        <w:outlineLvl w:val="0"/>
        <w:rPr>
          <w:b/>
          <w:bCs/>
          <w:szCs w:val="20"/>
        </w:rPr>
      </w:pPr>
      <w:r>
        <w:rPr>
          <w:b/>
          <w:bCs/>
          <w:szCs w:val="20"/>
        </w:rPr>
        <w:t>一、项目标的内容</w:t>
      </w:r>
    </w:p>
    <w:p>
      <w:pPr>
        <w:spacing w:line="360" w:lineRule="auto"/>
        <w:ind w:firstLine="420" w:firstLineChars="200"/>
        <w:rPr>
          <w:szCs w:val="21"/>
        </w:rPr>
      </w:pPr>
      <w:r>
        <w:rPr>
          <w:szCs w:val="21"/>
        </w:rPr>
        <w:t>项目标的内容包括卖方按照买方具体要求供应“</w:t>
      </w:r>
      <w:r>
        <w:rPr>
          <w:rFonts w:hint="eastAsia"/>
          <w:b/>
          <w:szCs w:val="21"/>
          <w:u w:val="single"/>
        </w:rPr>
        <w:t xml:space="preserve"> 分公司动环及系统升级项目</w:t>
      </w:r>
      <w:r>
        <w:rPr>
          <w:b/>
          <w:szCs w:val="21"/>
          <w:u w:val="single"/>
        </w:rPr>
        <w:t xml:space="preserve"> </w:t>
      </w:r>
      <w:r>
        <w:rPr>
          <w:szCs w:val="21"/>
        </w:rPr>
        <w:t>”</w:t>
      </w:r>
      <w:r>
        <w:rPr>
          <w:rFonts w:hint="eastAsia"/>
          <w:szCs w:val="21"/>
        </w:rPr>
        <w:t>相关</w:t>
      </w:r>
      <w:r>
        <w:rPr>
          <w:szCs w:val="21"/>
        </w:rPr>
        <w:t>硬件设备、辅材</w:t>
      </w:r>
      <w:r>
        <w:rPr>
          <w:rFonts w:hint="eastAsia"/>
          <w:szCs w:val="21"/>
        </w:rPr>
        <w:t>、管理软件</w:t>
      </w:r>
      <w:r>
        <w:rPr>
          <w:szCs w:val="21"/>
        </w:rPr>
        <w:t>，并完成所有软、硬件的安装、调试及操作培训工作，同时卖方承诺配合买方及买方指定的厂商完成相关的系统集成。具体设备名称、规格型号、配置、数量、价格明细及总价等详见附件一：供货清单。</w:t>
      </w:r>
    </w:p>
    <w:p>
      <w:pPr>
        <w:spacing w:before="312" w:beforeLines="100" w:after="312" w:afterLines="100" w:line="360" w:lineRule="auto"/>
        <w:outlineLvl w:val="0"/>
        <w:rPr>
          <w:b/>
          <w:bCs/>
          <w:szCs w:val="20"/>
        </w:rPr>
      </w:pPr>
      <w:r>
        <w:rPr>
          <w:b/>
          <w:bCs/>
          <w:szCs w:val="20"/>
        </w:rPr>
        <w:t>二、合同总价</w:t>
      </w:r>
    </w:p>
    <w:p>
      <w:pPr>
        <w:numPr>
          <w:ilvl w:val="1"/>
          <w:numId w:val="1"/>
        </w:numPr>
        <w:tabs>
          <w:tab w:val="left" w:pos="0"/>
        </w:tabs>
        <w:spacing w:line="360" w:lineRule="auto"/>
        <w:ind w:left="851" w:hanging="851"/>
        <w:rPr>
          <w:szCs w:val="21"/>
        </w:rPr>
      </w:pPr>
      <w:r>
        <w:rPr>
          <w:szCs w:val="21"/>
        </w:rPr>
        <w:t>合同总价</w:t>
      </w:r>
      <w:r>
        <w:rPr>
          <w:b/>
          <w:szCs w:val="21"/>
        </w:rPr>
        <w:t>（人民币大写）：</w:t>
      </w:r>
      <w:r>
        <w:rPr>
          <w:b/>
          <w:szCs w:val="21"/>
          <w:u w:val="single"/>
        </w:rPr>
        <w:t>￥：</w:t>
      </w:r>
      <w:r>
        <w:rPr>
          <w:rFonts w:hint="eastAsia"/>
          <w:b/>
          <w:szCs w:val="21"/>
          <w:u w:val="single"/>
        </w:rPr>
        <w:t xml:space="preserve"> </w:t>
      </w:r>
      <w:r>
        <w:rPr>
          <w:b/>
          <w:szCs w:val="21"/>
          <w:u w:val="single"/>
        </w:rPr>
        <w:t xml:space="preserve">                </w:t>
      </w:r>
      <w:r>
        <w:rPr>
          <w:szCs w:val="21"/>
        </w:rPr>
        <w:t>。</w:t>
      </w:r>
      <w:r>
        <w:rPr>
          <w:b/>
          <w:szCs w:val="21"/>
        </w:rPr>
        <w:t>（人民币小写）：</w:t>
      </w:r>
      <w:r>
        <w:rPr>
          <w:b/>
          <w:szCs w:val="21"/>
          <w:u w:val="single"/>
        </w:rPr>
        <w:t>￥：</w:t>
      </w:r>
      <w:r>
        <w:rPr>
          <w:rFonts w:hint="eastAsia"/>
          <w:b/>
          <w:szCs w:val="21"/>
          <w:u w:val="single"/>
        </w:rPr>
        <w:t xml:space="preserve"> </w:t>
      </w:r>
      <w:r>
        <w:rPr>
          <w:b/>
          <w:szCs w:val="21"/>
          <w:u w:val="single"/>
        </w:rPr>
        <w:t xml:space="preserve">        元</w:t>
      </w:r>
      <w:r>
        <w:rPr>
          <w:szCs w:val="21"/>
        </w:rPr>
        <w:t>。</w:t>
      </w:r>
    </w:p>
    <w:p>
      <w:pPr>
        <w:numPr>
          <w:ilvl w:val="1"/>
          <w:numId w:val="1"/>
        </w:numPr>
        <w:tabs>
          <w:tab w:val="left" w:pos="0"/>
        </w:tabs>
        <w:spacing w:line="360" w:lineRule="auto"/>
        <w:ind w:left="0" w:firstLine="0"/>
        <w:rPr>
          <w:szCs w:val="21"/>
        </w:rPr>
      </w:pPr>
      <w:r>
        <w:rPr>
          <w:szCs w:val="21"/>
        </w:rPr>
        <w:t>合同总价系指按本合同的规定，卖方在完全履行了合同的义务后，买方支付给卖方的总价款，包括但不限于软、硬件系统的采购费、包装费、运输费、保险费、安装调试费、随机提供的备品备件和专用工具费、检测验收费、培训费、售后服务费，以及与所供产品和服务有关的一切税费。</w:t>
      </w:r>
    </w:p>
    <w:p>
      <w:pPr>
        <w:spacing w:line="360" w:lineRule="auto"/>
        <w:rPr>
          <w:szCs w:val="21"/>
        </w:rPr>
      </w:pPr>
      <w:r>
        <w:rPr>
          <w:rFonts w:hint="eastAsia"/>
          <w:b/>
          <w:szCs w:val="21"/>
        </w:rPr>
        <w:t>三、入围供货条款</w:t>
      </w:r>
    </w:p>
    <w:p>
      <w:pPr>
        <w:spacing w:line="360" w:lineRule="auto"/>
        <w:rPr>
          <w:szCs w:val="21"/>
        </w:rPr>
      </w:pPr>
      <w:r>
        <w:rPr>
          <w:rFonts w:hint="eastAsia"/>
          <w:szCs w:val="21"/>
        </w:rPr>
        <w:t>1、买方选定卖方作为本次采购确定的</w:t>
      </w:r>
      <w:r>
        <w:rPr>
          <w:rFonts w:hint="eastAsia"/>
          <w:szCs w:val="21"/>
          <w:u w:val="single"/>
        </w:rPr>
        <w:t>机房监控系统及相关配件</w:t>
      </w:r>
      <w:r>
        <w:rPr>
          <w:rFonts w:hint="eastAsia"/>
          <w:szCs w:val="21"/>
        </w:rPr>
        <w:t>的入围供货商。</w:t>
      </w:r>
    </w:p>
    <w:p>
      <w:pPr>
        <w:spacing w:line="360" w:lineRule="auto"/>
        <w:rPr>
          <w:szCs w:val="21"/>
        </w:rPr>
      </w:pPr>
      <w:r>
        <w:rPr>
          <w:rFonts w:hint="eastAsia"/>
          <w:szCs w:val="21"/>
        </w:rPr>
        <w:t>2、江苏有线泰州地区市分公司、县（区）分公司在进行本次采购型号机房监控系统及相关配件后续采购时，卖方需按照其</w:t>
      </w:r>
      <w:r>
        <w:rPr>
          <w:szCs w:val="21"/>
        </w:rPr>
        <w:t>投标文件和询标时做出的书面承诺</w:t>
      </w:r>
      <w:r>
        <w:rPr>
          <w:rFonts w:hint="eastAsia"/>
          <w:szCs w:val="21"/>
        </w:rPr>
        <w:t>单价进行供货。</w:t>
      </w:r>
    </w:p>
    <w:p>
      <w:pPr>
        <w:spacing w:line="360" w:lineRule="auto"/>
        <w:rPr>
          <w:szCs w:val="21"/>
        </w:rPr>
      </w:pPr>
      <w:r>
        <w:rPr>
          <w:rFonts w:hint="eastAsia"/>
          <w:szCs w:val="21"/>
        </w:rPr>
        <w:t>3、机房监控系统主机的采购单价包含各设备必备的附件。</w:t>
      </w:r>
    </w:p>
    <w:p>
      <w:pPr>
        <w:spacing w:line="360" w:lineRule="auto"/>
        <w:rPr>
          <w:szCs w:val="21"/>
        </w:rPr>
      </w:pPr>
      <w:r>
        <w:rPr>
          <w:rFonts w:hint="eastAsia"/>
          <w:szCs w:val="21"/>
        </w:rPr>
        <w:t>4、在合同期内，该型号机房监控系统及相关配件市场价格出现下调低于本合同单价时，买方有权与卖方进行协商，签订新的合同，并在合同生效后按新的单价进行后续产品供货。</w:t>
      </w:r>
    </w:p>
    <w:p>
      <w:pPr>
        <w:spacing w:before="312" w:beforeLines="100" w:after="312" w:afterLines="100" w:line="360" w:lineRule="auto"/>
        <w:outlineLvl w:val="0"/>
        <w:rPr>
          <w:b/>
          <w:bCs/>
          <w:szCs w:val="20"/>
        </w:rPr>
      </w:pPr>
      <w:r>
        <w:rPr>
          <w:rFonts w:hint="eastAsia"/>
          <w:b/>
          <w:bCs/>
          <w:szCs w:val="20"/>
        </w:rPr>
        <w:t>四</w:t>
      </w:r>
      <w:r>
        <w:rPr>
          <w:b/>
          <w:bCs/>
          <w:szCs w:val="20"/>
        </w:rPr>
        <w:t>、产品的质量要求</w:t>
      </w:r>
    </w:p>
    <w:p>
      <w:pPr>
        <w:spacing w:line="360" w:lineRule="auto"/>
        <w:ind w:firstLine="420" w:firstLineChars="200"/>
        <w:rPr>
          <w:szCs w:val="21"/>
        </w:rPr>
      </w:pPr>
      <w:r>
        <w:rPr>
          <w:szCs w:val="21"/>
        </w:rPr>
        <w:t>卖方所提供产品的技术指标和生产工艺必须完全满足买方在“</w:t>
      </w:r>
      <w:r>
        <w:rPr>
          <w:rFonts w:hint="eastAsia"/>
          <w:b/>
          <w:szCs w:val="21"/>
          <w:u w:val="single"/>
        </w:rPr>
        <w:t xml:space="preserve"> 分公司动环及系统升级项目</w:t>
      </w:r>
      <w:r>
        <w:rPr>
          <w:b/>
          <w:szCs w:val="21"/>
          <w:u w:val="single"/>
        </w:rPr>
        <w:t xml:space="preserve"> </w:t>
      </w:r>
      <w:r>
        <w:rPr>
          <w:szCs w:val="21"/>
        </w:rPr>
        <w:t>”的技术</w:t>
      </w:r>
      <w:r>
        <w:rPr>
          <w:rFonts w:hint="eastAsia"/>
          <w:szCs w:val="21"/>
        </w:rPr>
        <w:t>需要</w:t>
      </w:r>
      <w:r>
        <w:rPr>
          <w:szCs w:val="21"/>
        </w:rPr>
        <w:t>，卖方所提供产品的功能与服务实现必须完全遵守</w:t>
      </w:r>
      <w:r>
        <w:rPr>
          <w:rFonts w:hint="eastAsia"/>
          <w:szCs w:val="21"/>
        </w:rPr>
        <w:t>谈判</w:t>
      </w:r>
      <w:r>
        <w:rPr>
          <w:szCs w:val="21"/>
        </w:rPr>
        <w:t>时做出的书面承诺；卖方保证所提供的商品是原厂原装产品，提供原厂或原产地证明，且系崭新的、未使用过的产品，没有任何版权或其他权属争议；卖方须提供产品的出厂检测报告和产品质量合格证明书，且符合相应技术规定的品质和规格要求；若产品技术性能无相应说明，则按国家或国际有关部门最新颁布的标准及规范为准。卖方保证提供的所有产品是现阶段主流产品，没有停产的计划。</w:t>
      </w:r>
    </w:p>
    <w:p>
      <w:pPr>
        <w:spacing w:before="312" w:beforeLines="100" w:after="312" w:afterLines="100" w:line="360" w:lineRule="auto"/>
        <w:outlineLvl w:val="0"/>
        <w:rPr>
          <w:b/>
          <w:bCs/>
          <w:szCs w:val="20"/>
        </w:rPr>
      </w:pPr>
      <w:r>
        <w:rPr>
          <w:rFonts w:hint="eastAsia"/>
          <w:b/>
          <w:bCs/>
          <w:szCs w:val="20"/>
        </w:rPr>
        <w:t>五</w:t>
      </w:r>
      <w:r>
        <w:rPr>
          <w:b/>
          <w:bCs/>
          <w:szCs w:val="20"/>
        </w:rPr>
        <w:t>、产品的包装</w:t>
      </w:r>
    </w:p>
    <w:p>
      <w:pPr>
        <w:numPr>
          <w:ilvl w:val="0"/>
          <w:numId w:val="2"/>
        </w:numPr>
        <w:tabs>
          <w:tab w:val="left" w:pos="0"/>
        </w:tabs>
        <w:spacing w:line="360" w:lineRule="auto"/>
        <w:ind w:left="0" w:firstLine="0"/>
        <w:rPr>
          <w:szCs w:val="21"/>
        </w:rPr>
      </w:pPr>
      <w:r>
        <w:rPr>
          <w:szCs w:val="21"/>
        </w:rPr>
        <w:t>所有产品由卖方负责妥善包装，附件、清单完整齐全，注明储运标志，并适合于长途运输。由于包装不充分或采用不妥当的包装而引起的所有损失和责任由卖方承担。</w:t>
      </w:r>
    </w:p>
    <w:p>
      <w:pPr>
        <w:numPr>
          <w:ilvl w:val="0"/>
          <w:numId w:val="2"/>
        </w:numPr>
        <w:tabs>
          <w:tab w:val="left" w:pos="0"/>
        </w:tabs>
        <w:spacing w:line="360" w:lineRule="auto"/>
        <w:ind w:left="0" w:firstLine="0"/>
        <w:rPr>
          <w:szCs w:val="21"/>
        </w:rPr>
      </w:pPr>
      <w:r>
        <w:rPr>
          <w:szCs w:val="21"/>
        </w:rPr>
        <w:t>每件包装外面应清楚地打上记号，这些记号或标志应在运单上说明。</w:t>
      </w:r>
    </w:p>
    <w:p>
      <w:pPr>
        <w:numPr>
          <w:ilvl w:val="0"/>
          <w:numId w:val="2"/>
        </w:numPr>
        <w:tabs>
          <w:tab w:val="left" w:pos="0"/>
        </w:tabs>
        <w:spacing w:line="360" w:lineRule="auto"/>
        <w:ind w:left="0" w:firstLine="0"/>
        <w:rPr>
          <w:szCs w:val="21"/>
        </w:rPr>
      </w:pPr>
      <w:r>
        <w:rPr>
          <w:szCs w:val="21"/>
        </w:rPr>
        <w:t>备品备件及专用工具应在箱内运送并与产品分别包装，这些包装应适合储存，在它们的整个储存年限内不会损坏，储存年限应在包装上说明，所有备件应加上标签，以示区别。</w:t>
      </w:r>
    </w:p>
    <w:p>
      <w:pPr>
        <w:numPr>
          <w:ilvl w:val="0"/>
          <w:numId w:val="2"/>
        </w:numPr>
        <w:tabs>
          <w:tab w:val="left" w:pos="0"/>
        </w:tabs>
        <w:spacing w:line="360" w:lineRule="auto"/>
        <w:ind w:left="0" w:firstLine="0"/>
        <w:rPr>
          <w:szCs w:val="21"/>
        </w:rPr>
      </w:pPr>
      <w:r>
        <w:rPr>
          <w:szCs w:val="21"/>
        </w:rPr>
        <w:t>卖方应提前3天通知买方负责收货的联系人，告知产品运送到项目现场的具体日期。</w:t>
      </w:r>
    </w:p>
    <w:p>
      <w:pPr>
        <w:spacing w:before="312" w:beforeLines="100" w:after="312" w:afterLines="100" w:line="360" w:lineRule="auto"/>
        <w:outlineLvl w:val="0"/>
        <w:rPr>
          <w:b/>
          <w:bCs/>
          <w:szCs w:val="20"/>
        </w:rPr>
      </w:pPr>
      <w:r>
        <w:rPr>
          <w:rFonts w:hint="eastAsia"/>
          <w:b/>
          <w:bCs/>
          <w:szCs w:val="20"/>
        </w:rPr>
        <w:t>六</w:t>
      </w:r>
      <w:r>
        <w:rPr>
          <w:b/>
          <w:bCs/>
          <w:szCs w:val="20"/>
        </w:rPr>
        <w:t>、</w:t>
      </w:r>
      <w:r>
        <w:rPr>
          <w:rFonts w:hint="eastAsia"/>
          <w:b/>
          <w:bCs/>
          <w:szCs w:val="20"/>
        </w:rPr>
        <w:t>交货要求</w:t>
      </w:r>
    </w:p>
    <w:p>
      <w:pPr>
        <w:numPr>
          <w:ilvl w:val="0"/>
          <w:numId w:val="3"/>
        </w:numPr>
        <w:tabs>
          <w:tab w:val="left" w:pos="0"/>
        </w:tabs>
        <w:spacing w:line="360" w:lineRule="auto"/>
        <w:ind w:left="0" w:firstLine="0"/>
        <w:rPr>
          <w:szCs w:val="21"/>
        </w:rPr>
      </w:pPr>
      <w:r>
        <w:rPr>
          <w:szCs w:val="21"/>
        </w:rPr>
        <w:t>产品的交货地点为买方指定地点、指定楼层。</w:t>
      </w:r>
    </w:p>
    <w:p>
      <w:pPr>
        <w:numPr>
          <w:ilvl w:val="0"/>
          <w:numId w:val="3"/>
        </w:numPr>
        <w:tabs>
          <w:tab w:val="left" w:pos="0"/>
        </w:tabs>
        <w:spacing w:line="360" w:lineRule="auto"/>
        <w:ind w:left="0" w:firstLine="0"/>
        <w:rPr>
          <w:szCs w:val="21"/>
        </w:rPr>
      </w:pPr>
      <w:r>
        <w:rPr>
          <w:szCs w:val="21"/>
        </w:rPr>
        <w:t>卖方交货时应提供下列技术资料：</w:t>
      </w:r>
    </w:p>
    <w:p>
      <w:pPr>
        <w:spacing w:line="360" w:lineRule="auto"/>
        <w:rPr>
          <w:szCs w:val="21"/>
        </w:rPr>
      </w:pPr>
      <w:r>
        <w:rPr>
          <w:szCs w:val="21"/>
        </w:rPr>
        <w:t>（1）产品原厂或原产地证明；</w:t>
      </w:r>
    </w:p>
    <w:p>
      <w:pPr>
        <w:spacing w:line="360" w:lineRule="auto"/>
        <w:rPr>
          <w:szCs w:val="21"/>
        </w:rPr>
      </w:pPr>
      <w:r>
        <w:rPr>
          <w:szCs w:val="21"/>
        </w:rPr>
        <w:t>（2）产品出厂检验报告和产品合格证；</w:t>
      </w:r>
    </w:p>
    <w:p>
      <w:pPr>
        <w:spacing w:line="360" w:lineRule="auto"/>
        <w:rPr>
          <w:szCs w:val="21"/>
        </w:rPr>
      </w:pPr>
      <w:r>
        <w:rPr>
          <w:szCs w:val="21"/>
        </w:rPr>
        <w:t>（3）</w:t>
      </w:r>
      <w:r>
        <w:rPr>
          <w:rFonts w:hint="eastAsia"/>
          <w:szCs w:val="21"/>
        </w:rPr>
        <w:t>必备的说明书和使用手册</w:t>
      </w:r>
      <w:r>
        <w:rPr>
          <w:szCs w:val="21"/>
        </w:rPr>
        <w:t>。</w:t>
      </w:r>
    </w:p>
    <w:p>
      <w:pPr>
        <w:numPr>
          <w:ilvl w:val="0"/>
          <w:numId w:val="3"/>
        </w:numPr>
        <w:tabs>
          <w:tab w:val="left" w:pos="0"/>
        </w:tabs>
        <w:spacing w:line="360" w:lineRule="auto"/>
        <w:ind w:left="0" w:firstLine="0"/>
        <w:rPr>
          <w:szCs w:val="21"/>
        </w:rPr>
      </w:pPr>
      <w:r>
        <w:rPr>
          <w:szCs w:val="21"/>
        </w:rPr>
        <w:t>设备到货后，买方负责清点货物包装箱件数。在设备安装调试前，买卖双方代表在施工现场共同开箱清点验收货物。若一方因故无法抵达施工现场，则无条件接受另一方开箱清点验收结果。</w:t>
      </w:r>
    </w:p>
    <w:p>
      <w:pPr>
        <w:numPr>
          <w:ilvl w:val="0"/>
          <w:numId w:val="3"/>
        </w:numPr>
        <w:tabs>
          <w:tab w:val="left" w:pos="0"/>
        </w:tabs>
        <w:spacing w:line="360" w:lineRule="auto"/>
        <w:ind w:left="0" w:firstLine="0"/>
        <w:rPr>
          <w:szCs w:val="21"/>
        </w:rPr>
      </w:pPr>
      <w:r>
        <w:rPr>
          <w:szCs w:val="21"/>
        </w:rPr>
        <w:t>买方有权拒收运抵现场的被损坏或有缺陷的或不符合</w:t>
      </w:r>
      <w:r>
        <w:rPr>
          <w:rFonts w:hint="eastAsia"/>
          <w:szCs w:val="21"/>
        </w:rPr>
        <w:t>谈判纪要确定型号</w:t>
      </w:r>
      <w:r>
        <w:rPr>
          <w:szCs w:val="21"/>
        </w:rPr>
        <w:t>的任何产品。</w:t>
      </w:r>
    </w:p>
    <w:p>
      <w:pPr>
        <w:spacing w:before="312" w:beforeLines="100" w:after="312" w:afterLines="100" w:line="360" w:lineRule="auto"/>
        <w:outlineLvl w:val="0"/>
        <w:rPr>
          <w:b/>
          <w:bCs/>
          <w:szCs w:val="20"/>
        </w:rPr>
      </w:pPr>
      <w:r>
        <w:rPr>
          <w:rFonts w:hint="eastAsia"/>
          <w:b/>
          <w:bCs/>
          <w:szCs w:val="20"/>
        </w:rPr>
        <w:t>七</w:t>
      </w:r>
      <w:r>
        <w:rPr>
          <w:b/>
          <w:bCs/>
          <w:szCs w:val="20"/>
        </w:rPr>
        <w:t>、运输费用</w:t>
      </w:r>
    </w:p>
    <w:p>
      <w:pPr>
        <w:spacing w:line="360" w:lineRule="auto"/>
        <w:ind w:firstLine="420" w:firstLineChars="200"/>
        <w:rPr>
          <w:szCs w:val="21"/>
        </w:rPr>
      </w:pPr>
      <w:r>
        <w:rPr>
          <w:szCs w:val="21"/>
        </w:rPr>
        <w:t>卖方承担所有产品的运输、装卸和保险等费用。</w:t>
      </w:r>
    </w:p>
    <w:p>
      <w:pPr>
        <w:spacing w:before="312" w:beforeLines="100" w:after="312" w:afterLines="100" w:line="360" w:lineRule="auto"/>
        <w:outlineLvl w:val="0"/>
        <w:rPr>
          <w:b/>
          <w:bCs/>
          <w:szCs w:val="20"/>
        </w:rPr>
      </w:pPr>
      <w:r>
        <w:rPr>
          <w:rFonts w:hint="eastAsia"/>
          <w:b/>
          <w:bCs/>
          <w:szCs w:val="20"/>
        </w:rPr>
        <w:t>八</w:t>
      </w:r>
      <w:r>
        <w:rPr>
          <w:b/>
          <w:bCs/>
          <w:szCs w:val="20"/>
        </w:rPr>
        <w:t>、供货周期</w:t>
      </w:r>
    </w:p>
    <w:p>
      <w:pPr>
        <w:spacing w:line="360" w:lineRule="auto"/>
        <w:ind w:firstLine="420" w:firstLineChars="200"/>
        <w:rPr>
          <w:szCs w:val="21"/>
        </w:rPr>
      </w:pPr>
      <w:r>
        <w:rPr>
          <w:rFonts w:hint="eastAsia"/>
          <w:szCs w:val="21"/>
        </w:rPr>
        <w:t>所有货物在合同生效后20天内运抵买方驻地，配合买方要求尽快完成设备安装调试和培训。卖方每逾期一天（不足一天按一天计算），按设备总价的5‰收取滞纳金，滞纳金从合同款中扣除。如逾期时间超过5天仍未能交付全部或部分设备（软件），在不妨碍买方其他救济手段的情况下，买方可以向卖方发出书面违约通知从而全部或部分地终止合同，并向卖方索赔。卖方逾期交货，买方接受的，不影响买方追究卖方逾期交货的违约责任。</w:t>
      </w:r>
    </w:p>
    <w:p>
      <w:pPr>
        <w:spacing w:before="312" w:beforeLines="100" w:after="312" w:afterLines="100" w:line="360" w:lineRule="auto"/>
        <w:outlineLvl w:val="0"/>
        <w:rPr>
          <w:b/>
          <w:bCs/>
          <w:szCs w:val="20"/>
        </w:rPr>
      </w:pPr>
      <w:r>
        <w:rPr>
          <w:rFonts w:hint="eastAsia"/>
          <w:b/>
          <w:bCs/>
          <w:szCs w:val="20"/>
        </w:rPr>
        <w:t>九</w:t>
      </w:r>
      <w:r>
        <w:rPr>
          <w:b/>
          <w:bCs/>
          <w:szCs w:val="20"/>
        </w:rPr>
        <w:t>、验收标准</w:t>
      </w:r>
    </w:p>
    <w:p>
      <w:pPr>
        <w:numPr>
          <w:ilvl w:val="0"/>
          <w:numId w:val="4"/>
        </w:numPr>
        <w:tabs>
          <w:tab w:val="left" w:pos="0"/>
        </w:tabs>
        <w:spacing w:line="360" w:lineRule="auto"/>
        <w:ind w:left="0"/>
        <w:rPr>
          <w:szCs w:val="21"/>
        </w:rPr>
      </w:pPr>
      <w:r>
        <w:rPr>
          <w:szCs w:val="21"/>
        </w:rPr>
        <w:t>卖方需免费提供验收所需的测试工具、并搭建测试环境，按买方的</w:t>
      </w:r>
      <w:r>
        <w:rPr>
          <w:rFonts w:hint="eastAsia"/>
          <w:szCs w:val="21"/>
        </w:rPr>
        <w:t>技术</w:t>
      </w:r>
      <w:r>
        <w:rPr>
          <w:szCs w:val="21"/>
        </w:rPr>
        <w:t>要求进行验收。卖方在货到调试完毕、系统达到技术要求规定的指标并</w:t>
      </w:r>
      <w:r>
        <w:rPr>
          <w:rFonts w:hint="eastAsia"/>
          <w:szCs w:val="21"/>
        </w:rPr>
        <w:t>具备使用条件</w:t>
      </w:r>
      <w:r>
        <w:rPr>
          <w:szCs w:val="21"/>
        </w:rPr>
        <w:t>后，向买方提交“</w:t>
      </w:r>
      <w:r>
        <w:rPr>
          <w:rFonts w:hint="eastAsia"/>
          <w:b/>
          <w:szCs w:val="21"/>
          <w:u w:val="single"/>
        </w:rPr>
        <w:t xml:space="preserve"> 分公司动环及系统升级项目</w:t>
      </w:r>
      <w:r>
        <w:rPr>
          <w:b/>
          <w:szCs w:val="21"/>
          <w:u w:val="single"/>
        </w:rPr>
        <w:t xml:space="preserve"> </w:t>
      </w:r>
      <w:r>
        <w:rPr>
          <w:szCs w:val="21"/>
        </w:rPr>
        <w:t>”</w:t>
      </w:r>
      <w:r>
        <w:rPr>
          <w:rFonts w:hint="eastAsia"/>
          <w:szCs w:val="21"/>
        </w:rPr>
        <w:t>验收</w:t>
      </w:r>
      <w:r>
        <w:rPr>
          <w:szCs w:val="21"/>
        </w:rPr>
        <w:t>申请报告，买方应在接到卖方提供的系统初验申请报告后10个工作日内组织有关部门进行初验。试运行期为初验通过后的</w:t>
      </w:r>
      <w:r>
        <w:rPr>
          <w:rFonts w:hint="eastAsia"/>
          <w:color w:val="FF0000"/>
          <w:szCs w:val="21"/>
        </w:rPr>
        <w:t>3</w:t>
      </w:r>
      <w:r>
        <w:rPr>
          <w:szCs w:val="21"/>
        </w:rPr>
        <w:t>个月。在试运行期结束后，如系统的设备性能和业务功能满足合同要求，卖方应提交终验申请报告和试运行报告，试运行报告应包括所有数据记录和故障处理过程。买方应在收到终验申请报告及全部文件后的10个工作日内组织有关部门验收，并在验收后10个工作日内给予验收结果或提出修改意见。</w:t>
      </w:r>
    </w:p>
    <w:p>
      <w:pPr>
        <w:numPr>
          <w:ilvl w:val="0"/>
          <w:numId w:val="4"/>
        </w:numPr>
        <w:tabs>
          <w:tab w:val="left" w:pos="0"/>
        </w:tabs>
        <w:spacing w:line="360" w:lineRule="auto"/>
        <w:ind w:left="0"/>
        <w:rPr>
          <w:szCs w:val="21"/>
        </w:rPr>
      </w:pPr>
      <w:r>
        <w:rPr>
          <w:szCs w:val="21"/>
        </w:rPr>
        <w:t>如第一次初验或终验未通过，买方应将有关不符合要求的情况书面通知卖方，卖方应在收到买方书面通知后20天内完成对系统的调整，使系统达到验收标准，并再次向买方提出验收申请。买方应在接到调整后的系统验收申请报告10个工作日内组织第二次验收。如系统仍未通过验收，则视为系统不合格，买方有权按照本合同的相关条款追究卖方的责任。</w:t>
      </w:r>
    </w:p>
    <w:p>
      <w:pPr>
        <w:numPr>
          <w:ilvl w:val="0"/>
          <w:numId w:val="4"/>
        </w:numPr>
        <w:tabs>
          <w:tab w:val="left" w:pos="0"/>
        </w:tabs>
        <w:spacing w:line="360" w:lineRule="auto"/>
        <w:ind w:left="0"/>
        <w:rPr>
          <w:szCs w:val="21"/>
        </w:rPr>
      </w:pPr>
      <w:r>
        <w:rPr>
          <w:szCs w:val="21"/>
        </w:rPr>
        <w:t>因买方原因未能及时组织初验或终验，买方应在卖方的协助下尽快解决问题。在卖方提出书面申请后，如买方无正当理由在一个月内不予响应的，则视为系统验收通过。</w:t>
      </w:r>
    </w:p>
    <w:p>
      <w:pPr>
        <w:numPr>
          <w:ilvl w:val="0"/>
          <w:numId w:val="4"/>
        </w:numPr>
        <w:tabs>
          <w:tab w:val="left" w:pos="0"/>
        </w:tabs>
        <w:spacing w:line="360" w:lineRule="auto"/>
        <w:ind w:left="0"/>
        <w:rPr>
          <w:szCs w:val="21"/>
        </w:rPr>
      </w:pPr>
      <w:r>
        <w:rPr>
          <w:szCs w:val="21"/>
        </w:rPr>
        <w:t>买、卖双方应按合同规定的时间进行初验和终验，验收时间因各种原因需要更改的，买、卖双方应共同商定修改验收日期。</w:t>
      </w:r>
    </w:p>
    <w:p>
      <w:pPr>
        <w:numPr>
          <w:ilvl w:val="0"/>
          <w:numId w:val="4"/>
        </w:numPr>
        <w:tabs>
          <w:tab w:val="left" w:pos="0"/>
        </w:tabs>
        <w:spacing w:line="360" w:lineRule="auto"/>
        <w:ind w:left="0"/>
        <w:rPr>
          <w:szCs w:val="21"/>
        </w:rPr>
      </w:pPr>
      <w:r>
        <w:rPr>
          <w:szCs w:val="21"/>
        </w:rPr>
        <w:t>在初验和终验过程中，若一方对验收过程或结果提出质疑，且经协商不成的，可由买方选择法定检验机构进行检验，检验费用由卖方承担。</w:t>
      </w:r>
    </w:p>
    <w:p>
      <w:pPr>
        <w:numPr>
          <w:ilvl w:val="0"/>
          <w:numId w:val="4"/>
        </w:numPr>
        <w:tabs>
          <w:tab w:val="left" w:pos="0"/>
        </w:tabs>
        <w:spacing w:line="360" w:lineRule="auto"/>
        <w:ind w:left="0"/>
        <w:rPr>
          <w:szCs w:val="21"/>
        </w:rPr>
      </w:pPr>
      <w:r>
        <w:rPr>
          <w:szCs w:val="21"/>
        </w:rPr>
        <w:t>买、卖双方约定合同产品检验期自交货日起至终验通过之日止。买、卖双方约定合同产品免费</w:t>
      </w:r>
      <w:r>
        <w:rPr>
          <w:rFonts w:hint="eastAsia"/>
          <w:szCs w:val="21"/>
        </w:rPr>
        <w:t>质保</w:t>
      </w:r>
      <w:r>
        <w:rPr>
          <w:szCs w:val="21"/>
        </w:rPr>
        <w:t>期为1年，自双方签署《</w:t>
      </w:r>
      <w:r>
        <w:rPr>
          <w:rFonts w:hint="eastAsia"/>
          <w:szCs w:val="21"/>
        </w:rPr>
        <w:t>机房监控系统终验报告</w:t>
      </w:r>
      <w:r>
        <w:rPr>
          <w:szCs w:val="21"/>
        </w:rPr>
        <w:t>》之日起计算。</w:t>
      </w:r>
    </w:p>
    <w:p>
      <w:pPr>
        <w:spacing w:before="312" w:beforeLines="100" w:after="312" w:afterLines="100" w:line="360" w:lineRule="auto"/>
        <w:outlineLvl w:val="0"/>
        <w:rPr>
          <w:b/>
          <w:bCs/>
          <w:szCs w:val="20"/>
        </w:rPr>
      </w:pPr>
      <w:r>
        <w:rPr>
          <w:rFonts w:hint="eastAsia"/>
          <w:b/>
          <w:bCs/>
          <w:szCs w:val="20"/>
        </w:rPr>
        <w:t>十</w:t>
      </w:r>
      <w:r>
        <w:rPr>
          <w:b/>
          <w:bCs/>
          <w:szCs w:val="20"/>
        </w:rPr>
        <w:t>、付款方式</w:t>
      </w:r>
      <w:r>
        <w:rPr>
          <w:rFonts w:hint="eastAsia"/>
          <w:b/>
          <w:bCs/>
          <w:szCs w:val="20"/>
        </w:rPr>
        <w:t>、</w:t>
      </w:r>
      <w:r>
        <w:rPr>
          <w:b/>
          <w:bCs/>
          <w:szCs w:val="20"/>
        </w:rPr>
        <w:t>期限</w:t>
      </w:r>
      <w:r>
        <w:rPr>
          <w:rFonts w:hint="eastAsia"/>
          <w:b/>
          <w:bCs/>
          <w:szCs w:val="20"/>
        </w:rPr>
        <w:t>及保证金</w:t>
      </w:r>
    </w:p>
    <w:p>
      <w:pPr>
        <w:numPr>
          <w:ilvl w:val="0"/>
          <w:numId w:val="5"/>
        </w:numPr>
        <w:spacing w:line="360" w:lineRule="auto"/>
        <w:ind w:left="0" w:firstLine="0"/>
        <w:rPr>
          <w:szCs w:val="21"/>
        </w:rPr>
      </w:pPr>
      <w:r>
        <w:rPr>
          <w:szCs w:val="21"/>
        </w:rPr>
        <w:t>付款方式：付款方以</w:t>
      </w:r>
      <w:r>
        <w:rPr>
          <w:rFonts w:hint="eastAsia"/>
          <w:szCs w:val="21"/>
        </w:rPr>
        <w:t>6</w:t>
      </w:r>
      <w:r>
        <w:rPr>
          <w:szCs w:val="21"/>
        </w:rPr>
        <w:t>个月</w:t>
      </w:r>
      <w:r>
        <w:rPr>
          <w:rFonts w:hint="eastAsia"/>
          <w:szCs w:val="21"/>
        </w:rPr>
        <w:t>银行承兑</w:t>
      </w:r>
      <w:r>
        <w:rPr>
          <w:szCs w:val="21"/>
        </w:rPr>
        <w:t>的方式汇入收款方的账号内，禁止将货款划入其他账号或支付现金。如收款方的账号和开户行变更，须及时以书面形式通知付款方，通知上必须同时盖有收款方的合同章和财务章。</w:t>
      </w:r>
    </w:p>
    <w:p>
      <w:pPr>
        <w:numPr>
          <w:ilvl w:val="0"/>
          <w:numId w:val="5"/>
        </w:numPr>
        <w:spacing w:line="360" w:lineRule="auto"/>
        <w:ind w:left="0" w:firstLine="0"/>
        <w:rPr>
          <w:szCs w:val="21"/>
        </w:rPr>
      </w:pPr>
      <w:r>
        <w:rPr>
          <w:szCs w:val="21"/>
        </w:rPr>
        <w:t>付款期限：终</w:t>
      </w:r>
      <w:r>
        <w:rPr>
          <w:rFonts w:hint="eastAsia"/>
          <w:szCs w:val="21"/>
        </w:rPr>
        <w:t>验合格票到</w:t>
      </w:r>
      <w:r>
        <w:rPr>
          <w:rFonts w:hint="eastAsia"/>
          <w:color w:val="FF0000"/>
          <w:szCs w:val="21"/>
        </w:rPr>
        <w:t>一</w:t>
      </w:r>
      <w:r>
        <w:rPr>
          <w:rFonts w:hint="eastAsia"/>
          <w:szCs w:val="21"/>
        </w:rPr>
        <w:t>个月后付合同款的90%；</w:t>
      </w:r>
      <w:r>
        <w:rPr>
          <w:szCs w:val="21"/>
        </w:rPr>
        <w:t>10%余款终验合格</w:t>
      </w:r>
      <w:r>
        <w:rPr>
          <w:rFonts w:hint="eastAsia"/>
          <w:szCs w:val="21"/>
        </w:rPr>
        <w:t>一年后</w:t>
      </w:r>
      <w:r>
        <w:rPr>
          <w:szCs w:val="21"/>
        </w:rPr>
        <w:t>付清</w:t>
      </w:r>
      <w:r>
        <w:rPr>
          <w:color w:val="FF0000"/>
          <w:szCs w:val="21"/>
        </w:rPr>
        <w:t>（无息）</w:t>
      </w:r>
      <w:r>
        <w:rPr>
          <w:szCs w:val="21"/>
        </w:rPr>
        <w:t>。</w:t>
      </w:r>
      <w:r>
        <w:rPr>
          <w:rFonts w:hint="eastAsia" w:hAnsi="宋体"/>
          <w:szCs w:val="21"/>
        </w:rPr>
        <w:t>卖方应提前5个工作日提供相应</w:t>
      </w:r>
      <w:r>
        <w:rPr>
          <w:rFonts w:hint="eastAsia" w:hAnsi="宋体"/>
          <w:color w:val="FF0000"/>
          <w:szCs w:val="21"/>
        </w:rPr>
        <w:t>13%</w:t>
      </w:r>
      <w:r>
        <w:rPr>
          <w:rFonts w:hint="eastAsia" w:hAnsi="宋体"/>
          <w:szCs w:val="21"/>
        </w:rPr>
        <w:t>增值税专用发票。买方将根据实际需要对机房监控系统进行后续采购，后续采购款项，按上述比例支付。实际采购数量以订货单为准。</w:t>
      </w:r>
    </w:p>
    <w:p>
      <w:pPr>
        <w:numPr>
          <w:ilvl w:val="0"/>
          <w:numId w:val="5"/>
        </w:numPr>
        <w:spacing w:line="360" w:lineRule="auto"/>
        <w:ind w:left="0" w:firstLine="0"/>
        <w:rPr>
          <w:b/>
          <w:bCs/>
          <w:szCs w:val="20"/>
        </w:rPr>
      </w:pPr>
      <w:r>
        <w:rPr>
          <w:szCs w:val="20"/>
        </w:rPr>
        <w:t>质量保证金：质量保证金包含对履约的保证、对质量的保证和廉政的保证。</w:t>
      </w:r>
      <w:r>
        <w:rPr>
          <w:rFonts w:hint="eastAsia" w:hAnsi="宋体"/>
          <w:szCs w:val="21"/>
        </w:rPr>
        <w:t>中标人的设备按买方的要求到位且初验合格后，其履约保证金转为质量保证金，该保证金在初验合格一年质保期结束后无息返还。</w:t>
      </w:r>
      <w:r>
        <w:rPr>
          <w:szCs w:val="20"/>
        </w:rPr>
        <w:t>在合同履行过程中，如卖方</w:t>
      </w:r>
      <w:r>
        <w:rPr>
          <w:rFonts w:hint="eastAsia"/>
          <w:szCs w:val="20"/>
        </w:rPr>
        <w:t>不</w:t>
      </w:r>
      <w:r>
        <w:rPr>
          <w:szCs w:val="20"/>
        </w:rPr>
        <w:t>承担履约保证、质量保证或廉政保证中约定的保证责任，买方有权直接在质量保证金中扣除；扣除后保证金不足的，卖方应在五个工作日内补足，或由买方直接在应付账款中扣除。</w:t>
      </w:r>
    </w:p>
    <w:p>
      <w:pPr>
        <w:spacing w:before="312" w:beforeLines="100" w:after="312" w:afterLines="100" w:line="360" w:lineRule="auto"/>
        <w:outlineLvl w:val="0"/>
        <w:rPr>
          <w:b/>
          <w:bCs/>
          <w:szCs w:val="20"/>
        </w:rPr>
      </w:pPr>
      <w:r>
        <w:rPr>
          <w:rFonts w:hint="eastAsia"/>
          <w:b/>
          <w:bCs/>
          <w:szCs w:val="20"/>
        </w:rPr>
        <w:t>十一</w:t>
      </w:r>
      <w:r>
        <w:rPr>
          <w:b/>
          <w:bCs/>
          <w:szCs w:val="20"/>
        </w:rPr>
        <w:t>、售后服务</w:t>
      </w:r>
    </w:p>
    <w:p>
      <w:pPr>
        <w:numPr>
          <w:ilvl w:val="0"/>
          <w:numId w:val="6"/>
        </w:numPr>
        <w:tabs>
          <w:tab w:val="left" w:pos="0"/>
        </w:tabs>
        <w:spacing w:line="360" w:lineRule="auto"/>
        <w:ind w:left="0" w:firstLine="0"/>
        <w:rPr>
          <w:szCs w:val="21"/>
        </w:rPr>
      </w:pPr>
      <w:r>
        <w:rPr>
          <w:szCs w:val="21"/>
        </w:rPr>
        <w:t>服务响应时间：卖方应按投标文件和询标时做出的书面承诺提供相应的服务和技术支持。</w:t>
      </w:r>
      <w:r>
        <w:rPr>
          <w:rFonts w:hint="eastAsia"/>
          <w:szCs w:val="21"/>
        </w:rPr>
        <w:t>卖方的服务电话为：</w:t>
      </w:r>
      <w:r>
        <w:rPr>
          <w:szCs w:val="21"/>
          <w:u w:val="single"/>
        </w:rPr>
        <w:t>0755</w:t>
      </w:r>
      <w:r>
        <w:rPr>
          <w:rFonts w:hint="eastAsia"/>
          <w:szCs w:val="21"/>
          <w:u w:val="single"/>
        </w:rPr>
        <w:t>-</w:t>
      </w:r>
      <w:r>
        <w:rPr>
          <w:szCs w:val="21"/>
          <w:u w:val="single"/>
        </w:rPr>
        <w:t>86168188</w:t>
      </w:r>
      <w:r>
        <w:rPr>
          <w:rFonts w:hint="eastAsia"/>
          <w:szCs w:val="21"/>
          <w:u w:val="single"/>
        </w:rPr>
        <w:t>-</w:t>
      </w:r>
      <w:r>
        <w:rPr>
          <w:szCs w:val="21"/>
          <w:u w:val="single"/>
        </w:rPr>
        <w:t>1</w:t>
      </w:r>
      <w:r>
        <w:rPr>
          <w:rFonts w:hint="eastAsia"/>
          <w:szCs w:val="21"/>
          <w:u w:val="single"/>
        </w:rPr>
        <w:t>或4008810181</w:t>
      </w:r>
      <w:r>
        <w:rPr>
          <w:rFonts w:hint="eastAsia"/>
          <w:szCs w:val="21"/>
        </w:rPr>
        <w:t>。</w:t>
      </w:r>
    </w:p>
    <w:p>
      <w:pPr>
        <w:numPr>
          <w:ilvl w:val="0"/>
          <w:numId w:val="6"/>
        </w:numPr>
        <w:tabs>
          <w:tab w:val="left" w:pos="0"/>
        </w:tabs>
        <w:spacing w:line="360" w:lineRule="auto"/>
        <w:ind w:left="0" w:firstLine="0"/>
        <w:rPr>
          <w:szCs w:val="21"/>
        </w:rPr>
      </w:pPr>
      <w:r>
        <w:rPr>
          <w:rFonts w:hint="eastAsia"/>
          <w:szCs w:val="20"/>
        </w:rPr>
        <w:t>运行保障：</w:t>
      </w:r>
    </w:p>
    <w:p>
      <w:pPr>
        <w:tabs>
          <w:tab w:val="left" w:pos="0"/>
        </w:tabs>
        <w:spacing w:line="360" w:lineRule="auto"/>
        <w:ind w:firstLine="420" w:firstLineChars="200"/>
        <w:rPr>
          <w:szCs w:val="20"/>
        </w:rPr>
      </w:pPr>
      <w:r>
        <w:rPr>
          <w:rFonts w:hint="eastAsia"/>
          <w:szCs w:val="20"/>
        </w:rPr>
        <w:t>卖方应派专人保证设备的调试工作。对调试过程中设备故障导致用户不能正常使用的应在2小时内相应，24小时内到场解决。非卖方设备问题问题导致用户不能正常使用的应积极配合买方排查故障原因并帮助解决。</w:t>
      </w:r>
    </w:p>
    <w:p>
      <w:pPr>
        <w:numPr>
          <w:ilvl w:val="0"/>
          <w:numId w:val="6"/>
        </w:numPr>
        <w:tabs>
          <w:tab w:val="left" w:pos="0"/>
        </w:tabs>
        <w:spacing w:line="360" w:lineRule="auto"/>
        <w:ind w:left="0" w:firstLine="0"/>
        <w:rPr>
          <w:szCs w:val="21"/>
        </w:rPr>
      </w:pPr>
      <w:r>
        <w:rPr>
          <w:szCs w:val="21"/>
        </w:rPr>
        <w:t>质保期：免费质保期1年，自买、卖双方签署《</w:t>
      </w:r>
      <w:r>
        <w:rPr>
          <w:rFonts w:hint="eastAsia"/>
          <w:szCs w:val="21"/>
        </w:rPr>
        <w:t>机房监控系统终验报告</w:t>
      </w:r>
      <w:r>
        <w:rPr>
          <w:szCs w:val="21"/>
        </w:rPr>
        <w:t>》之日起计算。超过免费质保期后，</w:t>
      </w:r>
      <w:r>
        <w:rPr>
          <w:rFonts w:hint="eastAsia"/>
          <w:szCs w:val="21"/>
        </w:rPr>
        <w:t>如买方要求卖方继续提供维保服务，其</w:t>
      </w:r>
      <w:r>
        <w:rPr>
          <w:szCs w:val="21"/>
        </w:rPr>
        <w:t>卖方应按投标文件和询标时做出的书面承诺提供相应</w:t>
      </w:r>
      <w:r>
        <w:rPr>
          <w:rFonts w:hint="eastAsia"/>
          <w:szCs w:val="21"/>
        </w:rPr>
        <w:t>维保服务，服务内容与质保期一致；如买方不要求卖方继续提供维保服务，</w:t>
      </w:r>
      <w:r>
        <w:rPr>
          <w:szCs w:val="21"/>
        </w:rPr>
        <w:t>卖方对其提供的产品在设备寿命期内</w:t>
      </w:r>
      <w:r>
        <w:rPr>
          <w:rFonts w:hint="eastAsia"/>
          <w:szCs w:val="21"/>
        </w:rPr>
        <w:t>应</w:t>
      </w:r>
      <w:r>
        <w:rPr>
          <w:szCs w:val="21"/>
        </w:rPr>
        <w:t>提供</w:t>
      </w:r>
      <w:r>
        <w:rPr>
          <w:rFonts w:hint="eastAsia"/>
          <w:szCs w:val="21"/>
        </w:rPr>
        <w:t>终身</w:t>
      </w:r>
      <w:r>
        <w:rPr>
          <w:szCs w:val="21"/>
        </w:rPr>
        <w:t>有偿保修服务。</w:t>
      </w:r>
    </w:p>
    <w:p>
      <w:pPr>
        <w:numPr>
          <w:ilvl w:val="0"/>
          <w:numId w:val="6"/>
        </w:numPr>
        <w:tabs>
          <w:tab w:val="left" w:pos="0"/>
        </w:tabs>
        <w:spacing w:line="360" w:lineRule="auto"/>
        <w:ind w:left="0" w:firstLine="0"/>
        <w:rPr>
          <w:szCs w:val="21"/>
        </w:rPr>
      </w:pPr>
      <w:r>
        <w:rPr>
          <w:szCs w:val="21"/>
        </w:rPr>
        <w:t>培训：包括投标文件和询标时做出的书面承诺的培训。卖方另行提供的其它培训，往返路程费用、住宿及餐饮等费用由卖方承担。</w:t>
      </w:r>
    </w:p>
    <w:p>
      <w:pPr>
        <w:numPr>
          <w:ilvl w:val="0"/>
          <w:numId w:val="6"/>
        </w:numPr>
        <w:tabs>
          <w:tab w:val="left" w:pos="0"/>
        </w:tabs>
        <w:spacing w:line="360" w:lineRule="auto"/>
        <w:ind w:left="0" w:firstLine="0"/>
        <w:rPr>
          <w:szCs w:val="21"/>
        </w:rPr>
      </w:pPr>
      <w:r>
        <w:rPr>
          <w:szCs w:val="21"/>
        </w:rPr>
        <w:t>原厂服务：卖方所提供的技术服务都由各产品制造商原厂</w:t>
      </w:r>
      <w:r>
        <w:rPr>
          <w:rFonts w:hint="eastAsia"/>
          <w:szCs w:val="21"/>
        </w:rPr>
        <w:t>授权</w:t>
      </w:r>
      <w:r>
        <w:rPr>
          <w:szCs w:val="21"/>
        </w:rPr>
        <w:t>提供。如卖方停止代理销售本合同涉及的品牌产品，则卖方保证由各产品制造商原厂继续提供所有的售后服务，且不免除卖方对此应承担的责任。</w:t>
      </w:r>
    </w:p>
    <w:p>
      <w:pPr>
        <w:spacing w:before="312" w:beforeLines="100" w:after="312" w:afterLines="100" w:line="360" w:lineRule="auto"/>
        <w:outlineLvl w:val="0"/>
        <w:rPr>
          <w:b/>
          <w:bCs/>
          <w:szCs w:val="20"/>
        </w:rPr>
      </w:pPr>
      <w:r>
        <w:rPr>
          <w:b/>
          <w:bCs/>
          <w:szCs w:val="20"/>
        </w:rPr>
        <w:t>十</w:t>
      </w:r>
      <w:r>
        <w:rPr>
          <w:rFonts w:hint="eastAsia"/>
          <w:b/>
          <w:bCs/>
          <w:szCs w:val="20"/>
        </w:rPr>
        <w:t>二</w:t>
      </w:r>
      <w:r>
        <w:rPr>
          <w:b/>
          <w:bCs/>
          <w:szCs w:val="20"/>
        </w:rPr>
        <w:t>、技术升级和优惠条件</w:t>
      </w:r>
    </w:p>
    <w:p>
      <w:pPr>
        <w:numPr>
          <w:ilvl w:val="0"/>
          <w:numId w:val="7"/>
        </w:numPr>
        <w:tabs>
          <w:tab w:val="left" w:pos="0"/>
        </w:tabs>
        <w:spacing w:line="360" w:lineRule="auto"/>
        <w:rPr>
          <w:szCs w:val="21"/>
        </w:rPr>
      </w:pPr>
      <w:r>
        <w:rPr>
          <w:szCs w:val="21"/>
        </w:rPr>
        <w:t>卖方对所供硬件及第三方软件在设备寿命期内提供免费的软件升级服务（包括设备模板），并在升级后为买方提供免费的培训。</w:t>
      </w:r>
    </w:p>
    <w:p>
      <w:pPr>
        <w:numPr>
          <w:ilvl w:val="0"/>
          <w:numId w:val="7"/>
        </w:numPr>
        <w:tabs>
          <w:tab w:val="left" w:pos="0"/>
        </w:tabs>
        <w:spacing w:line="360" w:lineRule="auto"/>
        <w:rPr>
          <w:szCs w:val="21"/>
        </w:rPr>
      </w:pPr>
      <w:r>
        <w:rPr>
          <w:szCs w:val="21"/>
        </w:rPr>
        <w:t>卖方承诺升级后的软件没有版权及权属争议等其它问题，并且保证到下次升级时可正常使用。</w:t>
      </w:r>
    </w:p>
    <w:p>
      <w:pPr>
        <w:numPr>
          <w:ilvl w:val="0"/>
          <w:numId w:val="7"/>
        </w:numPr>
        <w:tabs>
          <w:tab w:val="left" w:pos="0"/>
        </w:tabs>
        <w:spacing w:line="360" w:lineRule="auto"/>
        <w:rPr>
          <w:szCs w:val="21"/>
        </w:rPr>
      </w:pPr>
      <w:r>
        <w:rPr>
          <w:szCs w:val="21"/>
        </w:rPr>
        <w:t>本次合同范围，即“设备采购”项目范围，对于系统今后新增设备和软件的所有集成，卖方全部免收集成费。</w:t>
      </w:r>
    </w:p>
    <w:p>
      <w:pPr>
        <w:spacing w:before="312" w:beforeLines="100" w:after="312" w:afterLines="100" w:line="360" w:lineRule="auto"/>
        <w:outlineLvl w:val="0"/>
        <w:rPr>
          <w:b/>
          <w:bCs/>
          <w:szCs w:val="20"/>
        </w:rPr>
      </w:pPr>
      <w:r>
        <w:rPr>
          <w:b/>
          <w:bCs/>
          <w:szCs w:val="20"/>
        </w:rPr>
        <w:t>十</w:t>
      </w:r>
      <w:r>
        <w:rPr>
          <w:rFonts w:hint="eastAsia"/>
          <w:b/>
          <w:bCs/>
          <w:szCs w:val="20"/>
        </w:rPr>
        <w:t>三</w:t>
      </w:r>
      <w:r>
        <w:rPr>
          <w:b/>
          <w:bCs/>
          <w:szCs w:val="20"/>
        </w:rPr>
        <w:t>、技术和资料的保密事项</w:t>
      </w:r>
    </w:p>
    <w:p>
      <w:pPr>
        <w:numPr>
          <w:ilvl w:val="0"/>
          <w:numId w:val="8"/>
        </w:numPr>
        <w:tabs>
          <w:tab w:val="left" w:pos="0"/>
        </w:tabs>
        <w:spacing w:line="360" w:lineRule="auto"/>
        <w:rPr>
          <w:szCs w:val="21"/>
        </w:rPr>
      </w:pPr>
      <w:r>
        <w:rPr>
          <w:szCs w:val="21"/>
        </w:rPr>
        <w:t>买、卖双方同意，在任何时候，不论是合同有效期内还是合同终止以后，对任何一方提供的秘密信息或双方共有的秘密信息均实行严格保密。</w:t>
      </w:r>
    </w:p>
    <w:p>
      <w:pPr>
        <w:numPr>
          <w:ilvl w:val="0"/>
          <w:numId w:val="8"/>
        </w:numPr>
        <w:tabs>
          <w:tab w:val="left" w:pos="0"/>
        </w:tabs>
        <w:spacing w:line="360" w:lineRule="auto"/>
        <w:rPr>
          <w:szCs w:val="21"/>
        </w:rPr>
      </w:pPr>
      <w:r>
        <w:rPr>
          <w:szCs w:val="21"/>
        </w:rPr>
        <w:t>买方在未得到卖方许可前提下，不得向任何第三方透露卖方提供的软件及所附全部文档和资料的商业秘密和技术秘密。</w:t>
      </w:r>
    </w:p>
    <w:p>
      <w:pPr>
        <w:numPr>
          <w:ilvl w:val="0"/>
          <w:numId w:val="8"/>
        </w:numPr>
        <w:tabs>
          <w:tab w:val="left" w:pos="0"/>
        </w:tabs>
        <w:spacing w:line="360" w:lineRule="auto"/>
        <w:rPr>
          <w:szCs w:val="21"/>
        </w:rPr>
      </w:pPr>
      <w:r>
        <w:rPr>
          <w:szCs w:val="21"/>
        </w:rPr>
        <w:t>卖方有责任对技术开发中涉及的买方商业情报、技术情报及相关文档资料保密。未得到买方书面许可前提下，不得向任何第三方透露软件开发或使用过程中所涉及的买方的商业秘密和技术秘密。</w:t>
      </w:r>
    </w:p>
    <w:p>
      <w:pPr>
        <w:spacing w:before="312" w:beforeLines="100" w:after="312" w:afterLines="100" w:line="360" w:lineRule="auto"/>
        <w:outlineLvl w:val="0"/>
        <w:rPr>
          <w:b/>
          <w:bCs/>
          <w:szCs w:val="20"/>
        </w:rPr>
      </w:pPr>
      <w:r>
        <w:rPr>
          <w:b/>
          <w:bCs/>
          <w:szCs w:val="20"/>
        </w:rPr>
        <w:t>十</w:t>
      </w:r>
      <w:r>
        <w:rPr>
          <w:rFonts w:hint="eastAsia"/>
          <w:b/>
          <w:bCs/>
          <w:szCs w:val="20"/>
        </w:rPr>
        <w:t>四</w:t>
      </w:r>
      <w:r>
        <w:rPr>
          <w:b/>
          <w:bCs/>
          <w:szCs w:val="20"/>
        </w:rPr>
        <w:t>、双方责任</w:t>
      </w:r>
    </w:p>
    <w:p>
      <w:pPr>
        <w:spacing w:line="360" w:lineRule="auto"/>
        <w:ind w:firstLine="422" w:firstLineChars="200"/>
        <w:rPr>
          <w:b/>
          <w:bCs/>
          <w:szCs w:val="20"/>
        </w:rPr>
      </w:pPr>
      <w:r>
        <w:rPr>
          <w:b/>
          <w:bCs/>
          <w:szCs w:val="20"/>
        </w:rPr>
        <w:t>买方责任</w:t>
      </w:r>
    </w:p>
    <w:p>
      <w:pPr>
        <w:numPr>
          <w:ilvl w:val="0"/>
          <w:numId w:val="9"/>
        </w:numPr>
        <w:spacing w:line="360" w:lineRule="auto"/>
        <w:rPr>
          <w:szCs w:val="21"/>
        </w:rPr>
      </w:pPr>
      <w:r>
        <w:rPr>
          <w:szCs w:val="21"/>
        </w:rPr>
        <w:t>买方需为卖方提供项目实施便利，积极配合卖方进行项目调试</w:t>
      </w:r>
      <w:r>
        <w:rPr>
          <w:rFonts w:hint="eastAsia"/>
          <w:szCs w:val="21"/>
        </w:rPr>
        <w:t>和培训</w:t>
      </w:r>
      <w:r>
        <w:rPr>
          <w:szCs w:val="21"/>
        </w:rPr>
        <w:t>。</w:t>
      </w:r>
    </w:p>
    <w:p>
      <w:pPr>
        <w:numPr>
          <w:ilvl w:val="0"/>
          <w:numId w:val="9"/>
        </w:numPr>
        <w:spacing w:line="360" w:lineRule="auto"/>
        <w:rPr>
          <w:szCs w:val="21"/>
        </w:rPr>
      </w:pPr>
      <w:r>
        <w:rPr>
          <w:szCs w:val="21"/>
        </w:rPr>
        <w:t>买方需为卖方协调各方关系提供便利。</w:t>
      </w:r>
    </w:p>
    <w:p>
      <w:pPr>
        <w:numPr>
          <w:ilvl w:val="0"/>
          <w:numId w:val="9"/>
        </w:numPr>
        <w:spacing w:line="360" w:lineRule="auto"/>
        <w:rPr>
          <w:szCs w:val="21"/>
        </w:rPr>
      </w:pPr>
      <w:r>
        <w:rPr>
          <w:szCs w:val="21"/>
        </w:rPr>
        <w:t>买方应指派管理人员、技术人员参加项目系统</w:t>
      </w:r>
      <w:r>
        <w:rPr>
          <w:rFonts w:hint="eastAsia"/>
          <w:szCs w:val="21"/>
        </w:rPr>
        <w:t>调试</w:t>
      </w:r>
      <w:r>
        <w:rPr>
          <w:szCs w:val="21"/>
        </w:rPr>
        <w:t>、系统测试和其它工作。</w:t>
      </w:r>
    </w:p>
    <w:p>
      <w:pPr>
        <w:numPr>
          <w:ilvl w:val="0"/>
          <w:numId w:val="9"/>
        </w:numPr>
        <w:spacing w:line="360" w:lineRule="auto"/>
        <w:rPr>
          <w:szCs w:val="21"/>
        </w:rPr>
      </w:pPr>
      <w:r>
        <w:rPr>
          <w:szCs w:val="21"/>
        </w:rPr>
        <w:t>因卖方未按合同质量或要求交付产品，买方有权拒收，买方的该项权利不因产品在启运前通过买方的验收而受到任何限制或影响。</w:t>
      </w:r>
    </w:p>
    <w:p>
      <w:pPr>
        <w:spacing w:line="360" w:lineRule="auto"/>
        <w:ind w:firstLine="422" w:firstLineChars="200"/>
        <w:rPr>
          <w:b/>
          <w:bCs/>
          <w:szCs w:val="20"/>
        </w:rPr>
      </w:pPr>
    </w:p>
    <w:p>
      <w:pPr>
        <w:spacing w:line="360" w:lineRule="auto"/>
        <w:ind w:firstLine="422" w:firstLineChars="200"/>
        <w:rPr>
          <w:b/>
          <w:bCs/>
          <w:szCs w:val="20"/>
        </w:rPr>
      </w:pPr>
      <w:r>
        <w:rPr>
          <w:b/>
          <w:bCs/>
          <w:szCs w:val="20"/>
        </w:rPr>
        <w:t>卖方责任</w:t>
      </w:r>
    </w:p>
    <w:p>
      <w:pPr>
        <w:numPr>
          <w:ilvl w:val="0"/>
          <w:numId w:val="10"/>
        </w:numPr>
        <w:spacing w:line="360" w:lineRule="auto"/>
        <w:rPr>
          <w:szCs w:val="21"/>
        </w:rPr>
      </w:pPr>
      <w:r>
        <w:rPr>
          <w:szCs w:val="21"/>
        </w:rPr>
        <w:t>卖方承诺：除</w:t>
      </w:r>
      <w:r>
        <w:rPr>
          <w:rFonts w:hint="eastAsia"/>
          <w:szCs w:val="21"/>
        </w:rPr>
        <w:t>谈判纪要</w:t>
      </w:r>
      <w:r>
        <w:rPr>
          <w:szCs w:val="21"/>
        </w:rPr>
        <w:t>及后续书面承诺标明的偏离外，卖方提供的产品和服务均满足</w:t>
      </w:r>
      <w:r>
        <w:rPr>
          <w:rFonts w:hint="eastAsia"/>
          <w:szCs w:val="21"/>
        </w:rPr>
        <w:t>谈判纪要</w:t>
      </w:r>
      <w:r>
        <w:rPr>
          <w:szCs w:val="21"/>
        </w:rPr>
        <w:t>文件要求。</w:t>
      </w:r>
    </w:p>
    <w:p>
      <w:pPr>
        <w:numPr>
          <w:ilvl w:val="0"/>
          <w:numId w:val="10"/>
        </w:numPr>
        <w:spacing w:line="360" w:lineRule="auto"/>
        <w:rPr>
          <w:szCs w:val="21"/>
        </w:rPr>
      </w:pPr>
      <w:r>
        <w:rPr>
          <w:szCs w:val="21"/>
        </w:rPr>
        <w:t>卖方应按照</w:t>
      </w:r>
      <w:r>
        <w:rPr>
          <w:rFonts w:hint="eastAsia"/>
          <w:szCs w:val="21"/>
        </w:rPr>
        <w:t>谈判纪要</w:t>
      </w:r>
      <w:r>
        <w:rPr>
          <w:szCs w:val="21"/>
        </w:rPr>
        <w:t>、卖方后续书面承诺的技术要求以及买、卖双方协定补充文件，提供合格的产品，并保证通过买方的验收。</w:t>
      </w:r>
    </w:p>
    <w:p>
      <w:pPr>
        <w:numPr>
          <w:ilvl w:val="0"/>
          <w:numId w:val="10"/>
        </w:numPr>
        <w:spacing w:line="360" w:lineRule="auto"/>
        <w:rPr>
          <w:szCs w:val="21"/>
        </w:rPr>
      </w:pPr>
      <w:r>
        <w:rPr>
          <w:szCs w:val="21"/>
        </w:rPr>
        <w:t>在系统调试、</w:t>
      </w:r>
      <w:r>
        <w:rPr>
          <w:rFonts w:hint="eastAsia"/>
          <w:szCs w:val="21"/>
        </w:rPr>
        <w:t>测试、</w:t>
      </w:r>
      <w:r>
        <w:rPr>
          <w:szCs w:val="21"/>
        </w:rPr>
        <w:t>开发过程中，卖方须保证不影响买方现有系统的正常运行和现有业务的正常发展。</w:t>
      </w:r>
    </w:p>
    <w:p>
      <w:pPr>
        <w:numPr>
          <w:ilvl w:val="0"/>
          <w:numId w:val="10"/>
        </w:numPr>
        <w:spacing w:line="360" w:lineRule="auto"/>
        <w:rPr>
          <w:szCs w:val="21"/>
        </w:rPr>
      </w:pPr>
      <w:r>
        <w:rPr>
          <w:szCs w:val="21"/>
        </w:rPr>
        <w:t>卖方保证在</w:t>
      </w:r>
      <w:r>
        <w:rPr>
          <w:rFonts w:hint="eastAsia"/>
          <w:szCs w:val="21"/>
        </w:rPr>
        <w:t>机房监控系统</w:t>
      </w:r>
      <w:r>
        <w:rPr>
          <w:szCs w:val="21"/>
        </w:rPr>
        <w:t>调试、</w:t>
      </w:r>
      <w:r>
        <w:rPr>
          <w:rFonts w:hint="eastAsia"/>
          <w:szCs w:val="21"/>
        </w:rPr>
        <w:t>测试、</w:t>
      </w:r>
      <w:r>
        <w:rPr>
          <w:szCs w:val="21"/>
        </w:rPr>
        <w:t>开发过程中不非法使用第三方软件。</w:t>
      </w:r>
    </w:p>
    <w:p>
      <w:pPr>
        <w:numPr>
          <w:ilvl w:val="0"/>
          <w:numId w:val="10"/>
        </w:numPr>
        <w:spacing w:line="360" w:lineRule="auto"/>
        <w:rPr>
          <w:szCs w:val="21"/>
        </w:rPr>
      </w:pPr>
      <w:r>
        <w:rPr>
          <w:szCs w:val="21"/>
        </w:rPr>
        <w:t>卖方在产品调试、</w:t>
      </w:r>
      <w:r>
        <w:rPr>
          <w:rFonts w:hint="eastAsia"/>
          <w:szCs w:val="21"/>
        </w:rPr>
        <w:t>测试、</w:t>
      </w:r>
      <w:r>
        <w:rPr>
          <w:szCs w:val="21"/>
        </w:rPr>
        <w:t>开发过程中须派驻足够的有经验的工程技术人员到施工现场进行安装指导，在买方的组织安排下负责完成系统调试、现场性能试验和验收，服从买方的现场安排。</w:t>
      </w:r>
    </w:p>
    <w:p>
      <w:pPr>
        <w:numPr>
          <w:ilvl w:val="0"/>
          <w:numId w:val="10"/>
        </w:numPr>
        <w:spacing w:line="360" w:lineRule="auto"/>
        <w:rPr>
          <w:szCs w:val="21"/>
        </w:rPr>
      </w:pPr>
      <w:r>
        <w:rPr>
          <w:szCs w:val="21"/>
        </w:rPr>
        <w:t>卖方按照要求提供产品合格证书、产品检测记录、调试记录等技术资料。</w:t>
      </w:r>
    </w:p>
    <w:p>
      <w:pPr>
        <w:numPr>
          <w:ilvl w:val="0"/>
          <w:numId w:val="10"/>
        </w:numPr>
        <w:spacing w:line="360" w:lineRule="auto"/>
        <w:rPr>
          <w:szCs w:val="21"/>
        </w:rPr>
      </w:pPr>
      <w:r>
        <w:rPr>
          <w:szCs w:val="21"/>
        </w:rPr>
        <w:t>卖方负责与硬件设备相配套的软件厂家、其它设备的制造商、第三方软件厂家和售后服务部门等联系沟通，完成</w:t>
      </w:r>
      <w:r>
        <w:rPr>
          <w:rFonts w:hint="eastAsia"/>
          <w:szCs w:val="21"/>
        </w:rPr>
        <w:t>设备</w:t>
      </w:r>
      <w:r>
        <w:rPr>
          <w:szCs w:val="21"/>
        </w:rPr>
        <w:t>调试，配置相关的产品。</w:t>
      </w:r>
    </w:p>
    <w:p>
      <w:pPr>
        <w:numPr>
          <w:ilvl w:val="0"/>
          <w:numId w:val="10"/>
        </w:numPr>
        <w:spacing w:line="360" w:lineRule="auto"/>
        <w:rPr>
          <w:szCs w:val="21"/>
        </w:rPr>
      </w:pPr>
      <w:r>
        <w:rPr>
          <w:szCs w:val="21"/>
        </w:rPr>
        <w:t>卖方负责配合相关厂家，定期检查产品、及时排查硬件故障。</w:t>
      </w:r>
    </w:p>
    <w:p>
      <w:pPr>
        <w:numPr>
          <w:ilvl w:val="0"/>
          <w:numId w:val="10"/>
        </w:numPr>
        <w:spacing w:line="360" w:lineRule="auto"/>
        <w:rPr>
          <w:szCs w:val="21"/>
        </w:rPr>
      </w:pPr>
      <w:r>
        <w:rPr>
          <w:szCs w:val="21"/>
        </w:rPr>
        <w:t>卖方未按合同规定的质量要求交付产品，买方拒收时，卖方应承担合同的违约责任。</w:t>
      </w:r>
    </w:p>
    <w:p>
      <w:pPr>
        <w:numPr>
          <w:ilvl w:val="0"/>
          <w:numId w:val="10"/>
        </w:numPr>
        <w:spacing w:line="360" w:lineRule="auto"/>
        <w:rPr>
          <w:szCs w:val="21"/>
        </w:rPr>
      </w:pPr>
      <w:r>
        <w:rPr>
          <w:szCs w:val="21"/>
        </w:rPr>
        <w:t>迟延履行，买方书面确定一个合理的期限，如卖方仍不能履行，按卖方不履行合同处理。</w:t>
      </w:r>
    </w:p>
    <w:p>
      <w:pPr>
        <w:numPr>
          <w:ilvl w:val="0"/>
          <w:numId w:val="10"/>
        </w:numPr>
        <w:spacing w:line="360" w:lineRule="auto"/>
        <w:rPr>
          <w:szCs w:val="21"/>
        </w:rPr>
      </w:pPr>
      <w:r>
        <w:rPr>
          <w:szCs w:val="21"/>
        </w:rPr>
        <w:t>本合同所有产品的制造，都必须由</w:t>
      </w:r>
      <w:r>
        <w:rPr>
          <w:rFonts w:hint="eastAsia"/>
          <w:szCs w:val="21"/>
        </w:rPr>
        <w:t>谈判纪要</w:t>
      </w:r>
      <w:r>
        <w:rPr>
          <w:szCs w:val="21"/>
        </w:rPr>
        <w:t>和询标时做出的书面承诺中明确的制造商承担，否则将按卖方不履行合同处理。</w:t>
      </w:r>
    </w:p>
    <w:p>
      <w:pPr>
        <w:numPr>
          <w:ilvl w:val="0"/>
          <w:numId w:val="10"/>
        </w:numPr>
        <w:spacing w:line="360" w:lineRule="auto"/>
        <w:rPr>
          <w:szCs w:val="21"/>
        </w:rPr>
      </w:pPr>
      <w:r>
        <w:rPr>
          <w:rFonts w:hint="eastAsia"/>
          <w:szCs w:val="21"/>
        </w:rPr>
        <w:t>本合同型号产品停产或停止服务，卖方应提前一年书面通知买方，并保证在停产前备足买方所需的配件。</w:t>
      </w:r>
    </w:p>
    <w:p>
      <w:pPr>
        <w:numPr>
          <w:ilvl w:val="0"/>
          <w:numId w:val="10"/>
        </w:numPr>
        <w:spacing w:line="360" w:lineRule="auto"/>
        <w:rPr>
          <w:szCs w:val="21"/>
        </w:rPr>
      </w:pPr>
      <w:r>
        <w:rPr>
          <w:szCs w:val="21"/>
        </w:rPr>
        <w:t>卖方保证不在软件中对功能、性能、容量进行人为限制，不得含有陷阱、逻辑炸弹、后门等非法程序代码。</w:t>
      </w:r>
    </w:p>
    <w:p>
      <w:pPr>
        <w:numPr>
          <w:ilvl w:val="0"/>
          <w:numId w:val="10"/>
        </w:numPr>
        <w:spacing w:line="360" w:lineRule="auto"/>
        <w:rPr>
          <w:szCs w:val="21"/>
        </w:rPr>
      </w:pPr>
      <w:r>
        <w:rPr>
          <w:szCs w:val="21"/>
        </w:rPr>
        <w:t>卖方保证按培训计划对买方技术人员进行培训，向买方公开所有技术细节和技术资料，使买方人员完全了解和掌握</w:t>
      </w:r>
      <w:r>
        <w:rPr>
          <w:rFonts w:hint="eastAsia"/>
          <w:szCs w:val="21"/>
        </w:rPr>
        <w:t>设备</w:t>
      </w:r>
      <w:r>
        <w:rPr>
          <w:szCs w:val="21"/>
        </w:rPr>
        <w:t>调试、</w:t>
      </w:r>
      <w:r>
        <w:rPr>
          <w:rFonts w:hint="eastAsia"/>
          <w:szCs w:val="21"/>
        </w:rPr>
        <w:t>测试</w:t>
      </w:r>
      <w:r>
        <w:rPr>
          <w:szCs w:val="21"/>
        </w:rPr>
        <w:t>过程，具备对系统进行独立运营和维护的能力，保证在系统验收后买方人员能够进行交接。</w:t>
      </w:r>
    </w:p>
    <w:p>
      <w:pPr>
        <w:numPr>
          <w:ilvl w:val="0"/>
          <w:numId w:val="10"/>
        </w:numPr>
        <w:spacing w:line="360" w:lineRule="auto"/>
        <w:rPr>
          <w:szCs w:val="21"/>
        </w:rPr>
      </w:pPr>
      <w:r>
        <w:rPr>
          <w:rFonts w:hint="eastAsia"/>
          <w:szCs w:val="21"/>
        </w:rPr>
        <w:t>卖方应为其人员提供劳动保护，为其缴纳工伤在内社会保险或投保意外险。非买方原因，卖方人员遭受人身财产损害，或造成买方、第三人人身财产损害的由卖方负责赔偿。</w:t>
      </w:r>
    </w:p>
    <w:p>
      <w:pPr>
        <w:spacing w:before="312" w:beforeLines="100" w:after="312" w:afterLines="100" w:line="360" w:lineRule="auto"/>
        <w:outlineLvl w:val="0"/>
        <w:rPr>
          <w:b/>
          <w:bCs/>
          <w:szCs w:val="20"/>
        </w:rPr>
      </w:pPr>
    </w:p>
    <w:p>
      <w:pPr>
        <w:spacing w:before="312" w:beforeLines="100" w:after="312" w:afterLines="100" w:line="360" w:lineRule="auto"/>
        <w:outlineLvl w:val="0"/>
        <w:rPr>
          <w:b/>
          <w:bCs/>
          <w:szCs w:val="20"/>
        </w:rPr>
      </w:pPr>
      <w:r>
        <w:rPr>
          <w:b/>
          <w:bCs/>
          <w:szCs w:val="20"/>
        </w:rPr>
        <w:t>十</w:t>
      </w:r>
      <w:r>
        <w:rPr>
          <w:rFonts w:hint="eastAsia"/>
          <w:b/>
          <w:bCs/>
          <w:szCs w:val="20"/>
        </w:rPr>
        <w:t>五</w:t>
      </w:r>
      <w:r>
        <w:rPr>
          <w:b/>
          <w:bCs/>
          <w:szCs w:val="20"/>
        </w:rPr>
        <w:t>、违约责任</w:t>
      </w:r>
    </w:p>
    <w:p>
      <w:pPr>
        <w:numPr>
          <w:ilvl w:val="0"/>
          <w:numId w:val="11"/>
        </w:numPr>
        <w:tabs>
          <w:tab w:val="left" w:pos="0"/>
        </w:tabs>
        <w:spacing w:line="360" w:lineRule="auto"/>
        <w:ind w:left="-142" w:firstLine="142"/>
        <w:rPr>
          <w:szCs w:val="21"/>
        </w:rPr>
      </w:pPr>
      <w:r>
        <w:rPr>
          <w:szCs w:val="21"/>
        </w:rPr>
        <w:t>卖方承担本合同约定事项的违约责任，且不因设备或软件是由第三方制造或开发设计等因素而受到影响。</w:t>
      </w:r>
    </w:p>
    <w:p>
      <w:pPr>
        <w:numPr>
          <w:ilvl w:val="0"/>
          <w:numId w:val="11"/>
        </w:numPr>
        <w:tabs>
          <w:tab w:val="left" w:pos="0"/>
        </w:tabs>
        <w:spacing w:line="360" w:lineRule="auto"/>
        <w:ind w:left="-142" w:firstLine="142"/>
        <w:rPr>
          <w:szCs w:val="21"/>
        </w:rPr>
      </w:pPr>
      <w:r>
        <w:rPr>
          <w:szCs w:val="21"/>
        </w:rPr>
        <w:t>由于卖方提供的产品不符合</w:t>
      </w:r>
      <w:r>
        <w:rPr>
          <w:rFonts w:hint="eastAsia"/>
          <w:szCs w:val="21"/>
        </w:rPr>
        <w:t>谈判纪要</w:t>
      </w:r>
      <w:r>
        <w:rPr>
          <w:szCs w:val="21"/>
        </w:rPr>
        <w:t>及本合同第三条所规定的要求时，买方有权要求卖方更换，如果卖方产品在更换后仍不符合要求，买方有权终止合同。</w:t>
      </w:r>
    </w:p>
    <w:p>
      <w:pPr>
        <w:numPr>
          <w:ilvl w:val="0"/>
          <w:numId w:val="11"/>
        </w:numPr>
        <w:tabs>
          <w:tab w:val="left" w:pos="0"/>
        </w:tabs>
        <w:spacing w:line="360" w:lineRule="auto"/>
        <w:ind w:left="-142" w:firstLine="142"/>
        <w:rPr>
          <w:szCs w:val="21"/>
        </w:rPr>
      </w:pPr>
      <w:r>
        <w:rPr>
          <w:szCs w:val="21"/>
        </w:rPr>
        <w:t>若买方已有系统是由卖方提供的，则卖方应按买方要求进行技术服务，保证业务的正常运营和系统的正常运行，否则买方有权终止本合同。</w:t>
      </w:r>
    </w:p>
    <w:p>
      <w:pPr>
        <w:numPr>
          <w:ilvl w:val="0"/>
          <w:numId w:val="11"/>
        </w:numPr>
        <w:tabs>
          <w:tab w:val="left" w:pos="0"/>
        </w:tabs>
        <w:spacing w:line="360" w:lineRule="auto"/>
        <w:ind w:left="-142" w:firstLine="142"/>
        <w:rPr>
          <w:szCs w:val="21"/>
        </w:rPr>
      </w:pPr>
      <w:r>
        <w:rPr>
          <w:szCs w:val="21"/>
        </w:rPr>
        <w:t>在合同规定的质保期内，如果卖方维修售后服务不及时，产品质量不稳定，则买方有权酌情扣除质量保证金，并追究卖方赔偿损失的责任。</w:t>
      </w:r>
    </w:p>
    <w:p>
      <w:pPr>
        <w:numPr>
          <w:ilvl w:val="0"/>
          <w:numId w:val="11"/>
        </w:numPr>
        <w:tabs>
          <w:tab w:val="left" w:pos="0"/>
        </w:tabs>
        <w:spacing w:line="360" w:lineRule="auto"/>
        <w:ind w:left="-142" w:firstLine="142"/>
        <w:rPr>
          <w:szCs w:val="21"/>
        </w:rPr>
      </w:pPr>
      <w:r>
        <w:rPr>
          <w:rFonts w:hint="eastAsia"/>
          <w:szCs w:val="21"/>
        </w:rPr>
        <w:t>若卖方未按本合同第十条、第十一条的约定提供合格的服务，经买方两次书面要求仍无法提供的，买方有权向第三方购买该服务，由此产生的费用由卖方承担。</w:t>
      </w:r>
    </w:p>
    <w:p>
      <w:pPr>
        <w:numPr>
          <w:ilvl w:val="0"/>
          <w:numId w:val="11"/>
        </w:numPr>
        <w:tabs>
          <w:tab w:val="left" w:pos="0"/>
        </w:tabs>
        <w:spacing w:line="360" w:lineRule="auto"/>
        <w:ind w:left="-142" w:firstLine="142"/>
        <w:rPr>
          <w:szCs w:val="21"/>
        </w:rPr>
      </w:pPr>
      <w:r>
        <w:rPr>
          <w:szCs w:val="21"/>
        </w:rPr>
        <w:t>在合同规定的质保期内，如因卖方原因造成买方其他经济损失的，卖方须承担赔偿损失的责任。</w:t>
      </w:r>
    </w:p>
    <w:p>
      <w:pPr>
        <w:numPr>
          <w:ilvl w:val="0"/>
          <w:numId w:val="11"/>
        </w:numPr>
        <w:tabs>
          <w:tab w:val="left" w:pos="0"/>
        </w:tabs>
        <w:spacing w:line="360" w:lineRule="auto"/>
        <w:ind w:left="-142" w:firstLine="142"/>
        <w:rPr>
          <w:szCs w:val="21"/>
        </w:rPr>
      </w:pPr>
      <w:r>
        <w:rPr>
          <w:szCs w:val="21"/>
        </w:rPr>
        <w:t>买方有权根据当地质检部门出具的检验报告，就卖方提供的产品及系统质量问题向卖方提出索赔，检测费用由卖方承担。</w:t>
      </w:r>
    </w:p>
    <w:p>
      <w:pPr>
        <w:numPr>
          <w:ilvl w:val="0"/>
          <w:numId w:val="11"/>
        </w:numPr>
        <w:tabs>
          <w:tab w:val="left" w:pos="0"/>
        </w:tabs>
        <w:spacing w:line="360" w:lineRule="auto"/>
        <w:ind w:left="-142" w:firstLine="142"/>
        <w:rPr>
          <w:szCs w:val="21"/>
        </w:rPr>
      </w:pPr>
      <w:r>
        <w:rPr>
          <w:szCs w:val="21"/>
        </w:rPr>
        <w:t>如果在买方发出索赔通知后20日内，卖方未作书面答复，视为卖方接受索赔要求，卖方应当立即支付赔偿金。</w:t>
      </w:r>
    </w:p>
    <w:p>
      <w:pPr>
        <w:numPr>
          <w:ilvl w:val="0"/>
          <w:numId w:val="11"/>
        </w:numPr>
        <w:tabs>
          <w:tab w:val="left" w:pos="0"/>
        </w:tabs>
        <w:spacing w:line="360" w:lineRule="auto"/>
        <w:ind w:left="-142" w:firstLine="142"/>
        <w:rPr>
          <w:szCs w:val="21"/>
        </w:rPr>
      </w:pPr>
      <w:r>
        <w:rPr>
          <w:szCs w:val="21"/>
        </w:rPr>
        <w:t>因卖方违约导致买方终止合同的，在卖方应将买方已付的所有合同价款及利息退还买方后，买方将相关软硬件设备及资料退还卖方，并追究卖方赔偿损失的责任。</w:t>
      </w:r>
    </w:p>
    <w:p>
      <w:pPr>
        <w:tabs>
          <w:tab w:val="left" w:pos="0"/>
        </w:tabs>
        <w:spacing w:line="360" w:lineRule="auto"/>
        <w:rPr>
          <w:szCs w:val="21"/>
        </w:rPr>
      </w:pPr>
      <w:r>
        <w:rPr>
          <w:rFonts w:hint="eastAsia"/>
          <w:szCs w:val="21"/>
        </w:rPr>
        <w:t>10.  因买方违约导致卖方终止合同的，买方需向卖方承担由此给卖方造成的损失。</w:t>
      </w:r>
    </w:p>
    <w:p>
      <w:pPr>
        <w:spacing w:before="312" w:beforeLines="100" w:after="312" w:afterLines="100" w:line="360" w:lineRule="auto"/>
        <w:outlineLvl w:val="0"/>
        <w:rPr>
          <w:b/>
          <w:bCs/>
          <w:szCs w:val="20"/>
        </w:rPr>
      </w:pPr>
      <w:r>
        <w:rPr>
          <w:b/>
          <w:bCs/>
          <w:szCs w:val="20"/>
        </w:rPr>
        <w:t>十</w:t>
      </w:r>
      <w:r>
        <w:rPr>
          <w:rFonts w:hint="eastAsia"/>
          <w:b/>
          <w:bCs/>
          <w:szCs w:val="20"/>
        </w:rPr>
        <w:t>六</w:t>
      </w:r>
      <w:r>
        <w:rPr>
          <w:b/>
          <w:bCs/>
          <w:szCs w:val="20"/>
        </w:rPr>
        <w:t>、廉洁条款</w:t>
      </w:r>
    </w:p>
    <w:p>
      <w:pPr>
        <w:numPr>
          <w:ilvl w:val="0"/>
          <w:numId w:val="12"/>
        </w:numPr>
        <w:tabs>
          <w:tab w:val="left" w:pos="0"/>
        </w:tabs>
        <w:spacing w:line="360" w:lineRule="auto"/>
        <w:rPr>
          <w:color w:val="FF0000"/>
          <w:szCs w:val="21"/>
        </w:rPr>
      </w:pPr>
      <w:r>
        <w:rPr>
          <w:rFonts w:hint="eastAsia"/>
          <w:color w:val="FF0000"/>
          <w:szCs w:val="21"/>
        </w:rPr>
        <w:t>招标人及其工作人员，不得以任何形式向投标人收受或索要回扣、好处费、礼金、有价证券和其他礼物；不得在投标人处报销应由个人支付的费用。</w:t>
      </w:r>
    </w:p>
    <w:p>
      <w:pPr>
        <w:numPr>
          <w:ilvl w:val="0"/>
          <w:numId w:val="12"/>
        </w:numPr>
        <w:tabs>
          <w:tab w:val="left" w:pos="0"/>
        </w:tabs>
        <w:spacing w:line="360" w:lineRule="auto"/>
        <w:rPr>
          <w:color w:val="FF0000"/>
          <w:szCs w:val="21"/>
        </w:rPr>
      </w:pPr>
      <w:r>
        <w:rPr>
          <w:rFonts w:hint="eastAsia"/>
          <w:color w:val="FF0000"/>
          <w:szCs w:val="21"/>
        </w:rPr>
        <w:t>投标人应当通过正常途径开展相对业务工作，不准为获取某些不正当利益而向招标人及其工作人员（含家属、子女，下同）赠送礼金、有价证券和贵重物品等。</w:t>
      </w:r>
    </w:p>
    <w:p>
      <w:pPr>
        <w:numPr>
          <w:ilvl w:val="0"/>
          <w:numId w:val="12"/>
        </w:numPr>
        <w:tabs>
          <w:tab w:val="left" w:pos="0"/>
        </w:tabs>
        <w:spacing w:line="360" w:lineRule="auto"/>
        <w:rPr>
          <w:color w:val="FF0000"/>
          <w:szCs w:val="21"/>
        </w:rPr>
      </w:pPr>
      <w:r>
        <w:rPr>
          <w:rFonts w:hint="eastAsia"/>
          <w:color w:val="FF0000"/>
          <w:szCs w:val="21"/>
        </w:rPr>
        <w:t>投标人工作人员不准为谋取私利擅自与招标人工作人员就项目进行私下商谈或者达成默契。</w:t>
      </w:r>
    </w:p>
    <w:p>
      <w:pPr>
        <w:numPr>
          <w:ilvl w:val="0"/>
          <w:numId w:val="12"/>
        </w:numPr>
        <w:tabs>
          <w:tab w:val="left" w:pos="0"/>
        </w:tabs>
        <w:spacing w:line="360" w:lineRule="auto"/>
        <w:rPr>
          <w:color w:val="FF0000"/>
          <w:szCs w:val="21"/>
        </w:rPr>
      </w:pPr>
      <w:r>
        <w:rPr>
          <w:rFonts w:hint="eastAsia"/>
          <w:color w:val="FF0000"/>
          <w:szCs w:val="21"/>
        </w:rPr>
        <w:t>投标人不准以洽谈业务、签订经济协议等为借口，邀请招标人工作人员外出旅游或进入营业性高档娱乐会所。</w:t>
      </w:r>
    </w:p>
    <w:p>
      <w:pPr>
        <w:numPr>
          <w:ilvl w:val="0"/>
          <w:numId w:val="12"/>
        </w:numPr>
        <w:tabs>
          <w:tab w:val="left" w:pos="0"/>
        </w:tabs>
        <w:spacing w:line="360" w:lineRule="auto"/>
        <w:rPr>
          <w:color w:val="FF0000"/>
          <w:szCs w:val="21"/>
        </w:rPr>
      </w:pPr>
      <w:r>
        <w:rPr>
          <w:rFonts w:hint="eastAsia"/>
          <w:color w:val="FF0000"/>
          <w:szCs w:val="21"/>
        </w:rPr>
        <w:t>投标人不准为招标人单位和个人购置或者提供通讯工具、交通工具、家电及高档办公用品等物品。</w:t>
      </w:r>
    </w:p>
    <w:p>
      <w:pPr>
        <w:numPr>
          <w:ilvl w:val="0"/>
          <w:numId w:val="12"/>
        </w:numPr>
        <w:tabs>
          <w:tab w:val="left" w:pos="0"/>
        </w:tabs>
        <w:spacing w:line="360" w:lineRule="auto"/>
        <w:rPr>
          <w:b/>
          <w:bCs/>
          <w:color w:val="FF0000"/>
          <w:szCs w:val="20"/>
        </w:rPr>
      </w:pPr>
      <w:r>
        <w:rPr>
          <w:rFonts w:hint="eastAsia"/>
          <w:color w:val="FF0000"/>
          <w:szCs w:val="21"/>
        </w:rPr>
        <w:t>投标人如发现招标人及其工作人员有违反上述条款的，应当向招标人纪检部门或上级单位举报，招标人不准找任何借口对投标人进行报复或刁难。招标人江苏有线泰州分公司纪委举报信箱：jscntzjw@163.com;举报电话：0523-86198017。招标人发现投标人有违反上述条款或者采用不正当的手段贿赂招标人工作人员，招标人应当向投标人单位领导或纪检监察等有关部门举报，由此给招标人单位造成的损失由投标人承担，视案情情节轻重，招标人有权给予投标人涉案金额十倍的罚款或终止与投标人的合作。</w:t>
      </w:r>
    </w:p>
    <w:p>
      <w:pPr>
        <w:tabs>
          <w:tab w:val="left" w:pos="0"/>
        </w:tabs>
        <w:spacing w:line="360" w:lineRule="auto"/>
        <w:rPr>
          <w:szCs w:val="21"/>
        </w:rPr>
      </w:pPr>
    </w:p>
    <w:p>
      <w:pPr>
        <w:tabs>
          <w:tab w:val="left" w:pos="0"/>
        </w:tabs>
        <w:spacing w:line="360" w:lineRule="auto"/>
        <w:rPr>
          <w:b/>
          <w:bCs/>
          <w:szCs w:val="20"/>
        </w:rPr>
      </w:pPr>
      <w:r>
        <w:rPr>
          <w:b/>
          <w:bCs/>
          <w:szCs w:val="20"/>
        </w:rPr>
        <w:t>十</w:t>
      </w:r>
      <w:r>
        <w:rPr>
          <w:rFonts w:hint="eastAsia"/>
          <w:b/>
          <w:bCs/>
          <w:szCs w:val="20"/>
        </w:rPr>
        <w:t>七</w:t>
      </w:r>
      <w:r>
        <w:rPr>
          <w:b/>
          <w:bCs/>
          <w:szCs w:val="20"/>
        </w:rPr>
        <w:t>、不可抗力</w:t>
      </w:r>
    </w:p>
    <w:p>
      <w:pPr>
        <w:numPr>
          <w:ilvl w:val="0"/>
          <w:numId w:val="13"/>
        </w:numPr>
        <w:tabs>
          <w:tab w:val="left" w:pos="0"/>
        </w:tabs>
        <w:spacing w:line="360" w:lineRule="auto"/>
        <w:rPr>
          <w:szCs w:val="21"/>
        </w:rPr>
      </w:pPr>
      <w:r>
        <w:rPr>
          <w:szCs w:val="21"/>
        </w:rPr>
        <w:t>当发生不可抗拒事故时，受影响一方应于10日内以传真形式通知对方，以减轻可能给对方造成的损失，并应当在合理期限内提供证明。</w:t>
      </w:r>
    </w:p>
    <w:p>
      <w:pPr>
        <w:numPr>
          <w:ilvl w:val="0"/>
          <w:numId w:val="13"/>
        </w:numPr>
        <w:tabs>
          <w:tab w:val="left" w:pos="0"/>
        </w:tabs>
        <w:spacing w:line="360" w:lineRule="auto"/>
        <w:rPr>
          <w:szCs w:val="21"/>
        </w:rPr>
      </w:pPr>
      <w:r>
        <w:rPr>
          <w:szCs w:val="21"/>
        </w:rPr>
        <w:t>当不可抗力事故终止后，受影响一方应以传真的形式通知对方，双方商定合同是否继续履行。</w:t>
      </w:r>
    </w:p>
    <w:p>
      <w:pPr>
        <w:numPr>
          <w:ilvl w:val="0"/>
          <w:numId w:val="13"/>
        </w:numPr>
        <w:tabs>
          <w:tab w:val="left" w:pos="0"/>
        </w:tabs>
        <w:spacing w:line="360" w:lineRule="auto"/>
        <w:rPr>
          <w:szCs w:val="21"/>
        </w:rPr>
      </w:pPr>
      <w:r>
        <w:rPr>
          <w:szCs w:val="21"/>
        </w:rPr>
        <w:t>不可抗力，互不追究或承担违约责任。但有违约因素的除外。</w:t>
      </w:r>
    </w:p>
    <w:p>
      <w:pPr>
        <w:spacing w:before="312" w:beforeLines="100" w:after="312" w:afterLines="100" w:line="360" w:lineRule="auto"/>
        <w:outlineLvl w:val="0"/>
        <w:rPr>
          <w:b/>
          <w:bCs/>
          <w:szCs w:val="20"/>
        </w:rPr>
      </w:pPr>
      <w:r>
        <w:rPr>
          <w:b/>
          <w:bCs/>
          <w:szCs w:val="20"/>
        </w:rPr>
        <w:t>十</w:t>
      </w:r>
      <w:r>
        <w:rPr>
          <w:rFonts w:hint="eastAsia"/>
          <w:b/>
          <w:bCs/>
          <w:szCs w:val="20"/>
        </w:rPr>
        <w:t>八</w:t>
      </w:r>
      <w:r>
        <w:rPr>
          <w:b/>
          <w:bCs/>
          <w:szCs w:val="20"/>
        </w:rPr>
        <w:t>、解决纠纷的方式</w:t>
      </w:r>
    </w:p>
    <w:p>
      <w:pPr>
        <w:numPr>
          <w:ilvl w:val="0"/>
          <w:numId w:val="14"/>
        </w:numPr>
        <w:tabs>
          <w:tab w:val="left" w:pos="0"/>
        </w:tabs>
        <w:spacing w:line="360" w:lineRule="auto"/>
        <w:rPr>
          <w:szCs w:val="21"/>
        </w:rPr>
      </w:pPr>
      <w:r>
        <w:rPr>
          <w:szCs w:val="21"/>
        </w:rPr>
        <w:t>凡由执行本合同引起或与合同有关的争议，均应通过友好协商解决；协商不成的，由买方所在地人民法院裁决。</w:t>
      </w:r>
    </w:p>
    <w:p>
      <w:pPr>
        <w:numPr>
          <w:ilvl w:val="0"/>
          <w:numId w:val="14"/>
        </w:numPr>
        <w:tabs>
          <w:tab w:val="left" w:pos="0"/>
        </w:tabs>
        <w:spacing w:line="360" w:lineRule="auto"/>
        <w:rPr>
          <w:szCs w:val="21"/>
        </w:rPr>
      </w:pPr>
      <w:r>
        <w:rPr>
          <w:szCs w:val="21"/>
        </w:rPr>
        <w:t>除争议事项待处理外，双方应继续执行合同无争议部分，除非无争议部分不可单独履行。</w:t>
      </w:r>
    </w:p>
    <w:p>
      <w:pPr>
        <w:numPr>
          <w:ilvl w:val="0"/>
          <w:numId w:val="14"/>
        </w:numPr>
        <w:tabs>
          <w:tab w:val="left" w:pos="0"/>
        </w:tabs>
        <w:spacing w:line="360" w:lineRule="auto"/>
        <w:rPr>
          <w:szCs w:val="21"/>
        </w:rPr>
      </w:pPr>
      <w:r>
        <w:rPr>
          <w:szCs w:val="21"/>
        </w:rPr>
        <w:t>本合同适用于中华人民共和国法律。</w:t>
      </w:r>
    </w:p>
    <w:p>
      <w:pPr>
        <w:spacing w:before="312" w:beforeLines="100" w:after="312" w:afterLines="100" w:line="360" w:lineRule="auto"/>
        <w:outlineLvl w:val="0"/>
        <w:rPr>
          <w:b/>
          <w:bCs/>
          <w:szCs w:val="20"/>
        </w:rPr>
      </w:pPr>
      <w:r>
        <w:rPr>
          <w:b/>
          <w:bCs/>
          <w:szCs w:val="20"/>
        </w:rPr>
        <w:t>十</w:t>
      </w:r>
      <w:r>
        <w:rPr>
          <w:rFonts w:hint="eastAsia"/>
          <w:b/>
          <w:bCs/>
          <w:szCs w:val="20"/>
        </w:rPr>
        <w:t>九</w:t>
      </w:r>
      <w:r>
        <w:rPr>
          <w:b/>
          <w:bCs/>
          <w:szCs w:val="20"/>
        </w:rPr>
        <w:t>、合同生效及其他</w:t>
      </w:r>
    </w:p>
    <w:p>
      <w:pPr>
        <w:numPr>
          <w:ilvl w:val="0"/>
          <w:numId w:val="15"/>
        </w:numPr>
        <w:tabs>
          <w:tab w:val="left" w:pos="0"/>
        </w:tabs>
        <w:spacing w:line="360" w:lineRule="auto"/>
        <w:rPr>
          <w:szCs w:val="21"/>
        </w:rPr>
      </w:pPr>
      <w:r>
        <w:rPr>
          <w:szCs w:val="21"/>
        </w:rPr>
        <w:t>合同的生效期：本合同一式四份（买方</w:t>
      </w:r>
      <w:r>
        <w:rPr>
          <w:rFonts w:hint="eastAsia"/>
          <w:szCs w:val="21"/>
        </w:rPr>
        <w:t>三</w:t>
      </w:r>
      <w:r>
        <w:rPr>
          <w:szCs w:val="21"/>
        </w:rPr>
        <w:t>份</w:t>
      </w:r>
      <w:r>
        <w:rPr>
          <w:rFonts w:hint="eastAsia"/>
          <w:szCs w:val="21"/>
        </w:rPr>
        <w:t>，卖方一份</w:t>
      </w:r>
      <w:r>
        <w:rPr>
          <w:szCs w:val="21"/>
        </w:rPr>
        <w:t>），自买、卖双方签字盖章后。</w:t>
      </w:r>
    </w:p>
    <w:p>
      <w:pPr>
        <w:numPr>
          <w:ilvl w:val="0"/>
          <w:numId w:val="15"/>
        </w:numPr>
        <w:tabs>
          <w:tab w:val="left" w:pos="0"/>
        </w:tabs>
        <w:spacing w:line="360" w:lineRule="auto"/>
        <w:rPr>
          <w:szCs w:val="21"/>
        </w:rPr>
      </w:pPr>
      <w:r>
        <w:rPr>
          <w:szCs w:val="21"/>
        </w:rPr>
        <w:t>本合同所有附件为本合同不可分割的组成部分，与合同正文有同等的法律效力</w:t>
      </w:r>
      <w:r>
        <w:rPr>
          <w:rFonts w:hint="eastAsia"/>
          <w:szCs w:val="21"/>
        </w:rPr>
        <w:t>。</w:t>
      </w:r>
    </w:p>
    <w:p>
      <w:pPr>
        <w:numPr>
          <w:ilvl w:val="0"/>
          <w:numId w:val="15"/>
        </w:numPr>
        <w:tabs>
          <w:tab w:val="left" w:pos="0"/>
        </w:tabs>
        <w:spacing w:line="360" w:lineRule="auto"/>
        <w:rPr>
          <w:szCs w:val="21"/>
        </w:rPr>
      </w:pPr>
      <w:r>
        <w:rPr>
          <w:szCs w:val="21"/>
        </w:rPr>
        <w:t>在执行本合同期间，买、卖双方的所有通知均应采用传真或信函的方式。</w:t>
      </w:r>
    </w:p>
    <w:p>
      <w:pPr>
        <w:numPr>
          <w:ilvl w:val="0"/>
          <w:numId w:val="15"/>
        </w:numPr>
        <w:tabs>
          <w:tab w:val="left" w:pos="0"/>
        </w:tabs>
        <w:spacing w:line="360" w:lineRule="auto"/>
        <w:rPr>
          <w:szCs w:val="21"/>
        </w:rPr>
      </w:pPr>
      <w:r>
        <w:rPr>
          <w:szCs w:val="21"/>
        </w:rPr>
        <w:t>本合同与上述文件如对相同内容有不同约定，且约定内容有冲突的，除另有特别约定外，依下列原则处理</w:t>
      </w:r>
      <w:r>
        <w:rPr>
          <w:rFonts w:hint="eastAsia"/>
          <w:szCs w:val="21"/>
        </w:rPr>
        <w:t>。</w:t>
      </w:r>
    </w:p>
    <w:p>
      <w:pPr>
        <w:numPr>
          <w:ilvl w:val="0"/>
          <w:numId w:val="15"/>
        </w:numPr>
        <w:tabs>
          <w:tab w:val="left" w:pos="0"/>
        </w:tabs>
        <w:spacing w:line="360" w:lineRule="auto"/>
        <w:rPr>
          <w:szCs w:val="21"/>
        </w:rPr>
      </w:pPr>
      <w:r>
        <w:rPr>
          <w:szCs w:val="21"/>
        </w:rPr>
        <w:t>合同条款优先于招投标文件条款</w:t>
      </w:r>
      <w:r>
        <w:rPr>
          <w:rFonts w:hint="eastAsia"/>
          <w:szCs w:val="21"/>
        </w:rPr>
        <w:t>。</w:t>
      </w:r>
    </w:p>
    <w:p>
      <w:pPr>
        <w:numPr>
          <w:ilvl w:val="0"/>
          <w:numId w:val="15"/>
        </w:numPr>
        <w:tabs>
          <w:tab w:val="left" w:pos="0"/>
        </w:tabs>
        <w:spacing w:line="360" w:lineRule="auto"/>
        <w:rPr>
          <w:szCs w:val="21"/>
        </w:rPr>
      </w:pPr>
      <w:r>
        <w:rPr>
          <w:szCs w:val="21"/>
        </w:rPr>
        <w:t>在后文件的效力优先于在先文件的效力。</w:t>
      </w:r>
    </w:p>
    <w:p>
      <w:pPr>
        <w:numPr>
          <w:ilvl w:val="0"/>
          <w:numId w:val="15"/>
        </w:numPr>
        <w:tabs>
          <w:tab w:val="left" w:pos="0"/>
        </w:tabs>
        <w:spacing w:line="360" w:lineRule="auto"/>
        <w:rPr>
          <w:szCs w:val="21"/>
        </w:rPr>
      </w:pPr>
      <w:r>
        <w:rPr>
          <w:szCs w:val="21"/>
        </w:rPr>
        <w:t>买、卖双方对合同条款的理解有争议时，应当按照合同的有关条款、合同的目的、交易习惯以及诚实信用原则，确定该条款的真实含义。</w:t>
      </w:r>
    </w:p>
    <w:p>
      <w:pPr>
        <w:numPr>
          <w:ilvl w:val="0"/>
          <w:numId w:val="15"/>
        </w:numPr>
        <w:tabs>
          <w:tab w:val="left" w:pos="0"/>
        </w:tabs>
        <w:spacing w:line="360" w:lineRule="auto"/>
        <w:rPr>
          <w:szCs w:val="21"/>
        </w:rPr>
      </w:pPr>
      <w:r>
        <w:rPr>
          <w:szCs w:val="21"/>
        </w:rPr>
        <w:t>对本合同的任何修改和增补，以双方授权代表签字或盖章的书面文件为准。</w:t>
      </w:r>
    </w:p>
    <w:p>
      <w:pPr>
        <w:numPr>
          <w:ilvl w:val="0"/>
          <w:numId w:val="15"/>
        </w:numPr>
        <w:tabs>
          <w:tab w:val="left" w:pos="0"/>
        </w:tabs>
        <w:spacing w:line="360" w:lineRule="auto"/>
        <w:rPr>
          <w:szCs w:val="21"/>
        </w:rPr>
      </w:pPr>
      <w:r>
        <w:rPr>
          <w:szCs w:val="21"/>
        </w:rPr>
        <w:t>买、卖双方对本合同中产品的具体价格和交易方式有保密的责任，未经对方的书面许可，任何一方不得向第三方透露。</w:t>
      </w:r>
    </w:p>
    <w:p>
      <w:pPr>
        <w:numPr>
          <w:ilvl w:val="0"/>
          <w:numId w:val="15"/>
        </w:numPr>
        <w:tabs>
          <w:tab w:val="left" w:pos="0"/>
        </w:tabs>
        <w:spacing w:line="360" w:lineRule="auto"/>
        <w:rPr>
          <w:szCs w:val="21"/>
        </w:rPr>
      </w:pPr>
      <w:r>
        <w:rPr>
          <w:szCs w:val="21"/>
        </w:rPr>
        <w:t>本合同中的未尽事宜，买、卖双方协商解决，并按《中华人民共和国</w:t>
      </w:r>
      <w:r>
        <w:rPr>
          <w:rFonts w:hint="eastAsia"/>
          <w:szCs w:val="21"/>
        </w:rPr>
        <w:t>民法典</w:t>
      </w:r>
      <w:r>
        <w:rPr>
          <w:szCs w:val="21"/>
        </w:rPr>
        <w:t>》调整。</w:t>
      </w:r>
    </w:p>
    <w:p>
      <w:pPr>
        <w:spacing w:before="312" w:beforeLines="100" w:after="312" w:afterLines="100" w:line="360" w:lineRule="auto"/>
        <w:outlineLvl w:val="0"/>
        <w:rPr>
          <w:b/>
          <w:bCs/>
          <w:szCs w:val="20"/>
        </w:rPr>
      </w:pPr>
      <w:r>
        <w:rPr>
          <w:rFonts w:hint="eastAsia"/>
          <w:b/>
          <w:bCs/>
          <w:szCs w:val="20"/>
        </w:rPr>
        <w:t>二十</w:t>
      </w:r>
      <w:r>
        <w:rPr>
          <w:b/>
          <w:bCs/>
          <w:szCs w:val="20"/>
        </w:rPr>
        <w:t>、附件列表</w:t>
      </w:r>
    </w:p>
    <w:p>
      <w:pPr>
        <w:spacing w:line="360" w:lineRule="auto"/>
        <w:ind w:firstLine="420" w:firstLineChars="200"/>
        <w:rPr>
          <w:szCs w:val="20"/>
        </w:rPr>
      </w:pPr>
      <w:r>
        <w:rPr>
          <w:szCs w:val="20"/>
        </w:rPr>
        <w:t>相关文件的优先支配地位的次序如下：</w:t>
      </w:r>
    </w:p>
    <w:p>
      <w:pPr>
        <w:spacing w:line="360" w:lineRule="auto"/>
        <w:rPr>
          <w:szCs w:val="21"/>
        </w:rPr>
      </w:pPr>
      <w:r>
        <w:rPr>
          <w:szCs w:val="21"/>
        </w:rPr>
        <w:t>附件一供货清单。包含产品名称、规格型号和配置、数量和总价。</w:t>
      </w:r>
    </w:p>
    <w:p>
      <w:pPr>
        <w:spacing w:line="360" w:lineRule="auto"/>
        <w:rPr>
          <w:sz w:val="24"/>
        </w:rPr>
        <w:sectPr>
          <w:pgSz w:w="11906" w:h="16838"/>
          <w:pgMar w:top="1440" w:right="1416" w:bottom="1440" w:left="1800" w:header="851" w:footer="992" w:gutter="0"/>
          <w:cols w:space="720" w:num="1"/>
          <w:docGrid w:type="lines" w:linePitch="312" w:charSpace="0"/>
        </w:sectPr>
      </w:pPr>
    </w:p>
    <w:p>
      <w:pPr>
        <w:spacing w:line="360" w:lineRule="auto"/>
        <w:rPr>
          <w:sz w:val="24"/>
        </w:rPr>
      </w:pPr>
    </w:p>
    <w:p>
      <w:pPr>
        <w:spacing w:line="360" w:lineRule="auto"/>
        <w:ind w:firstLine="207" w:firstLineChars="98"/>
        <w:rPr>
          <w:szCs w:val="21"/>
        </w:rPr>
      </w:pPr>
      <w:r>
        <w:rPr>
          <w:b/>
          <w:szCs w:val="21"/>
        </w:rPr>
        <w:t>（以下为签字页，此页无正文）</w:t>
      </w:r>
    </w:p>
    <w:p>
      <w:pPr>
        <w:spacing w:line="480" w:lineRule="auto"/>
        <w:ind w:left="210" w:hanging="210" w:hangingChars="100"/>
        <w:jc w:val="left"/>
        <w:rPr>
          <w:rFonts w:ascii="宋体" w:hAnsi="宋体"/>
          <w:szCs w:val="21"/>
          <w:u w:val="single"/>
        </w:rPr>
      </w:pPr>
      <w:r>
        <w:rPr>
          <w:rFonts w:ascii="宋体" w:hAnsi="宋体"/>
          <w:szCs w:val="21"/>
        </w:rPr>
        <w:t>买方：</w:t>
      </w:r>
      <w:r>
        <w:rPr>
          <w:rFonts w:ascii="宋体" w:hAnsi="宋体"/>
          <w:szCs w:val="21"/>
          <w:u w:val="single"/>
        </w:rPr>
        <w:t>江苏省</w:t>
      </w:r>
      <w:r>
        <w:rPr>
          <w:rFonts w:hint="eastAsia" w:ascii="宋体" w:hAnsi="宋体"/>
          <w:szCs w:val="21"/>
          <w:u w:val="single"/>
        </w:rPr>
        <w:t>广电有线</w:t>
      </w:r>
      <w:r>
        <w:rPr>
          <w:rFonts w:ascii="宋体" w:hAnsi="宋体"/>
          <w:szCs w:val="21"/>
          <w:u w:val="single"/>
        </w:rPr>
        <w:t>信息网络股份有限公司</w:t>
      </w:r>
      <w:r>
        <w:rPr>
          <w:rFonts w:hint="eastAsia" w:ascii="宋体" w:hAnsi="宋体"/>
          <w:szCs w:val="21"/>
        </w:rPr>
        <w:t xml:space="preserve">    </w:t>
      </w:r>
      <w:r>
        <w:rPr>
          <w:rFonts w:ascii="宋体" w:hAnsi="宋体"/>
          <w:szCs w:val="21"/>
        </w:rPr>
        <w:t>卖方：</w:t>
      </w:r>
      <w:r>
        <w:rPr>
          <w:rFonts w:hint="eastAsia" w:ascii="宋体" w:hAnsi="宋体"/>
          <w:szCs w:val="21"/>
          <w:u w:val="single"/>
        </w:rPr>
        <w:t xml:space="preserve">深圳市共济科技股份有限公司      </w:t>
      </w:r>
    </w:p>
    <w:p>
      <w:pPr>
        <w:spacing w:line="480" w:lineRule="auto"/>
        <w:ind w:left="210" w:leftChars="100" w:firstLine="420" w:firstLineChars="200"/>
        <w:jc w:val="left"/>
        <w:rPr>
          <w:rFonts w:ascii="宋体" w:hAnsi="宋体"/>
          <w:szCs w:val="21"/>
        </w:rPr>
      </w:pPr>
      <w:r>
        <w:rPr>
          <w:rFonts w:hint="eastAsia" w:ascii="宋体" w:hAnsi="宋体"/>
          <w:szCs w:val="21"/>
          <w:u w:val="single"/>
        </w:rPr>
        <w:t>泰州分公司</w:t>
      </w:r>
    </w:p>
    <w:p>
      <w:pPr>
        <w:spacing w:line="480" w:lineRule="auto"/>
        <w:ind w:firstLine="35" w:firstLineChars="17"/>
        <w:rPr>
          <w:rFonts w:ascii="宋体" w:hAnsi="宋体"/>
          <w:szCs w:val="21"/>
        </w:rPr>
      </w:pPr>
    </w:p>
    <w:p>
      <w:pPr>
        <w:spacing w:line="480" w:lineRule="auto"/>
        <w:ind w:firstLine="35" w:firstLineChars="17"/>
        <w:rPr>
          <w:rFonts w:ascii="宋体" w:hAnsi="宋体"/>
          <w:szCs w:val="21"/>
        </w:rPr>
      </w:pPr>
      <w:r>
        <w:rPr>
          <w:rFonts w:ascii="宋体" w:hAnsi="宋体"/>
          <w:szCs w:val="21"/>
        </w:rPr>
        <w:t xml:space="preserve">法人代表或授权代表：____________          </w:t>
      </w:r>
      <w:r>
        <w:rPr>
          <w:rFonts w:hint="eastAsia" w:ascii="宋体" w:hAnsi="宋体"/>
          <w:szCs w:val="21"/>
        </w:rPr>
        <w:t xml:space="preserve"> </w:t>
      </w:r>
      <w:r>
        <w:rPr>
          <w:rFonts w:ascii="宋体" w:hAnsi="宋体"/>
          <w:szCs w:val="21"/>
        </w:rPr>
        <w:t>法人代表或授权代表：_________________</w:t>
      </w:r>
    </w:p>
    <w:p>
      <w:pPr>
        <w:spacing w:line="480" w:lineRule="auto"/>
        <w:rPr>
          <w:rFonts w:ascii="宋体" w:hAnsi="宋体"/>
          <w:szCs w:val="21"/>
        </w:rPr>
      </w:pPr>
      <w:r>
        <w:rPr>
          <w:rFonts w:ascii="宋体" w:hAnsi="宋体"/>
          <w:szCs w:val="21"/>
        </w:rPr>
        <w:t>地址：</w:t>
      </w:r>
      <w:r>
        <w:rPr>
          <w:rFonts w:hint="eastAsia" w:ascii="宋体" w:hAnsi="宋体"/>
          <w:bCs/>
          <w:szCs w:val="21"/>
          <w:u w:val="single"/>
        </w:rPr>
        <w:t xml:space="preserve"> </w:t>
      </w:r>
      <w:r>
        <w:rPr>
          <w:rFonts w:ascii="宋体" w:hAnsi="宋体"/>
          <w:bCs/>
          <w:szCs w:val="21"/>
          <w:u w:val="single"/>
        </w:rPr>
        <w:t xml:space="preserve">                        </w:t>
      </w:r>
      <w:r>
        <w:rPr>
          <w:rFonts w:ascii="宋体" w:hAnsi="宋体"/>
          <w:szCs w:val="21"/>
        </w:rPr>
        <w:t xml:space="preserve">_      </w:t>
      </w:r>
      <w:r>
        <w:rPr>
          <w:rFonts w:hint="eastAsia" w:ascii="宋体" w:hAnsi="宋体"/>
          <w:szCs w:val="21"/>
        </w:rPr>
        <w:t xml:space="preserve">     </w:t>
      </w:r>
      <w:r>
        <w:rPr>
          <w:rFonts w:ascii="宋体" w:hAnsi="宋体"/>
          <w:szCs w:val="21"/>
        </w:rPr>
        <w:t>地址：____________________</w:t>
      </w:r>
    </w:p>
    <w:p>
      <w:pPr>
        <w:spacing w:line="480" w:lineRule="auto"/>
        <w:rPr>
          <w:rFonts w:ascii="宋体" w:hAnsi="宋体"/>
          <w:szCs w:val="21"/>
          <w:u w:val="single"/>
        </w:rPr>
      </w:pPr>
      <w:r>
        <w:rPr>
          <w:rFonts w:ascii="宋体" w:hAnsi="宋体"/>
          <w:szCs w:val="21"/>
        </w:rPr>
        <w:t>电话：</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电话：</w:t>
      </w:r>
    </w:p>
    <w:p>
      <w:pPr>
        <w:spacing w:line="480" w:lineRule="auto"/>
        <w:jc w:val="left"/>
        <w:rPr>
          <w:rFonts w:ascii="宋体" w:hAnsi="宋体"/>
          <w:szCs w:val="21"/>
        </w:rPr>
      </w:pPr>
      <w:r>
        <w:rPr>
          <w:rFonts w:hint="eastAsia" w:ascii="宋体" w:hAnsi="宋体"/>
          <w:bCs/>
          <w:szCs w:val="21"/>
        </w:rPr>
        <w:t>户名</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bCs/>
          <w:szCs w:val="21"/>
        </w:rPr>
        <w:t>户名</w:t>
      </w:r>
      <w:r>
        <w:rPr>
          <w:rFonts w:ascii="宋体" w:hAnsi="宋体"/>
          <w:szCs w:val="21"/>
        </w:rPr>
        <w:t>：</w:t>
      </w:r>
    </w:p>
    <w:p>
      <w:pPr>
        <w:spacing w:line="480" w:lineRule="auto"/>
        <w:rPr>
          <w:rFonts w:ascii="宋体" w:hAnsi="宋体"/>
          <w:szCs w:val="21"/>
          <w:u w:val="single"/>
        </w:rPr>
      </w:pPr>
      <w:r>
        <w:rPr>
          <w:rFonts w:ascii="宋体" w:hAnsi="宋体"/>
          <w:szCs w:val="21"/>
        </w:rPr>
        <w:t>行账号：</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szCs w:val="21"/>
        </w:rPr>
        <w:t xml:space="preserve">           </w:t>
      </w:r>
      <w:r>
        <w:rPr>
          <w:rFonts w:ascii="宋体" w:hAnsi="宋体"/>
          <w:szCs w:val="21"/>
        </w:rPr>
        <w:t xml:space="preserve"> 银行账号：</w:t>
      </w:r>
    </w:p>
    <w:p>
      <w:pPr>
        <w:spacing w:line="480" w:lineRule="auto"/>
        <w:rPr>
          <w:rFonts w:ascii="宋体" w:hAnsi="宋体"/>
          <w:szCs w:val="21"/>
        </w:rPr>
      </w:pPr>
      <w:r>
        <w:rPr>
          <w:rFonts w:ascii="宋体" w:hAnsi="宋体"/>
          <w:szCs w:val="21"/>
        </w:rPr>
        <w:t>开户银行</w:t>
      </w:r>
      <w:r>
        <w:rPr>
          <w:rFonts w:hint="eastAsia" w:ascii="宋体" w:hAnsi="宋体"/>
          <w:bCs/>
          <w:szCs w:val="21"/>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szCs w:val="21"/>
        </w:rPr>
        <w:t>开户银行</w:t>
      </w:r>
    </w:p>
    <w:p>
      <w:pPr>
        <w:spacing w:line="480" w:lineRule="auto"/>
        <w:rPr>
          <w:rFonts w:ascii="宋体" w:hAnsi="宋体"/>
          <w:szCs w:val="21"/>
        </w:rPr>
      </w:pPr>
      <w:r>
        <w:rPr>
          <w:rFonts w:ascii="宋体" w:hAnsi="宋体"/>
          <w:szCs w:val="21"/>
        </w:rPr>
        <w:t>签订日期：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r>
        <w:rPr>
          <w:rFonts w:hint="eastAsia" w:ascii="宋体" w:hAnsi="宋体"/>
          <w:szCs w:val="21"/>
        </w:rPr>
        <w:t xml:space="preserve">                </w:t>
      </w:r>
      <w:r>
        <w:rPr>
          <w:rFonts w:ascii="宋体" w:hAnsi="宋体"/>
          <w:szCs w:val="21"/>
        </w:rPr>
        <w:t>签订日期：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spacing w:line="480" w:lineRule="auto"/>
        <w:rPr>
          <w:szCs w:val="21"/>
        </w:rPr>
      </w:pPr>
    </w:p>
    <w:p>
      <w:pPr>
        <w:spacing w:line="360" w:lineRule="auto"/>
        <w:rPr>
          <w:szCs w:val="21"/>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FFFFFF" w:sz="4" w:space="0"/>
              <w:left w:val="single" w:color="FFFFFF" w:sz="4" w:space="0"/>
              <w:bottom w:val="single" w:color="FFFFFF" w:sz="4" w:space="0"/>
              <w:right w:val="single" w:color="FFFFFF" w:sz="4" w:space="0"/>
            </w:tcBorders>
          </w:tcPr>
          <w:p>
            <w:pPr>
              <w:rPr>
                <w:rFonts w:ascii="宋体" w:hAnsi="宋体"/>
                <w:bCs/>
                <w:sz w:val="24"/>
                <w:szCs w:val="20"/>
              </w:rPr>
            </w:pPr>
          </w:p>
        </w:tc>
        <w:tc>
          <w:tcPr>
            <w:tcW w:w="4924" w:type="dxa"/>
            <w:tcBorders>
              <w:top w:val="single" w:color="FFFFFF" w:sz="4" w:space="0"/>
              <w:left w:val="single" w:color="FFFFFF" w:sz="4" w:space="0"/>
              <w:bottom w:val="single" w:color="FFFFFF" w:sz="4" w:space="0"/>
              <w:right w:val="single" w:color="FFFFFF" w:sz="4" w:space="0"/>
            </w:tcBorders>
          </w:tcPr>
          <w:p>
            <w:pPr>
              <w:tabs>
                <w:tab w:val="left" w:pos="2700"/>
              </w:tabs>
              <w:ind w:left="598" w:leftChars="285" w:firstLine="2"/>
              <w:rPr>
                <w:rFonts w:ascii="宋体" w:hAnsi="宋体"/>
                <w:bCs/>
                <w:sz w:val="24"/>
                <w:szCs w:val="20"/>
              </w:rPr>
            </w:pPr>
          </w:p>
        </w:tc>
      </w:tr>
    </w:tbl>
    <w:p>
      <w:pPr>
        <w:spacing w:line="360" w:lineRule="auto"/>
        <w:rPr>
          <w:szCs w:val="21"/>
        </w:rPr>
        <w:sectPr>
          <w:pgSz w:w="12240" w:h="15840"/>
          <w:pgMar w:top="1440" w:right="1800" w:bottom="1440" w:left="1800" w:header="720" w:footer="720" w:gutter="0"/>
          <w:cols w:space="720" w:num="1"/>
          <w:docGrid w:type="lines" w:linePitch="312" w:charSpace="0"/>
        </w:sectPr>
      </w:pPr>
    </w:p>
    <w:p>
      <w:pPr>
        <w:spacing w:line="360" w:lineRule="auto"/>
        <w:rPr>
          <w:b/>
          <w:bCs/>
          <w:sz w:val="24"/>
        </w:rPr>
      </w:pPr>
      <w:r>
        <w:rPr>
          <w:rFonts w:hint="eastAsia"/>
          <w:b/>
          <w:bCs/>
          <w:sz w:val="24"/>
        </w:rPr>
        <w:t>附件一：供货清单（包含产品名称、规格型号和配置、数量和总价）</w:t>
      </w:r>
    </w:p>
    <w:tbl>
      <w:tblPr>
        <w:tblStyle w:val="17"/>
        <w:tblW w:w="5000" w:type="pct"/>
        <w:tblInd w:w="0" w:type="dxa"/>
        <w:tblLayout w:type="autofit"/>
        <w:tblCellMar>
          <w:top w:w="0" w:type="dxa"/>
          <w:left w:w="108" w:type="dxa"/>
          <w:bottom w:w="0" w:type="dxa"/>
          <w:right w:w="108" w:type="dxa"/>
        </w:tblCellMar>
      </w:tblPr>
      <w:tblGrid>
        <w:gridCol w:w="1763"/>
        <w:gridCol w:w="2972"/>
        <w:gridCol w:w="1589"/>
        <w:gridCol w:w="417"/>
        <w:gridCol w:w="417"/>
        <w:gridCol w:w="956"/>
        <w:gridCol w:w="956"/>
        <w:gridCol w:w="784"/>
      </w:tblGrid>
      <w:tr>
        <w:tblPrEx>
          <w:tblCellMar>
            <w:top w:w="0" w:type="dxa"/>
            <w:left w:w="108" w:type="dxa"/>
            <w:bottom w:w="0" w:type="dxa"/>
            <w:right w:w="108" w:type="dxa"/>
          </w:tblCellMar>
        </w:tblPrEx>
        <w:trPr>
          <w:trHeight w:val="241" w:hRule="atLeast"/>
        </w:trPr>
        <w:tc>
          <w:tcPr>
            <w:tcW w:w="669" w:type="pct"/>
            <w:tcBorders>
              <w:top w:val="single" w:color="auto" w:sz="4" w:space="0"/>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568" w:type="pct"/>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866" w:type="pct"/>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设备型号</w:t>
            </w:r>
          </w:p>
        </w:tc>
        <w:tc>
          <w:tcPr>
            <w:tcW w:w="171" w:type="pct"/>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179" w:type="pct"/>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545" w:type="pct"/>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单价</w:t>
            </w:r>
          </w:p>
        </w:tc>
        <w:tc>
          <w:tcPr>
            <w:tcW w:w="545" w:type="pct"/>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458" w:type="pct"/>
            <w:tcBorders>
              <w:top w:val="single" w:color="auto" w:sz="4" w:space="0"/>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品牌/产地</w:t>
            </w: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一、系统配置：</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8" w:type="pct"/>
            <w:tcBorders>
              <w:top w:val="nil"/>
              <w:left w:val="nil"/>
              <w:bottom w:val="single" w:color="auto" w:sz="4" w:space="0"/>
              <w:right w:val="single" w:color="auto" w:sz="4" w:space="0"/>
            </w:tcBorders>
            <w:shd w:val="clear" w:color="000000" w:fill="FFFFFF"/>
            <w:noWrap/>
          </w:tcPr>
          <w:p>
            <w:pPr>
              <w:widowControl/>
              <w:jc w:val="left"/>
              <w:rPr>
                <w:rFonts w:ascii="宋体" w:hAnsi="宋体" w:cs="宋体"/>
                <w:color w:val="000000"/>
                <w:kern w:val="0"/>
                <w:sz w:val="22"/>
                <w:szCs w:val="22"/>
              </w:rPr>
            </w:pPr>
          </w:p>
        </w:tc>
        <w:tc>
          <w:tcPr>
            <w:tcW w:w="866" w:type="pct"/>
            <w:tcBorders>
              <w:top w:val="nil"/>
              <w:left w:val="nil"/>
              <w:bottom w:val="single" w:color="auto" w:sz="4" w:space="0"/>
              <w:right w:val="single" w:color="auto" w:sz="4" w:space="0"/>
            </w:tcBorders>
            <w:shd w:val="clear" w:color="000000" w:fill="FFFFFF"/>
            <w:noWrap/>
          </w:tcPr>
          <w:p>
            <w:pPr>
              <w:widowControl/>
              <w:jc w:val="left"/>
              <w:rPr>
                <w:rFonts w:ascii="宋体" w:hAnsi="宋体" w:cs="宋体"/>
                <w:color w:val="000000"/>
                <w:kern w:val="0"/>
                <w:sz w:val="22"/>
                <w:szCs w:val="22"/>
              </w:rPr>
            </w:pPr>
          </w:p>
        </w:tc>
        <w:tc>
          <w:tcPr>
            <w:tcW w:w="171" w:type="pct"/>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8" w:type="pct"/>
            <w:tcBorders>
              <w:top w:val="nil"/>
              <w:left w:val="nil"/>
              <w:bottom w:val="single" w:color="auto" w:sz="4" w:space="0"/>
              <w:right w:val="single" w:color="auto" w:sz="4" w:space="0"/>
            </w:tcBorders>
            <w:shd w:val="clear" w:color="000000" w:fill="FFFFFF"/>
            <w:noWrap/>
          </w:tcPr>
          <w:p>
            <w:pPr>
              <w:widowControl/>
              <w:jc w:val="left"/>
              <w:rPr>
                <w:rFonts w:ascii="宋体" w:hAnsi="宋体" w:cs="宋体"/>
                <w:color w:val="000000"/>
                <w:kern w:val="0"/>
                <w:sz w:val="22"/>
                <w:szCs w:val="22"/>
              </w:rPr>
            </w:pPr>
          </w:p>
        </w:tc>
        <w:tc>
          <w:tcPr>
            <w:tcW w:w="866" w:type="pct"/>
            <w:tcBorders>
              <w:top w:val="nil"/>
              <w:left w:val="nil"/>
              <w:bottom w:val="single" w:color="auto" w:sz="4" w:space="0"/>
              <w:right w:val="single" w:color="auto" w:sz="4" w:space="0"/>
            </w:tcBorders>
            <w:shd w:val="clear" w:color="000000" w:fill="FFFFFF"/>
            <w:noWrap/>
          </w:tcPr>
          <w:p>
            <w:pPr>
              <w:widowControl/>
              <w:jc w:val="left"/>
              <w:rPr>
                <w:rFonts w:ascii="宋体" w:hAnsi="宋体" w:cs="宋体"/>
                <w:color w:val="000000"/>
                <w:kern w:val="0"/>
                <w:sz w:val="22"/>
                <w:szCs w:val="22"/>
              </w:rPr>
            </w:pPr>
          </w:p>
        </w:tc>
        <w:tc>
          <w:tcPr>
            <w:tcW w:w="171" w:type="pct"/>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noWrap/>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二、辅助材料：</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管线辅材</w:t>
            </w: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color w:val="000000"/>
                <w:kern w:val="0"/>
                <w:sz w:val="22"/>
                <w:szCs w:val="22"/>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三、系统造价：</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A</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软硬件总价</w:t>
            </w: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b/>
                <w:bCs/>
                <w:color w:val="000000"/>
                <w:kern w:val="0"/>
                <w:sz w:val="20"/>
                <w:szCs w:val="20"/>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B</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安装调试施工=A*15%</w:t>
            </w: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b/>
                <w:bCs/>
                <w:color w:val="000000"/>
                <w:kern w:val="0"/>
                <w:sz w:val="20"/>
                <w:szCs w:val="20"/>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C</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异地施工费=A*2%</w:t>
            </w: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b/>
                <w:bCs/>
                <w:color w:val="000000"/>
                <w:kern w:val="0"/>
                <w:sz w:val="20"/>
                <w:szCs w:val="20"/>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D</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税金=（A+B+C）*13%</w:t>
            </w: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b/>
                <w:bCs/>
                <w:color w:val="000000"/>
                <w:kern w:val="0"/>
                <w:sz w:val="20"/>
                <w:szCs w:val="20"/>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669" w:type="pct"/>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E</w:t>
            </w:r>
          </w:p>
        </w:tc>
        <w:tc>
          <w:tcPr>
            <w:tcW w:w="1568" w:type="pct"/>
            <w:tcBorders>
              <w:top w:val="nil"/>
              <w:left w:val="nil"/>
              <w:bottom w:val="single" w:color="auto" w:sz="4" w:space="0"/>
              <w:right w:val="single" w:color="auto" w:sz="4" w:space="0"/>
            </w:tcBorders>
            <w:shd w:val="clear" w:color="000000" w:fill="FFFFFF"/>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系统总造价=A+B+C+D</w:t>
            </w:r>
          </w:p>
        </w:tc>
        <w:tc>
          <w:tcPr>
            <w:tcW w:w="866" w:type="pct"/>
            <w:tcBorders>
              <w:top w:val="nil"/>
              <w:left w:val="nil"/>
              <w:bottom w:val="single" w:color="auto" w:sz="4" w:space="0"/>
              <w:right w:val="single" w:color="auto" w:sz="4" w:space="0"/>
            </w:tcBorders>
            <w:shd w:val="clear" w:color="000000" w:fill="FFFFFF"/>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1"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9"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5" w:type="pct"/>
            <w:tcBorders>
              <w:top w:val="nil"/>
              <w:left w:val="nil"/>
              <w:bottom w:val="single" w:color="auto" w:sz="4" w:space="0"/>
              <w:right w:val="single" w:color="auto" w:sz="4" w:space="0"/>
            </w:tcBorders>
            <w:shd w:val="clear" w:color="000000" w:fill="FFFFFF"/>
          </w:tcPr>
          <w:p>
            <w:pPr>
              <w:widowControl/>
              <w:jc w:val="right"/>
              <w:rPr>
                <w:rFonts w:ascii="宋体" w:hAnsi="宋体" w:cs="宋体"/>
                <w:b/>
                <w:bCs/>
                <w:color w:val="000000"/>
                <w:kern w:val="0"/>
                <w:sz w:val="20"/>
                <w:szCs w:val="20"/>
              </w:rPr>
            </w:pPr>
          </w:p>
        </w:tc>
        <w:tc>
          <w:tcPr>
            <w:tcW w:w="458" w:type="pct"/>
            <w:tcBorders>
              <w:top w:val="nil"/>
              <w:left w:val="nil"/>
              <w:bottom w:val="single" w:color="auto" w:sz="4" w:space="0"/>
              <w:right w:val="single" w:color="auto" w:sz="4" w:space="0"/>
            </w:tcBorders>
            <w:shd w:val="clear" w:color="000000" w:fill="FFFFFF"/>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bl>
    <w:p>
      <w:pPr>
        <w:spacing w:line="360" w:lineRule="auto"/>
        <w:rPr>
          <w:b/>
          <w:bCs/>
          <w:sz w:val="24"/>
        </w:rPr>
      </w:pPr>
    </w:p>
    <w:p>
      <w:pPr>
        <w:autoSpaceDE w:val="0"/>
        <w:autoSpaceDN w:val="0"/>
        <w:adjustRightInd w:val="0"/>
        <w:snapToGrid w:val="0"/>
        <w:spacing w:line="360" w:lineRule="auto"/>
        <w:outlineLvl w:val="1"/>
        <w:rPr>
          <w:rStyle w:val="25"/>
          <w:rFonts w:hAnsi="宋体"/>
          <w:b w:val="0"/>
          <w:bCs w:val="0"/>
          <w:sz w:val="48"/>
          <w:szCs w:val="48"/>
        </w:rPr>
      </w:pPr>
    </w:p>
    <w:sectPr>
      <w:pgSz w:w="11906" w:h="16838"/>
      <w:pgMar w:top="1418" w:right="1134" w:bottom="1418" w:left="113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t xml:space="preserve"> </w:t>
    </w:r>
    <w:r>
      <w:rPr>
        <w:b/>
      </w:rPr>
      <w:fldChar w:fldCharType="begin"/>
    </w:r>
    <w:r>
      <w:rPr>
        <w:b/>
      </w:rPr>
      <w:instrText xml:space="preserve">PAGE  \* Arabic  \* MERGEFORMAT</w:instrText>
    </w:r>
    <w:r>
      <w:rPr>
        <w:b/>
      </w:rPr>
      <w:fldChar w:fldCharType="separate"/>
    </w:r>
    <w:r>
      <w:rPr>
        <w:b/>
        <w:lang w:val="zh-CN"/>
      </w:rPr>
      <w:t>16</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18</w:t>
    </w:r>
    <w:r>
      <w:rPr>
        <w:b/>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F"/>
    <w:multiLevelType w:val="multilevel"/>
    <w:tmpl w:val="0000001F"/>
    <w:lvl w:ilvl="0" w:tentative="0">
      <w:start w:val="1"/>
      <w:numFmt w:val="decimal"/>
      <w:lvlText w:val="%1."/>
      <w:lvlJc w:val="left"/>
      <w:pPr>
        <w:tabs>
          <w:tab w:val="left" w:pos="1155"/>
        </w:tabs>
        <w:ind w:left="1155" w:hanging="735"/>
      </w:pPr>
      <w:rPr>
        <w:rFonts w:hint="eastAsia" w:ascii="宋体" w:hAnsi="宋体" w:eastAsia="宋体"/>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20"/>
    <w:multiLevelType w:val="multilevel"/>
    <w:tmpl w:val="00000020"/>
    <w:lvl w:ilvl="0" w:tentative="0">
      <w:start w:val="1"/>
      <w:numFmt w:val="decimal"/>
      <w:lvlText w:val="%1."/>
      <w:lvlJc w:val="left"/>
      <w:pPr>
        <w:tabs>
          <w:tab w:val="left" w:pos="1155"/>
        </w:tabs>
        <w:ind w:left="1155" w:hanging="735"/>
      </w:pPr>
      <w:rPr>
        <w:rFonts w:hint="eastAsia" w:ascii="宋体" w:hAnsi="宋体" w:eastAsia="宋体"/>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21"/>
    <w:multiLevelType w:val="multilevel"/>
    <w:tmpl w:val="00000021"/>
    <w:lvl w:ilvl="0" w:tentative="0">
      <w:start w:val="1"/>
      <w:numFmt w:val="decimal"/>
      <w:lvlText w:val="%1."/>
      <w:lvlJc w:val="left"/>
      <w:pPr>
        <w:tabs>
          <w:tab w:val="left" w:pos="1155"/>
        </w:tabs>
        <w:ind w:left="1155" w:hanging="735"/>
      </w:pPr>
      <w:rPr>
        <w:rFonts w:hint="eastAsia" w:ascii="宋体" w:hAnsi="宋体" w:eastAsia="宋体"/>
        <w:b w:val="0"/>
        <w:sz w:val="21"/>
        <w:szCs w:val="21"/>
      </w:rPr>
    </w:lvl>
    <w:lvl w:ilvl="1" w:tentative="0">
      <w:start w:val="6"/>
      <w:numFmt w:val="japaneseCounting"/>
      <w:lvlText w:val="第%2章"/>
      <w:lvlJc w:val="left"/>
      <w:pPr>
        <w:tabs>
          <w:tab w:val="left" w:pos="1995"/>
        </w:tabs>
        <w:ind w:left="1995" w:hanging="1575"/>
      </w:pPr>
      <w:rPr>
        <w:rFonts w:hint="default"/>
      </w:rPr>
    </w:lvl>
    <w:lvl w:ilvl="2" w:tentative="0">
      <w:start w:val="3"/>
      <w:numFmt w:val="decimal"/>
      <w:lvlText w:val="%3、"/>
      <w:lvlJc w:val="left"/>
      <w:pPr>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23"/>
    <w:multiLevelType w:val="multilevel"/>
    <w:tmpl w:val="00000023"/>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24"/>
    <w:multiLevelType w:val="multilevel"/>
    <w:tmpl w:val="00000024"/>
    <w:lvl w:ilvl="0" w:tentative="0">
      <w:start w:val="1"/>
      <w:numFmt w:val="decimal"/>
      <w:lvlText w:val="%1."/>
      <w:lvlJc w:val="left"/>
      <w:pPr>
        <w:tabs>
          <w:tab w:val="left" w:pos="1155"/>
        </w:tabs>
        <w:ind w:left="1155" w:hanging="735"/>
      </w:pPr>
      <w:rPr>
        <w:rFonts w:hint="eastAsia" w:ascii="宋体" w:hAnsi="宋体" w:eastAsia="宋体"/>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26"/>
    <w:multiLevelType w:val="multilevel"/>
    <w:tmpl w:val="00000026"/>
    <w:lvl w:ilvl="0" w:tentative="0">
      <w:start w:val="1"/>
      <w:numFmt w:val="decimal"/>
      <w:lvlText w:val="%1."/>
      <w:lvlJc w:val="left"/>
      <w:pPr>
        <w:tabs>
          <w:tab w:val="left" w:pos="1155"/>
        </w:tabs>
        <w:ind w:left="1155" w:hanging="735"/>
      </w:pPr>
      <w:rPr>
        <w:rFonts w:hint="eastAsia" w:ascii="宋体" w:hAnsi="宋体" w:eastAsia="宋体"/>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8"/>
    <w:multiLevelType w:val="multilevel"/>
    <w:tmpl w:val="00000028"/>
    <w:lvl w:ilvl="0" w:tentative="0">
      <w:start w:val="1"/>
      <w:numFmt w:val="decimal"/>
      <w:lvlText w:val="%1."/>
      <w:lvlJc w:val="left"/>
      <w:pPr>
        <w:tabs>
          <w:tab w:val="left" w:pos="1155"/>
        </w:tabs>
        <w:ind w:left="1155" w:hanging="735"/>
      </w:pPr>
      <w:rPr>
        <w:rFonts w:hint="eastAsia" w:ascii="宋体" w:hAnsi="宋体" w:eastAsia="宋体"/>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9"/>
    <w:multiLevelType w:val="multilevel"/>
    <w:tmpl w:val="00000029"/>
    <w:lvl w:ilvl="0" w:tentative="0">
      <w:start w:val="1"/>
      <w:numFmt w:val="decimal"/>
      <w:lvlText w:val="%1."/>
      <w:lvlJc w:val="left"/>
      <w:pPr>
        <w:tabs>
          <w:tab w:val="left" w:pos="1155"/>
        </w:tabs>
        <w:ind w:left="1155" w:hanging="735"/>
      </w:pPr>
      <w:rPr>
        <w:rFonts w:hint="eastAsia" w:ascii="宋体" w:hAnsi="宋体" w:eastAsia="宋体"/>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A"/>
    <w:multiLevelType w:val="multilevel"/>
    <w:tmpl w:val="0000002A"/>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000002B"/>
    <w:multiLevelType w:val="multilevel"/>
    <w:tmpl w:val="0000002B"/>
    <w:lvl w:ilvl="0" w:tentative="0">
      <w:start w:val="1"/>
      <w:numFmt w:val="decimal"/>
      <w:lvlText w:val="%1."/>
      <w:lvlJc w:val="left"/>
      <w:pPr>
        <w:tabs>
          <w:tab w:val="left" w:pos="1155"/>
        </w:tabs>
        <w:ind w:left="1155" w:hanging="735"/>
      </w:pPr>
      <w:rPr>
        <w:rFonts w:hint="eastAsia" w:ascii="宋体" w:hAnsi="宋体" w:eastAsia="宋体"/>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2C"/>
    <w:multiLevelType w:val="multilevel"/>
    <w:tmpl w:val="0000002C"/>
    <w:lvl w:ilvl="0" w:tentative="0">
      <w:start w:val="1"/>
      <w:numFmt w:val="decimal"/>
      <w:lvlText w:val="%1."/>
      <w:lvlJc w:val="left"/>
      <w:pPr>
        <w:tabs>
          <w:tab w:val="left" w:pos="1155"/>
        </w:tabs>
        <w:ind w:left="1155" w:hanging="735"/>
      </w:pPr>
      <w:rPr>
        <w:rFonts w:hint="eastAsia" w:ascii="宋体" w:hAnsi="宋体" w:eastAsia="宋体"/>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2D"/>
    <w:multiLevelType w:val="multilevel"/>
    <w:tmpl w:val="0000002D"/>
    <w:lvl w:ilvl="0" w:tentative="0">
      <w:start w:val="1"/>
      <w:numFmt w:val="decimal"/>
      <w:lvlText w:val="%1."/>
      <w:lvlJc w:val="left"/>
      <w:pPr>
        <w:tabs>
          <w:tab w:val="left" w:pos="1155"/>
        </w:tabs>
        <w:ind w:left="1155" w:hanging="735"/>
      </w:pPr>
      <w:rPr>
        <w:rFonts w:hint="eastAsia" w:ascii="宋体" w:hAnsi="宋体" w:eastAsia="宋体"/>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F"/>
    <w:multiLevelType w:val="multilevel"/>
    <w:tmpl w:val="0000002F"/>
    <w:lvl w:ilvl="0" w:tentative="0">
      <w:start w:val="1"/>
      <w:numFmt w:val="decimal"/>
      <w:lvlText w:val="%1."/>
      <w:lvlJc w:val="left"/>
      <w:pPr>
        <w:tabs>
          <w:tab w:val="left" w:pos="1155"/>
        </w:tabs>
        <w:ind w:left="1155" w:hanging="735"/>
      </w:pPr>
      <w:rPr>
        <w:rFonts w:hint="eastAsia" w:ascii="宋体" w:hAnsi="宋体" w:eastAsia="宋体"/>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70E1428"/>
    <w:multiLevelType w:val="multilevel"/>
    <w:tmpl w:val="570E1428"/>
    <w:lvl w:ilvl="0" w:tentative="0">
      <w:start w:val="1"/>
      <w:numFmt w:val="japaneseCounting"/>
      <w:lvlText w:val="%1、"/>
      <w:lvlJc w:val="left"/>
      <w:pPr>
        <w:tabs>
          <w:tab w:val="left" w:pos="420"/>
        </w:tabs>
        <w:ind w:left="420" w:hanging="420"/>
      </w:pPr>
      <w:rPr>
        <w:b/>
        <w:lang w:val="en-US"/>
      </w:rPr>
    </w:lvl>
    <w:lvl w:ilvl="1" w:tentative="0">
      <w:start w:val="1"/>
      <w:numFmt w:val="decimal"/>
      <w:lvlText w:val="%2."/>
      <w:lvlJc w:val="left"/>
      <w:pPr>
        <w:tabs>
          <w:tab w:val="left" w:pos="1155"/>
        </w:tabs>
        <w:ind w:left="1155" w:hanging="735"/>
      </w:pPr>
      <w:rPr>
        <w:rFonts w:hint="eastAsia" w:ascii="宋体" w:hAnsi="宋体" w:eastAsia="宋体"/>
        <w:b w:val="0"/>
        <w:sz w:val="21"/>
        <w:szCs w:val="21"/>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4"/>
    <w:lvlOverride w:ilvl="1">
      <w:startOverride w:val="1"/>
    </w:lvlOverride>
  </w:num>
  <w:num w:numId="2">
    <w:abstractNumId w:val="6"/>
  </w:num>
  <w:num w:numId="3">
    <w:abstractNumId w:val="10"/>
  </w:num>
  <w:num w:numId="4">
    <w:abstractNumId w:val="8"/>
  </w:num>
  <w:num w:numId="5">
    <w:abstractNumId w:val="1"/>
  </w:num>
  <w:num w:numId="6">
    <w:abstractNumId w:val="12"/>
  </w:num>
  <w:num w:numId="7">
    <w:abstractNumId w:val="3"/>
  </w:num>
  <w:num w:numId="8">
    <w:abstractNumId w:val="13"/>
  </w:num>
  <w:num w:numId="9">
    <w:abstractNumId w:val="5"/>
  </w:num>
  <w:num w:numId="10">
    <w:abstractNumId w:val="9"/>
  </w:num>
  <w:num w:numId="11">
    <w:abstractNumId w:val="11"/>
  </w:num>
  <w:num w:numId="12">
    <w:abstractNumId w:val="4"/>
  </w:num>
  <w:num w:numId="13">
    <w:abstractNumId w:val="0"/>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JiMzA2ODg3OGE1MzJhMjhmNTIwNzEzMTE3YmM4ZTcifQ=="/>
  </w:docVars>
  <w:rsids>
    <w:rsidRoot w:val="00172A27"/>
    <w:rsid w:val="000018B1"/>
    <w:rsid w:val="0001013B"/>
    <w:rsid w:val="000109AA"/>
    <w:rsid w:val="00012DB5"/>
    <w:rsid w:val="0001354D"/>
    <w:rsid w:val="00014D30"/>
    <w:rsid w:val="00016811"/>
    <w:rsid w:val="000249E8"/>
    <w:rsid w:val="00027111"/>
    <w:rsid w:val="00027644"/>
    <w:rsid w:val="000279E4"/>
    <w:rsid w:val="00034916"/>
    <w:rsid w:val="00034A91"/>
    <w:rsid w:val="000363AA"/>
    <w:rsid w:val="00041E2E"/>
    <w:rsid w:val="00044E97"/>
    <w:rsid w:val="00051406"/>
    <w:rsid w:val="00051DD3"/>
    <w:rsid w:val="0006036D"/>
    <w:rsid w:val="000609B5"/>
    <w:rsid w:val="00061453"/>
    <w:rsid w:val="00067891"/>
    <w:rsid w:val="00070163"/>
    <w:rsid w:val="000722CC"/>
    <w:rsid w:val="00076608"/>
    <w:rsid w:val="000801FE"/>
    <w:rsid w:val="0008097B"/>
    <w:rsid w:val="00080DD6"/>
    <w:rsid w:val="00082B17"/>
    <w:rsid w:val="000847AC"/>
    <w:rsid w:val="00087637"/>
    <w:rsid w:val="00093D6E"/>
    <w:rsid w:val="0009420A"/>
    <w:rsid w:val="000946A8"/>
    <w:rsid w:val="00095CE4"/>
    <w:rsid w:val="00096FCF"/>
    <w:rsid w:val="00097AEE"/>
    <w:rsid w:val="000A2632"/>
    <w:rsid w:val="000A4B41"/>
    <w:rsid w:val="000B182F"/>
    <w:rsid w:val="000B1E3A"/>
    <w:rsid w:val="000B25EF"/>
    <w:rsid w:val="000B37DA"/>
    <w:rsid w:val="000B4514"/>
    <w:rsid w:val="000C0B42"/>
    <w:rsid w:val="000C18C0"/>
    <w:rsid w:val="000C2A1D"/>
    <w:rsid w:val="000C2C09"/>
    <w:rsid w:val="000C5345"/>
    <w:rsid w:val="000C5A05"/>
    <w:rsid w:val="000E07C8"/>
    <w:rsid w:val="000E41F9"/>
    <w:rsid w:val="000E443D"/>
    <w:rsid w:val="000E6898"/>
    <w:rsid w:val="000E7294"/>
    <w:rsid w:val="000F5FD0"/>
    <w:rsid w:val="000F6109"/>
    <w:rsid w:val="00100EE6"/>
    <w:rsid w:val="00100F5D"/>
    <w:rsid w:val="00101F03"/>
    <w:rsid w:val="0010285E"/>
    <w:rsid w:val="001031EB"/>
    <w:rsid w:val="0010440E"/>
    <w:rsid w:val="001062D6"/>
    <w:rsid w:val="0011741E"/>
    <w:rsid w:val="00120B20"/>
    <w:rsid w:val="00123BCB"/>
    <w:rsid w:val="00123C88"/>
    <w:rsid w:val="001247D9"/>
    <w:rsid w:val="00126800"/>
    <w:rsid w:val="00127856"/>
    <w:rsid w:val="00130369"/>
    <w:rsid w:val="00132C8D"/>
    <w:rsid w:val="00137BB5"/>
    <w:rsid w:val="0014040C"/>
    <w:rsid w:val="00143A40"/>
    <w:rsid w:val="0015200F"/>
    <w:rsid w:val="00153EDD"/>
    <w:rsid w:val="0015659B"/>
    <w:rsid w:val="00164A96"/>
    <w:rsid w:val="00165628"/>
    <w:rsid w:val="00167306"/>
    <w:rsid w:val="00170CE9"/>
    <w:rsid w:val="001723B2"/>
    <w:rsid w:val="00172A27"/>
    <w:rsid w:val="00172C1F"/>
    <w:rsid w:val="001759F7"/>
    <w:rsid w:val="00180EB6"/>
    <w:rsid w:val="0019014E"/>
    <w:rsid w:val="00191531"/>
    <w:rsid w:val="00191797"/>
    <w:rsid w:val="00191C85"/>
    <w:rsid w:val="001944F6"/>
    <w:rsid w:val="00195509"/>
    <w:rsid w:val="001A013D"/>
    <w:rsid w:val="001A3652"/>
    <w:rsid w:val="001A70AE"/>
    <w:rsid w:val="001A7610"/>
    <w:rsid w:val="001B06D8"/>
    <w:rsid w:val="001B5D78"/>
    <w:rsid w:val="001B60B2"/>
    <w:rsid w:val="001C00AC"/>
    <w:rsid w:val="001C04A3"/>
    <w:rsid w:val="001C457E"/>
    <w:rsid w:val="001D0942"/>
    <w:rsid w:val="001D5E0C"/>
    <w:rsid w:val="001D6A1C"/>
    <w:rsid w:val="001D72C1"/>
    <w:rsid w:val="001D7846"/>
    <w:rsid w:val="001D7DF3"/>
    <w:rsid w:val="001E2A6E"/>
    <w:rsid w:val="001E2C28"/>
    <w:rsid w:val="001E34AD"/>
    <w:rsid w:val="001E3FA7"/>
    <w:rsid w:val="001E4A75"/>
    <w:rsid w:val="001F1493"/>
    <w:rsid w:val="001F4BF7"/>
    <w:rsid w:val="001F5174"/>
    <w:rsid w:val="00203354"/>
    <w:rsid w:val="00205F1F"/>
    <w:rsid w:val="002063FF"/>
    <w:rsid w:val="00207B50"/>
    <w:rsid w:val="0021080A"/>
    <w:rsid w:val="00211C67"/>
    <w:rsid w:val="002139B7"/>
    <w:rsid w:val="00214CAA"/>
    <w:rsid w:val="002153EA"/>
    <w:rsid w:val="00220042"/>
    <w:rsid w:val="00220D5F"/>
    <w:rsid w:val="00226C97"/>
    <w:rsid w:val="00231090"/>
    <w:rsid w:val="002357CA"/>
    <w:rsid w:val="00245EF2"/>
    <w:rsid w:val="00246E08"/>
    <w:rsid w:val="00246E19"/>
    <w:rsid w:val="00247BE1"/>
    <w:rsid w:val="00252643"/>
    <w:rsid w:val="002543E9"/>
    <w:rsid w:val="00254478"/>
    <w:rsid w:val="00254F11"/>
    <w:rsid w:val="00260BE8"/>
    <w:rsid w:val="00261CD6"/>
    <w:rsid w:val="00267EF8"/>
    <w:rsid w:val="002704CE"/>
    <w:rsid w:val="00270C3E"/>
    <w:rsid w:val="00271A5B"/>
    <w:rsid w:val="00271D81"/>
    <w:rsid w:val="00283E88"/>
    <w:rsid w:val="002868FE"/>
    <w:rsid w:val="002932BE"/>
    <w:rsid w:val="002A0659"/>
    <w:rsid w:val="002A1BD0"/>
    <w:rsid w:val="002A5198"/>
    <w:rsid w:val="002A68B9"/>
    <w:rsid w:val="002A7746"/>
    <w:rsid w:val="002B1B49"/>
    <w:rsid w:val="002B1BAA"/>
    <w:rsid w:val="002B3A2F"/>
    <w:rsid w:val="002B63B1"/>
    <w:rsid w:val="002B6987"/>
    <w:rsid w:val="002C09CC"/>
    <w:rsid w:val="002D00EE"/>
    <w:rsid w:val="002D403C"/>
    <w:rsid w:val="002D60E4"/>
    <w:rsid w:val="002D6B50"/>
    <w:rsid w:val="002D7D91"/>
    <w:rsid w:val="002E01EC"/>
    <w:rsid w:val="002E0BC6"/>
    <w:rsid w:val="002E4C7A"/>
    <w:rsid w:val="002E6B8C"/>
    <w:rsid w:val="002F646B"/>
    <w:rsid w:val="002F6AC9"/>
    <w:rsid w:val="00304159"/>
    <w:rsid w:val="00304E57"/>
    <w:rsid w:val="003067D7"/>
    <w:rsid w:val="003072C8"/>
    <w:rsid w:val="003076B0"/>
    <w:rsid w:val="00310395"/>
    <w:rsid w:val="003132B9"/>
    <w:rsid w:val="00313D3A"/>
    <w:rsid w:val="003218B3"/>
    <w:rsid w:val="00324EC2"/>
    <w:rsid w:val="00325B6E"/>
    <w:rsid w:val="003271A8"/>
    <w:rsid w:val="003354CE"/>
    <w:rsid w:val="00340800"/>
    <w:rsid w:val="00341C87"/>
    <w:rsid w:val="00342317"/>
    <w:rsid w:val="003465E9"/>
    <w:rsid w:val="00347DEA"/>
    <w:rsid w:val="003531F9"/>
    <w:rsid w:val="00355D3F"/>
    <w:rsid w:val="00355E00"/>
    <w:rsid w:val="00356EE0"/>
    <w:rsid w:val="003571C4"/>
    <w:rsid w:val="00361BCC"/>
    <w:rsid w:val="00362675"/>
    <w:rsid w:val="00364166"/>
    <w:rsid w:val="00371B43"/>
    <w:rsid w:val="00373FDA"/>
    <w:rsid w:val="00375145"/>
    <w:rsid w:val="00375C3A"/>
    <w:rsid w:val="00383AF4"/>
    <w:rsid w:val="003910BD"/>
    <w:rsid w:val="003930BF"/>
    <w:rsid w:val="003A2978"/>
    <w:rsid w:val="003A63D8"/>
    <w:rsid w:val="003B067A"/>
    <w:rsid w:val="003B1A19"/>
    <w:rsid w:val="003B30A5"/>
    <w:rsid w:val="003B691F"/>
    <w:rsid w:val="003B7A5B"/>
    <w:rsid w:val="003C5C9B"/>
    <w:rsid w:val="003C770B"/>
    <w:rsid w:val="003D08C7"/>
    <w:rsid w:val="003D6A2A"/>
    <w:rsid w:val="003D6B1F"/>
    <w:rsid w:val="003D7356"/>
    <w:rsid w:val="003D75AD"/>
    <w:rsid w:val="003E20F4"/>
    <w:rsid w:val="003E4018"/>
    <w:rsid w:val="003E529E"/>
    <w:rsid w:val="003E689D"/>
    <w:rsid w:val="003F47E7"/>
    <w:rsid w:val="003F493A"/>
    <w:rsid w:val="003F51F7"/>
    <w:rsid w:val="004016C3"/>
    <w:rsid w:val="0040395E"/>
    <w:rsid w:val="004058B9"/>
    <w:rsid w:val="00406FEC"/>
    <w:rsid w:val="00407453"/>
    <w:rsid w:val="00411672"/>
    <w:rsid w:val="00412E23"/>
    <w:rsid w:val="0041501B"/>
    <w:rsid w:val="00416186"/>
    <w:rsid w:val="0042162D"/>
    <w:rsid w:val="00433A23"/>
    <w:rsid w:val="00435D46"/>
    <w:rsid w:val="00435EB6"/>
    <w:rsid w:val="0043656D"/>
    <w:rsid w:val="0043697D"/>
    <w:rsid w:val="004400AD"/>
    <w:rsid w:val="004400C2"/>
    <w:rsid w:val="00441E97"/>
    <w:rsid w:val="00442070"/>
    <w:rsid w:val="00444711"/>
    <w:rsid w:val="00445204"/>
    <w:rsid w:val="004463F8"/>
    <w:rsid w:val="004463FA"/>
    <w:rsid w:val="0045035E"/>
    <w:rsid w:val="0045236D"/>
    <w:rsid w:val="0045238F"/>
    <w:rsid w:val="00452801"/>
    <w:rsid w:val="004542BC"/>
    <w:rsid w:val="004564DA"/>
    <w:rsid w:val="00456750"/>
    <w:rsid w:val="00462CB7"/>
    <w:rsid w:val="00464826"/>
    <w:rsid w:val="00467074"/>
    <w:rsid w:val="0047360E"/>
    <w:rsid w:val="00474F25"/>
    <w:rsid w:val="00476FFA"/>
    <w:rsid w:val="00481514"/>
    <w:rsid w:val="004815B6"/>
    <w:rsid w:val="00483BFB"/>
    <w:rsid w:val="004853A0"/>
    <w:rsid w:val="004854E2"/>
    <w:rsid w:val="004918D9"/>
    <w:rsid w:val="00492C98"/>
    <w:rsid w:val="00493738"/>
    <w:rsid w:val="00494B18"/>
    <w:rsid w:val="00494EFF"/>
    <w:rsid w:val="004A14D1"/>
    <w:rsid w:val="004A16EC"/>
    <w:rsid w:val="004A2C3E"/>
    <w:rsid w:val="004A410C"/>
    <w:rsid w:val="004B3490"/>
    <w:rsid w:val="004B3B3C"/>
    <w:rsid w:val="004B6400"/>
    <w:rsid w:val="004C0FD8"/>
    <w:rsid w:val="004C2640"/>
    <w:rsid w:val="004C7C85"/>
    <w:rsid w:val="004D05A2"/>
    <w:rsid w:val="004D455A"/>
    <w:rsid w:val="004D45C6"/>
    <w:rsid w:val="004D7DD7"/>
    <w:rsid w:val="004E7CA2"/>
    <w:rsid w:val="004F0529"/>
    <w:rsid w:val="004F7DC2"/>
    <w:rsid w:val="004F7FE5"/>
    <w:rsid w:val="00504F85"/>
    <w:rsid w:val="00506747"/>
    <w:rsid w:val="00511FF9"/>
    <w:rsid w:val="00513AB9"/>
    <w:rsid w:val="005236D9"/>
    <w:rsid w:val="00523939"/>
    <w:rsid w:val="005263FA"/>
    <w:rsid w:val="00526934"/>
    <w:rsid w:val="005321A4"/>
    <w:rsid w:val="005328FE"/>
    <w:rsid w:val="00532D6E"/>
    <w:rsid w:val="00533971"/>
    <w:rsid w:val="005361B3"/>
    <w:rsid w:val="00536F5A"/>
    <w:rsid w:val="00537331"/>
    <w:rsid w:val="00537ADA"/>
    <w:rsid w:val="0054264D"/>
    <w:rsid w:val="00545BB5"/>
    <w:rsid w:val="00546783"/>
    <w:rsid w:val="0055022B"/>
    <w:rsid w:val="00553148"/>
    <w:rsid w:val="00553F94"/>
    <w:rsid w:val="00554C34"/>
    <w:rsid w:val="005604E1"/>
    <w:rsid w:val="00562C68"/>
    <w:rsid w:val="005649D7"/>
    <w:rsid w:val="00565407"/>
    <w:rsid w:val="00565570"/>
    <w:rsid w:val="005655B0"/>
    <w:rsid w:val="005707F8"/>
    <w:rsid w:val="005725D3"/>
    <w:rsid w:val="0057299F"/>
    <w:rsid w:val="00577EB0"/>
    <w:rsid w:val="0058261C"/>
    <w:rsid w:val="00583891"/>
    <w:rsid w:val="00583C55"/>
    <w:rsid w:val="00585001"/>
    <w:rsid w:val="00586E58"/>
    <w:rsid w:val="00590324"/>
    <w:rsid w:val="005936D3"/>
    <w:rsid w:val="0059384F"/>
    <w:rsid w:val="00595D2B"/>
    <w:rsid w:val="00597BF4"/>
    <w:rsid w:val="005A3D64"/>
    <w:rsid w:val="005A4149"/>
    <w:rsid w:val="005A5D19"/>
    <w:rsid w:val="005A65EF"/>
    <w:rsid w:val="005A6959"/>
    <w:rsid w:val="005A6C4C"/>
    <w:rsid w:val="005A7036"/>
    <w:rsid w:val="005B0DE4"/>
    <w:rsid w:val="005B33E7"/>
    <w:rsid w:val="005B4D52"/>
    <w:rsid w:val="005C1EF5"/>
    <w:rsid w:val="005C5A83"/>
    <w:rsid w:val="005C6CA1"/>
    <w:rsid w:val="005C7B47"/>
    <w:rsid w:val="005C7EB6"/>
    <w:rsid w:val="005D6C67"/>
    <w:rsid w:val="005D7F18"/>
    <w:rsid w:val="005E0F04"/>
    <w:rsid w:val="005E5131"/>
    <w:rsid w:val="005E5EB0"/>
    <w:rsid w:val="005F286A"/>
    <w:rsid w:val="005F2DF6"/>
    <w:rsid w:val="005F6410"/>
    <w:rsid w:val="00602241"/>
    <w:rsid w:val="00605F3F"/>
    <w:rsid w:val="006100E1"/>
    <w:rsid w:val="00611CCD"/>
    <w:rsid w:val="006126F1"/>
    <w:rsid w:val="00613D9C"/>
    <w:rsid w:val="00613E50"/>
    <w:rsid w:val="00615A55"/>
    <w:rsid w:val="0061780D"/>
    <w:rsid w:val="006266AA"/>
    <w:rsid w:val="00627355"/>
    <w:rsid w:val="0063160B"/>
    <w:rsid w:val="0063290D"/>
    <w:rsid w:val="00635963"/>
    <w:rsid w:val="006377BF"/>
    <w:rsid w:val="00640895"/>
    <w:rsid w:val="0064241C"/>
    <w:rsid w:val="0064393F"/>
    <w:rsid w:val="00651A44"/>
    <w:rsid w:val="00652985"/>
    <w:rsid w:val="00653582"/>
    <w:rsid w:val="00654D5E"/>
    <w:rsid w:val="0065630D"/>
    <w:rsid w:val="006565A8"/>
    <w:rsid w:val="00656F0B"/>
    <w:rsid w:val="00657B85"/>
    <w:rsid w:val="00670170"/>
    <w:rsid w:val="006720E1"/>
    <w:rsid w:val="00675652"/>
    <w:rsid w:val="00675FCA"/>
    <w:rsid w:val="00676EDF"/>
    <w:rsid w:val="00680E9B"/>
    <w:rsid w:val="00684150"/>
    <w:rsid w:val="006871A2"/>
    <w:rsid w:val="006909EC"/>
    <w:rsid w:val="00692064"/>
    <w:rsid w:val="00694278"/>
    <w:rsid w:val="006A0F6B"/>
    <w:rsid w:val="006A2392"/>
    <w:rsid w:val="006A61FA"/>
    <w:rsid w:val="006B0A78"/>
    <w:rsid w:val="006B35C8"/>
    <w:rsid w:val="006B68BB"/>
    <w:rsid w:val="006C1A97"/>
    <w:rsid w:val="006C2071"/>
    <w:rsid w:val="006C32B4"/>
    <w:rsid w:val="006C4147"/>
    <w:rsid w:val="006C4383"/>
    <w:rsid w:val="006D2B14"/>
    <w:rsid w:val="006D3FA1"/>
    <w:rsid w:val="006D47DA"/>
    <w:rsid w:val="006D6656"/>
    <w:rsid w:val="006E19C4"/>
    <w:rsid w:val="006E20C5"/>
    <w:rsid w:val="006F42D7"/>
    <w:rsid w:val="0070151A"/>
    <w:rsid w:val="00702DE5"/>
    <w:rsid w:val="00717798"/>
    <w:rsid w:val="007216A4"/>
    <w:rsid w:val="00723B3F"/>
    <w:rsid w:val="007272D9"/>
    <w:rsid w:val="00727324"/>
    <w:rsid w:val="007277F0"/>
    <w:rsid w:val="00727C0E"/>
    <w:rsid w:val="0073147C"/>
    <w:rsid w:val="0073252F"/>
    <w:rsid w:val="00732617"/>
    <w:rsid w:val="007343AA"/>
    <w:rsid w:val="00740651"/>
    <w:rsid w:val="00740B77"/>
    <w:rsid w:val="0074123B"/>
    <w:rsid w:val="007458B5"/>
    <w:rsid w:val="00746019"/>
    <w:rsid w:val="00751BBE"/>
    <w:rsid w:val="007547C5"/>
    <w:rsid w:val="00755097"/>
    <w:rsid w:val="00756DC2"/>
    <w:rsid w:val="00761024"/>
    <w:rsid w:val="00771574"/>
    <w:rsid w:val="007723B5"/>
    <w:rsid w:val="00772FC4"/>
    <w:rsid w:val="00774223"/>
    <w:rsid w:val="007838AC"/>
    <w:rsid w:val="007843EE"/>
    <w:rsid w:val="00790975"/>
    <w:rsid w:val="00793BA2"/>
    <w:rsid w:val="00796FD9"/>
    <w:rsid w:val="007A2525"/>
    <w:rsid w:val="007B29D6"/>
    <w:rsid w:val="007B38A5"/>
    <w:rsid w:val="007B6DC9"/>
    <w:rsid w:val="007C080F"/>
    <w:rsid w:val="007C522E"/>
    <w:rsid w:val="007D1030"/>
    <w:rsid w:val="007D29B5"/>
    <w:rsid w:val="007D45AB"/>
    <w:rsid w:val="007D4A8B"/>
    <w:rsid w:val="007D5698"/>
    <w:rsid w:val="007E2EB0"/>
    <w:rsid w:val="007E3FD7"/>
    <w:rsid w:val="007E6EE6"/>
    <w:rsid w:val="007E7181"/>
    <w:rsid w:val="007F052C"/>
    <w:rsid w:val="007F05CA"/>
    <w:rsid w:val="007F16A9"/>
    <w:rsid w:val="007F4A1F"/>
    <w:rsid w:val="008016FB"/>
    <w:rsid w:val="00805B57"/>
    <w:rsid w:val="0081311E"/>
    <w:rsid w:val="00813EEC"/>
    <w:rsid w:val="008158C7"/>
    <w:rsid w:val="00816E14"/>
    <w:rsid w:val="008203A6"/>
    <w:rsid w:val="00822851"/>
    <w:rsid w:val="0082388C"/>
    <w:rsid w:val="00823EEE"/>
    <w:rsid w:val="008342F4"/>
    <w:rsid w:val="008344F0"/>
    <w:rsid w:val="008352E1"/>
    <w:rsid w:val="00835580"/>
    <w:rsid w:val="00836006"/>
    <w:rsid w:val="00836E91"/>
    <w:rsid w:val="008373EF"/>
    <w:rsid w:val="0084249C"/>
    <w:rsid w:val="00847889"/>
    <w:rsid w:val="00850940"/>
    <w:rsid w:val="00850E29"/>
    <w:rsid w:val="0085192F"/>
    <w:rsid w:val="008552FF"/>
    <w:rsid w:val="0086023B"/>
    <w:rsid w:val="00863716"/>
    <w:rsid w:val="00866D96"/>
    <w:rsid w:val="00872988"/>
    <w:rsid w:val="00876FFD"/>
    <w:rsid w:val="00880502"/>
    <w:rsid w:val="00881E08"/>
    <w:rsid w:val="00885442"/>
    <w:rsid w:val="00886796"/>
    <w:rsid w:val="0089251F"/>
    <w:rsid w:val="008A18E5"/>
    <w:rsid w:val="008A340A"/>
    <w:rsid w:val="008A363D"/>
    <w:rsid w:val="008A3ED8"/>
    <w:rsid w:val="008A4034"/>
    <w:rsid w:val="008A658D"/>
    <w:rsid w:val="008B29F0"/>
    <w:rsid w:val="008C1CCB"/>
    <w:rsid w:val="008C3D19"/>
    <w:rsid w:val="008C546B"/>
    <w:rsid w:val="008C7B6E"/>
    <w:rsid w:val="008D5165"/>
    <w:rsid w:val="008D7E3A"/>
    <w:rsid w:val="008E0B8F"/>
    <w:rsid w:val="008E1547"/>
    <w:rsid w:val="008E66C1"/>
    <w:rsid w:val="008F0D57"/>
    <w:rsid w:val="008F1E05"/>
    <w:rsid w:val="008F4C96"/>
    <w:rsid w:val="009026F8"/>
    <w:rsid w:val="00902D88"/>
    <w:rsid w:val="00915CDB"/>
    <w:rsid w:val="009215C8"/>
    <w:rsid w:val="00923D93"/>
    <w:rsid w:val="00924B6F"/>
    <w:rsid w:val="009259A6"/>
    <w:rsid w:val="00932CD8"/>
    <w:rsid w:val="00940599"/>
    <w:rsid w:val="00940B7F"/>
    <w:rsid w:val="00940CFA"/>
    <w:rsid w:val="00941437"/>
    <w:rsid w:val="00943FB8"/>
    <w:rsid w:val="009460E7"/>
    <w:rsid w:val="00947028"/>
    <w:rsid w:val="00952D09"/>
    <w:rsid w:val="009535D1"/>
    <w:rsid w:val="009540A4"/>
    <w:rsid w:val="009551BD"/>
    <w:rsid w:val="0095609E"/>
    <w:rsid w:val="00966C40"/>
    <w:rsid w:val="0097333D"/>
    <w:rsid w:val="0097537E"/>
    <w:rsid w:val="009760CC"/>
    <w:rsid w:val="009765E5"/>
    <w:rsid w:val="00977A5A"/>
    <w:rsid w:val="00983C97"/>
    <w:rsid w:val="00984811"/>
    <w:rsid w:val="00984E20"/>
    <w:rsid w:val="00987009"/>
    <w:rsid w:val="00991010"/>
    <w:rsid w:val="009911BA"/>
    <w:rsid w:val="00991B18"/>
    <w:rsid w:val="009925A5"/>
    <w:rsid w:val="00992B3C"/>
    <w:rsid w:val="009A63E0"/>
    <w:rsid w:val="009A66E0"/>
    <w:rsid w:val="009B7DE8"/>
    <w:rsid w:val="009B7FD7"/>
    <w:rsid w:val="009C5934"/>
    <w:rsid w:val="009E0555"/>
    <w:rsid w:val="009E2301"/>
    <w:rsid w:val="009E57DB"/>
    <w:rsid w:val="009E745B"/>
    <w:rsid w:val="009F5929"/>
    <w:rsid w:val="009F7D1D"/>
    <w:rsid w:val="009F7E63"/>
    <w:rsid w:val="00A0040F"/>
    <w:rsid w:val="00A02A2E"/>
    <w:rsid w:val="00A032AE"/>
    <w:rsid w:val="00A135AF"/>
    <w:rsid w:val="00A178BD"/>
    <w:rsid w:val="00A212BF"/>
    <w:rsid w:val="00A240C2"/>
    <w:rsid w:val="00A245CA"/>
    <w:rsid w:val="00A26A95"/>
    <w:rsid w:val="00A33C34"/>
    <w:rsid w:val="00A35322"/>
    <w:rsid w:val="00A377E5"/>
    <w:rsid w:val="00A40DF3"/>
    <w:rsid w:val="00A41317"/>
    <w:rsid w:val="00A4299B"/>
    <w:rsid w:val="00A460A2"/>
    <w:rsid w:val="00A46F84"/>
    <w:rsid w:val="00A471A7"/>
    <w:rsid w:val="00A5533F"/>
    <w:rsid w:val="00A557A7"/>
    <w:rsid w:val="00A57D1E"/>
    <w:rsid w:val="00A60787"/>
    <w:rsid w:val="00A62469"/>
    <w:rsid w:val="00A72A61"/>
    <w:rsid w:val="00A74DB7"/>
    <w:rsid w:val="00A77E89"/>
    <w:rsid w:val="00A83000"/>
    <w:rsid w:val="00A83632"/>
    <w:rsid w:val="00A83F16"/>
    <w:rsid w:val="00A85EB3"/>
    <w:rsid w:val="00A90F7F"/>
    <w:rsid w:val="00A91470"/>
    <w:rsid w:val="00A91E2F"/>
    <w:rsid w:val="00A95CCF"/>
    <w:rsid w:val="00A95D9C"/>
    <w:rsid w:val="00A97364"/>
    <w:rsid w:val="00A977EE"/>
    <w:rsid w:val="00AA1219"/>
    <w:rsid w:val="00AA2BA1"/>
    <w:rsid w:val="00AA5194"/>
    <w:rsid w:val="00AA6C36"/>
    <w:rsid w:val="00AA716A"/>
    <w:rsid w:val="00AC3740"/>
    <w:rsid w:val="00AC37EC"/>
    <w:rsid w:val="00AC50EE"/>
    <w:rsid w:val="00AD07D0"/>
    <w:rsid w:val="00AD5D39"/>
    <w:rsid w:val="00AD6175"/>
    <w:rsid w:val="00AD64A6"/>
    <w:rsid w:val="00AD68D5"/>
    <w:rsid w:val="00AE078F"/>
    <w:rsid w:val="00AE1E56"/>
    <w:rsid w:val="00AF5F39"/>
    <w:rsid w:val="00AF6020"/>
    <w:rsid w:val="00AF616E"/>
    <w:rsid w:val="00AF74E6"/>
    <w:rsid w:val="00B06992"/>
    <w:rsid w:val="00B06CAB"/>
    <w:rsid w:val="00B071D1"/>
    <w:rsid w:val="00B07D08"/>
    <w:rsid w:val="00B07E69"/>
    <w:rsid w:val="00B106D5"/>
    <w:rsid w:val="00B1433E"/>
    <w:rsid w:val="00B14C34"/>
    <w:rsid w:val="00B165A4"/>
    <w:rsid w:val="00B179E1"/>
    <w:rsid w:val="00B209D5"/>
    <w:rsid w:val="00B20B23"/>
    <w:rsid w:val="00B31C7B"/>
    <w:rsid w:val="00B31E61"/>
    <w:rsid w:val="00B31FAF"/>
    <w:rsid w:val="00B3230A"/>
    <w:rsid w:val="00B358CC"/>
    <w:rsid w:val="00B3627D"/>
    <w:rsid w:val="00B37B85"/>
    <w:rsid w:val="00B41391"/>
    <w:rsid w:val="00B42951"/>
    <w:rsid w:val="00B4337E"/>
    <w:rsid w:val="00B4578C"/>
    <w:rsid w:val="00B47E43"/>
    <w:rsid w:val="00B5128B"/>
    <w:rsid w:val="00B53B39"/>
    <w:rsid w:val="00B556CA"/>
    <w:rsid w:val="00B55D96"/>
    <w:rsid w:val="00B657DB"/>
    <w:rsid w:val="00B66076"/>
    <w:rsid w:val="00B717A4"/>
    <w:rsid w:val="00B734BE"/>
    <w:rsid w:val="00B734D3"/>
    <w:rsid w:val="00B740EE"/>
    <w:rsid w:val="00B7486C"/>
    <w:rsid w:val="00B8101F"/>
    <w:rsid w:val="00B8174A"/>
    <w:rsid w:val="00B82B28"/>
    <w:rsid w:val="00B84A9D"/>
    <w:rsid w:val="00B871FC"/>
    <w:rsid w:val="00B8790D"/>
    <w:rsid w:val="00B911C4"/>
    <w:rsid w:val="00B91FDA"/>
    <w:rsid w:val="00BA3146"/>
    <w:rsid w:val="00BA4264"/>
    <w:rsid w:val="00BA782C"/>
    <w:rsid w:val="00BB42CD"/>
    <w:rsid w:val="00BB6F52"/>
    <w:rsid w:val="00BB7C64"/>
    <w:rsid w:val="00BC0E5A"/>
    <w:rsid w:val="00BC63E8"/>
    <w:rsid w:val="00BD22C8"/>
    <w:rsid w:val="00BD4734"/>
    <w:rsid w:val="00BE0788"/>
    <w:rsid w:val="00BE0CAF"/>
    <w:rsid w:val="00BF334A"/>
    <w:rsid w:val="00BF4975"/>
    <w:rsid w:val="00BF517C"/>
    <w:rsid w:val="00BF5372"/>
    <w:rsid w:val="00BF720F"/>
    <w:rsid w:val="00C00AA0"/>
    <w:rsid w:val="00C00AAD"/>
    <w:rsid w:val="00C00DD6"/>
    <w:rsid w:val="00C04C94"/>
    <w:rsid w:val="00C06849"/>
    <w:rsid w:val="00C0759B"/>
    <w:rsid w:val="00C1310E"/>
    <w:rsid w:val="00C13C0E"/>
    <w:rsid w:val="00C13FD5"/>
    <w:rsid w:val="00C144D1"/>
    <w:rsid w:val="00C15860"/>
    <w:rsid w:val="00C17286"/>
    <w:rsid w:val="00C21702"/>
    <w:rsid w:val="00C23F52"/>
    <w:rsid w:val="00C24CD9"/>
    <w:rsid w:val="00C304AA"/>
    <w:rsid w:val="00C3261E"/>
    <w:rsid w:val="00C326E3"/>
    <w:rsid w:val="00C33963"/>
    <w:rsid w:val="00C34DDB"/>
    <w:rsid w:val="00C4416D"/>
    <w:rsid w:val="00C4539B"/>
    <w:rsid w:val="00C46C2B"/>
    <w:rsid w:val="00C50625"/>
    <w:rsid w:val="00C50680"/>
    <w:rsid w:val="00C50CF0"/>
    <w:rsid w:val="00C519FD"/>
    <w:rsid w:val="00C55494"/>
    <w:rsid w:val="00C57B40"/>
    <w:rsid w:val="00C60E29"/>
    <w:rsid w:val="00C62FC6"/>
    <w:rsid w:val="00C64B9C"/>
    <w:rsid w:val="00C6523B"/>
    <w:rsid w:val="00C65329"/>
    <w:rsid w:val="00C71126"/>
    <w:rsid w:val="00C73C05"/>
    <w:rsid w:val="00C75582"/>
    <w:rsid w:val="00C810F1"/>
    <w:rsid w:val="00C82B6A"/>
    <w:rsid w:val="00C8586E"/>
    <w:rsid w:val="00C910B6"/>
    <w:rsid w:val="00C9134A"/>
    <w:rsid w:val="00C948F3"/>
    <w:rsid w:val="00C970AE"/>
    <w:rsid w:val="00CA6E23"/>
    <w:rsid w:val="00CB4FB3"/>
    <w:rsid w:val="00CB50BD"/>
    <w:rsid w:val="00CB67ED"/>
    <w:rsid w:val="00CB6FCC"/>
    <w:rsid w:val="00CC12D0"/>
    <w:rsid w:val="00CC5FF9"/>
    <w:rsid w:val="00CC747E"/>
    <w:rsid w:val="00CC7FD5"/>
    <w:rsid w:val="00CD1EFC"/>
    <w:rsid w:val="00CD2A7A"/>
    <w:rsid w:val="00CD5D8D"/>
    <w:rsid w:val="00CD7E08"/>
    <w:rsid w:val="00CE0AC4"/>
    <w:rsid w:val="00CE0E88"/>
    <w:rsid w:val="00CE30A1"/>
    <w:rsid w:val="00CE5064"/>
    <w:rsid w:val="00CE7528"/>
    <w:rsid w:val="00CE78FA"/>
    <w:rsid w:val="00CE7EAD"/>
    <w:rsid w:val="00CF04DF"/>
    <w:rsid w:val="00CF1F47"/>
    <w:rsid w:val="00CF4145"/>
    <w:rsid w:val="00CF5832"/>
    <w:rsid w:val="00CF58E0"/>
    <w:rsid w:val="00CF7435"/>
    <w:rsid w:val="00CF794C"/>
    <w:rsid w:val="00CF7D23"/>
    <w:rsid w:val="00D04B44"/>
    <w:rsid w:val="00D11639"/>
    <w:rsid w:val="00D139EA"/>
    <w:rsid w:val="00D14E78"/>
    <w:rsid w:val="00D14FF1"/>
    <w:rsid w:val="00D15E5C"/>
    <w:rsid w:val="00D17AE6"/>
    <w:rsid w:val="00D22A7C"/>
    <w:rsid w:val="00D23565"/>
    <w:rsid w:val="00D237DD"/>
    <w:rsid w:val="00D2461B"/>
    <w:rsid w:val="00D26D57"/>
    <w:rsid w:val="00D3271D"/>
    <w:rsid w:val="00D35E9F"/>
    <w:rsid w:val="00D437F3"/>
    <w:rsid w:val="00D43945"/>
    <w:rsid w:val="00D46216"/>
    <w:rsid w:val="00D51C99"/>
    <w:rsid w:val="00D538CC"/>
    <w:rsid w:val="00D53E8E"/>
    <w:rsid w:val="00D54712"/>
    <w:rsid w:val="00D54999"/>
    <w:rsid w:val="00D567E4"/>
    <w:rsid w:val="00D574B9"/>
    <w:rsid w:val="00D57F72"/>
    <w:rsid w:val="00D60AE0"/>
    <w:rsid w:val="00D61BCE"/>
    <w:rsid w:val="00D644D8"/>
    <w:rsid w:val="00D72E2B"/>
    <w:rsid w:val="00D75334"/>
    <w:rsid w:val="00D8347E"/>
    <w:rsid w:val="00D92F45"/>
    <w:rsid w:val="00D9361C"/>
    <w:rsid w:val="00DA0792"/>
    <w:rsid w:val="00DA273D"/>
    <w:rsid w:val="00DA4C25"/>
    <w:rsid w:val="00DA4E43"/>
    <w:rsid w:val="00DA6D87"/>
    <w:rsid w:val="00DA7660"/>
    <w:rsid w:val="00DB245D"/>
    <w:rsid w:val="00DB2EE7"/>
    <w:rsid w:val="00DB4297"/>
    <w:rsid w:val="00DB7522"/>
    <w:rsid w:val="00DB75CF"/>
    <w:rsid w:val="00DC2097"/>
    <w:rsid w:val="00DC4D72"/>
    <w:rsid w:val="00DD40CE"/>
    <w:rsid w:val="00DD4BB6"/>
    <w:rsid w:val="00DD6989"/>
    <w:rsid w:val="00DD7D56"/>
    <w:rsid w:val="00DE7B1C"/>
    <w:rsid w:val="00DF3FC5"/>
    <w:rsid w:val="00DF5827"/>
    <w:rsid w:val="00DF6B32"/>
    <w:rsid w:val="00DF79A2"/>
    <w:rsid w:val="00E00D1D"/>
    <w:rsid w:val="00E036DF"/>
    <w:rsid w:val="00E04E26"/>
    <w:rsid w:val="00E061BD"/>
    <w:rsid w:val="00E11CE0"/>
    <w:rsid w:val="00E11FEF"/>
    <w:rsid w:val="00E12963"/>
    <w:rsid w:val="00E12D09"/>
    <w:rsid w:val="00E160B3"/>
    <w:rsid w:val="00E32DDE"/>
    <w:rsid w:val="00E3345F"/>
    <w:rsid w:val="00E34434"/>
    <w:rsid w:val="00E34585"/>
    <w:rsid w:val="00E361AE"/>
    <w:rsid w:val="00E4004C"/>
    <w:rsid w:val="00E509E6"/>
    <w:rsid w:val="00E50D69"/>
    <w:rsid w:val="00E53FD0"/>
    <w:rsid w:val="00E56013"/>
    <w:rsid w:val="00E5712E"/>
    <w:rsid w:val="00E6074B"/>
    <w:rsid w:val="00E66444"/>
    <w:rsid w:val="00E70075"/>
    <w:rsid w:val="00E71E70"/>
    <w:rsid w:val="00E731A4"/>
    <w:rsid w:val="00E74588"/>
    <w:rsid w:val="00E75416"/>
    <w:rsid w:val="00E826FE"/>
    <w:rsid w:val="00E86A3C"/>
    <w:rsid w:val="00E87558"/>
    <w:rsid w:val="00E90572"/>
    <w:rsid w:val="00E92FD3"/>
    <w:rsid w:val="00E93B39"/>
    <w:rsid w:val="00E959E5"/>
    <w:rsid w:val="00E96582"/>
    <w:rsid w:val="00E97C41"/>
    <w:rsid w:val="00EA119D"/>
    <w:rsid w:val="00EA2668"/>
    <w:rsid w:val="00EA2995"/>
    <w:rsid w:val="00EA4761"/>
    <w:rsid w:val="00EA5FBF"/>
    <w:rsid w:val="00EA6859"/>
    <w:rsid w:val="00EA7D62"/>
    <w:rsid w:val="00EB1E5B"/>
    <w:rsid w:val="00EB4757"/>
    <w:rsid w:val="00EB57D2"/>
    <w:rsid w:val="00EB7174"/>
    <w:rsid w:val="00EC00A3"/>
    <w:rsid w:val="00EC55C1"/>
    <w:rsid w:val="00ED7BAB"/>
    <w:rsid w:val="00EE208A"/>
    <w:rsid w:val="00EE46C2"/>
    <w:rsid w:val="00EE5E06"/>
    <w:rsid w:val="00EE6389"/>
    <w:rsid w:val="00EE7F8C"/>
    <w:rsid w:val="00EF036D"/>
    <w:rsid w:val="00EF0816"/>
    <w:rsid w:val="00EF5035"/>
    <w:rsid w:val="00F06127"/>
    <w:rsid w:val="00F067CA"/>
    <w:rsid w:val="00F12E09"/>
    <w:rsid w:val="00F16EE0"/>
    <w:rsid w:val="00F17616"/>
    <w:rsid w:val="00F20454"/>
    <w:rsid w:val="00F20587"/>
    <w:rsid w:val="00F24CEB"/>
    <w:rsid w:val="00F2636F"/>
    <w:rsid w:val="00F3260B"/>
    <w:rsid w:val="00F334A7"/>
    <w:rsid w:val="00F35C72"/>
    <w:rsid w:val="00F36273"/>
    <w:rsid w:val="00F507DE"/>
    <w:rsid w:val="00F52FEC"/>
    <w:rsid w:val="00F53B9B"/>
    <w:rsid w:val="00F543FB"/>
    <w:rsid w:val="00F565FA"/>
    <w:rsid w:val="00F62B97"/>
    <w:rsid w:val="00F6351D"/>
    <w:rsid w:val="00F64A1B"/>
    <w:rsid w:val="00F667F4"/>
    <w:rsid w:val="00F66CB0"/>
    <w:rsid w:val="00F67FF8"/>
    <w:rsid w:val="00F70E66"/>
    <w:rsid w:val="00F74133"/>
    <w:rsid w:val="00F74769"/>
    <w:rsid w:val="00F77157"/>
    <w:rsid w:val="00F779FF"/>
    <w:rsid w:val="00F77AE3"/>
    <w:rsid w:val="00F807CC"/>
    <w:rsid w:val="00F856D7"/>
    <w:rsid w:val="00F8664F"/>
    <w:rsid w:val="00F91562"/>
    <w:rsid w:val="00F93115"/>
    <w:rsid w:val="00F9527E"/>
    <w:rsid w:val="00F97398"/>
    <w:rsid w:val="00FA3996"/>
    <w:rsid w:val="00FA60F5"/>
    <w:rsid w:val="00FB0E3C"/>
    <w:rsid w:val="00FB111D"/>
    <w:rsid w:val="00FB1CC3"/>
    <w:rsid w:val="00FB2565"/>
    <w:rsid w:val="00FB4ED1"/>
    <w:rsid w:val="00FC0B66"/>
    <w:rsid w:val="00FC2AC4"/>
    <w:rsid w:val="00FC6388"/>
    <w:rsid w:val="00FD2DCB"/>
    <w:rsid w:val="00FD37D1"/>
    <w:rsid w:val="00FD5560"/>
    <w:rsid w:val="00FD6234"/>
    <w:rsid w:val="00FD7BC7"/>
    <w:rsid w:val="00FE1867"/>
    <w:rsid w:val="00FE3A04"/>
    <w:rsid w:val="00FE59D9"/>
    <w:rsid w:val="00FF1557"/>
    <w:rsid w:val="00FF3BD2"/>
    <w:rsid w:val="00FF61EE"/>
    <w:rsid w:val="01631549"/>
    <w:rsid w:val="01654456"/>
    <w:rsid w:val="019833FD"/>
    <w:rsid w:val="03CF48D0"/>
    <w:rsid w:val="03FB07DC"/>
    <w:rsid w:val="04231362"/>
    <w:rsid w:val="04634FB8"/>
    <w:rsid w:val="04EC6587"/>
    <w:rsid w:val="054F6582"/>
    <w:rsid w:val="059E632B"/>
    <w:rsid w:val="05BD0878"/>
    <w:rsid w:val="072E75CB"/>
    <w:rsid w:val="073C09F4"/>
    <w:rsid w:val="08B92E8E"/>
    <w:rsid w:val="08E20120"/>
    <w:rsid w:val="0A054038"/>
    <w:rsid w:val="0A9660CA"/>
    <w:rsid w:val="0BA43BF8"/>
    <w:rsid w:val="0C1E5181"/>
    <w:rsid w:val="0FD77DCE"/>
    <w:rsid w:val="119A02EF"/>
    <w:rsid w:val="1209107B"/>
    <w:rsid w:val="12DB3200"/>
    <w:rsid w:val="13D92D9C"/>
    <w:rsid w:val="18267A18"/>
    <w:rsid w:val="187E7EAB"/>
    <w:rsid w:val="18B15476"/>
    <w:rsid w:val="19511D29"/>
    <w:rsid w:val="1A561E19"/>
    <w:rsid w:val="1BB44881"/>
    <w:rsid w:val="1CA86413"/>
    <w:rsid w:val="1DCE2F5D"/>
    <w:rsid w:val="1E2E3564"/>
    <w:rsid w:val="1EAA2E85"/>
    <w:rsid w:val="219046B6"/>
    <w:rsid w:val="241E1D14"/>
    <w:rsid w:val="24C434C9"/>
    <w:rsid w:val="250D2E32"/>
    <w:rsid w:val="251C3EEF"/>
    <w:rsid w:val="27B76736"/>
    <w:rsid w:val="27C70F4E"/>
    <w:rsid w:val="287D0AD8"/>
    <w:rsid w:val="29CB724D"/>
    <w:rsid w:val="2B9E5DA6"/>
    <w:rsid w:val="2BEE6E7D"/>
    <w:rsid w:val="2C0D1012"/>
    <w:rsid w:val="2C7D570A"/>
    <w:rsid w:val="2C824FBA"/>
    <w:rsid w:val="2C8532EA"/>
    <w:rsid w:val="2D3F2E59"/>
    <w:rsid w:val="2ED955F0"/>
    <w:rsid w:val="2F7F703B"/>
    <w:rsid w:val="304829E0"/>
    <w:rsid w:val="32E05404"/>
    <w:rsid w:val="36D97A08"/>
    <w:rsid w:val="39B82B3E"/>
    <w:rsid w:val="3A836D8F"/>
    <w:rsid w:val="3C5161A9"/>
    <w:rsid w:val="3CD5085D"/>
    <w:rsid w:val="3DB72F48"/>
    <w:rsid w:val="3E797CB0"/>
    <w:rsid w:val="3E9939C1"/>
    <w:rsid w:val="3F232C4D"/>
    <w:rsid w:val="40325CE1"/>
    <w:rsid w:val="40BC5738"/>
    <w:rsid w:val="420150D4"/>
    <w:rsid w:val="434C64F7"/>
    <w:rsid w:val="43D34AF5"/>
    <w:rsid w:val="448736FC"/>
    <w:rsid w:val="44E51517"/>
    <w:rsid w:val="45F34696"/>
    <w:rsid w:val="463A218E"/>
    <w:rsid w:val="484D2A29"/>
    <w:rsid w:val="48716DD0"/>
    <w:rsid w:val="4A9D79FC"/>
    <w:rsid w:val="4B01301B"/>
    <w:rsid w:val="4B130775"/>
    <w:rsid w:val="4B3A6678"/>
    <w:rsid w:val="4BA15123"/>
    <w:rsid w:val="4C9A5C24"/>
    <w:rsid w:val="4CD66C31"/>
    <w:rsid w:val="4D593C8B"/>
    <w:rsid w:val="50074FD7"/>
    <w:rsid w:val="50C4668F"/>
    <w:rsid w:val="515F3BCA"/>
    <w:rsid w:val="51D677A8"/>
    <w:rsid w:val="51F33F18"/>
    <w:rsid w:val="53FA7F03"/>
    <w:rsid w:val="57FC1C94"/>
    <w:rsid w:val="582B332D"/>
    <w:rsid w:val="58C23592"/>
    <w:rsid w:val="59F66F17"/>
    <w:rsid w:val="5A612353"/>
    <w:rsid w:val="5B2249E1"/>
    <w:rsid w:val="5BA21771"/>
    <w:rsid w:val="5BA57168"/>
    <w:rsid w:val="5CC94B15"/>
    <w:rsid w:val="5E9F4FCD"/>
    <w:rsid w:val="5EDA0FDE"/>
    <w:rsid w:val="5F401ED1"/>
    <w:rsid w:val="5F9335DE"/>
    <w:rsid w:val="5FDB5953"/>
    <w:rsid w:val="60584153"/>
    <w:rsid w:val="60A56756"/>
    <w:rsid w:val="60E741DE"/>
    <w:rsid w:val="62A739A9"/>
    <w:rsid w:val="636B6BC5"/>
    <w:rsid w:val="64C4313F"/>
    <w:rsid w:val="6B572EC3"/>
    <w:rsid w:val="6BA15B02"/>
    <w:rsid w:val="6BC934E9"/>
    <w:rsid w:val="6CA81354"/>
    <w:rsid w:val="6D736BB5"/>
    <w:rsid w:val="6DA35C1A"/>
    <w:rsid w:val="6EC95C51"/>
    <w:rsid w:val="6F415506"/>
    <w:rsid w:val="6F706160"/>
    <w:rsid w:val="7077377A"/>
    <w:rsid w:val="708A6F3B"/>
    <w:rsid w:val="71AB5643"/>
    <w:rsid w:val="72BE6418"/>
    <w:rsid w:val="72EC1B99"/>
    <w:rsid w:val="747B003E"/>
    <w:rsid w:val="77A1504F"/>
    <w:rsid w:val="7A740613"/>
    <w:rsid w:val="7B4F7756"/>
    <w:rsid w:val="7B621A60"/>
    <w:rsid w:val="7CEB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outlineLvl w:val="0"/>
    </w:pPr>
    <w:rPr>
      <w:rFonts w:ascii="楷体_GB2312" w:hAnsi="宋体" w:eastAsia="楷体_GB2312"/>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link w:val="28"/>
    <w:qFormat/>
    <w:uiPriority w:val="0"/>
    <w:rPr>
      <w:rFonts w:ascii="宋体"/>
      <w:sz w:val="18"/>
      <w:szCs w:val="18"/>
    </w:rPr>
  </w:style>
  <w:style w:type="paragraph" w:styleId="7">
    <w:name w:val="annotation text"/>
    <w:basedOn w:val="1"/>
    <w:link w:val="41"/>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line="480" w:lineRule="exact"/>
      <w:ind w:firstLine="525"/>
    </w:pPr>
    <w:rPr>
      <w:rFonts w:ascii="宋体"/>
      <w:sz w:val="24"/>
    </w:rPr>
  </w:style>
  <w:style w:type="paragraph" w:styleId="10">
    <w:name w:val="Plain Text"/>
    <w:basedOn w:val="1"/>
    <w:link w:val="46"/>
    <w:qFormat/>
    <w:uiPriority w:val="0"/>
    <w:pPr>
      <w:adjustRightInd w:val="0"/>
      <w:textAlignment w:val="baseline"/>
    </w:pPr>
    <w:rPr>
      <w:rFonts w:ascii="宋体" w:hAnsi="Courier New"/>
    </w:rPr>
  </w:style>
  <w:style w:type="paragraph" w:styleId="11">
    <w:name w:val="Date"/>
    <w:basedOn w:val="1"/>
    <w:next w:val="1"/>
    <w:qFormat/>
    <w:uiPriority w:val="0"/>
    <w:pPr>
      <w:ind w:left="100" w:leftChars="2500"/>
    </w:pPr>
  </w:style>
  <w:style w:type="paragraph" w:styleId="12">
    <w:name w:val="Balloon Text"/>
    <w:basedOn w:val="1"/>
    <w:link w:val="30"/>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7"/>
    <w:next w:val="7"/>
    <w:link w:val="42"/>
    <w:semiHidden/>
    <w:unhideWhenUsed/>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styleId="23">
    <w:name w:val="annotation reference"/>
    <w:basedOn w:val="19"/>
    <w:semiHidden/>
    <w:unhideWhenUsed/>
    <w:qFormat/>
    <w:uiPriority w:val="0"/>
    <w:rPr>
      <w:sz w:val="21"/>
      <w:szCs w:val="21"/>
    </w:rPr>
  </w:style>
  <w:style w:type="character" w:customStyle="1" w:styleId="24">
    <w:name w:val="标题 3 字符"/>
    <w:link w:val="4"/>
    <w:qFormat/>
    <w:uiPriority w:val="0"/>
    <w:rPr>
      <w:b/>
      <w:bCs/>
      <w:kern w:val="2"/>
      <w:sz w:val="32"/>
      <w:szCs w:val="32"/>
    </w:rPr>
  </w:style>
  <w:style w:type="character" w:customStyle="1" w:styleId="25">
    <w:name w:val="标题 2 Char Char Char"/>
    <w:qFormat/>
    <w:uiPriority w:val="0"/>
    <w:rPr>
      <w:rFonts w:ascii="Arial" w:hAnsi="Arial" w:eastAsia="黑体"/>
      <w:b/>
      <w:bCs/>
      <w:kern w:val="2"/>
      <w:sz w:val="32"/>
      <w:szCs w:val="32"/>
      <w:lang w:val="en-US" w:eastAsia="zh-CN" w:bidi="ar-SA"/>
    </w:rPr>
  </w:style>
  <w:style w:type="character" w:customStyle="1" w:styleId="26">
    <w:name w:val="标题 1 字符"/>
    <w:link w:val="2"/>
    <w:qFormat/>
    <w:uiPriority w:val="0"/>
    <w:rPr>
      <w:rFonts w:ascii="楷体_GB2312" w:hAnsi="宋体" w:eastAsia="楷体_GB2312" w:cs="宋体"/>
      <w:kern w:val="2"/>
      <w:sz w:val="28"/>
    </w:rPr>
  </w:style>
  <w:style w:type="character" w:customStyle="1" w:styleId="27">
    <w:name w:val="页眉 字符"/>
    <w:link w:val="14"/>
    <w:qFormat/>
    <w:uiPriority w:val="0"/>
    <w:rPr>
      <w:kern w:val="2"/>
      <w:sz w:val="18"/>
      <w:szCs w:val="18"/>
    </w:rPr>
  </w:style>
  <w:style w:type="character" w:customStyle="1" w:styleId="28">
    <w:name w:val="文档结构图 字符"/>
    <w:link w:val="6"/>
    <w:qFormat/>
    <w:uiPriority w:val="0"/>
    <w:rPr>
      <w:rFonts w:ascii="宋体"/>
      <w:kern w:val="2"/>
      <w:sz w:val="18"/>
      <w:szCs w:val="18"/>
    </w:rPr>
  </w:style>
  <w:style w:type="character" w:customStyle="1" w:styleId="29">
    <w:name w:val="页脚 字符"/>
    <w:link w:val="13"/>
    <w:qFormat/>
    <w:uiPriority w:val="99"/>
    <w:rPr>
      <w:kern w:val="2"/>
      <w:sz w:val="18"/>
      <w:szCs w:val="18"/>
    </w:rPr>
  </w:style>
  <w:style w:type="character" w:customStyle="1" w:styleId="30">
    <w:name w:val="批注框文本 字符"/>
    <w:link w:val="12"/>
    <w:qFormat/>
    <w:uiPriority w:val="0"/>
    <w:rPr>
      <w:kern w:val="2"/>
      <w:sz w:val="18"/>
      <w:szCs w:val="18"/>
    </w:rPr>
  </w:style>
  <w:style w:type="paragraph" w:customStyle="1" w:styleId="31">
    <w:name w:val="Char Char1 Char Char Char Char Char"/>
    <w:basedOn w:val="1"/>
    <w:qFormat/>
    <w:uiPriority w:val="0"/>
    <w:rPr>
      <w:rFonts w:ascii="Tahoma" w:hAnsi="Tahoma"/>
      <w:sz w:val="24"/>
      <w:szCs w:val="20"/>
    </w:rPr>
  </w:style>
  <w:style w:type="paragraph" w:customStyle="1" w:styleId="32">
    <w:name w:val="p0"/>
    <w:basedOn w:val="1"/>
    <w:qFormat/>
    <w:uiPriority w:val="0"/>
    <w:pPr>
      <w:widowControl/>
      <w:jc w:val="left"/>
    </w:pPr>
    <w:rPr>
      <w:rFonts w:ascii="宋体" w:hAnsi="宋体" w:cs="宋体"/>
      <w:kern w:val="0"/>
      <w:sz w:val="24"/>
    </w:rPr>
  </w:style>
  <w:style w:type="paragraph" w:customStyle="1" w:styleId="33">
    <w:name w:val="彩色列表1"/>
    <w:basedOn w:val="1"/>
    <w:qFormat/>
    <w:uiPriority w:val="34"/>
    <w:pPr>
      <w:ind w:firstLine="420" w:firstLineChars="200"/>
    </w:pPr>
    <w:rPr>
      <w:rFonts w:ascii="Calibri" w:hAnsi="Calibri"/>
      <w:szCs w:val="22"/>
    </w:rPr>
  </w:style>
  <w:style w:type="paragraph" w:customStyle="1" w:styleId="34">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35">
    <w:name w:val="Body Text(ch)"/>
    <w:basedOn w:val="1"/>
    <w:next w:val="8"/>
    <w:qFormat/>
    <w:uiPriority w:val="0"/>
    <w:rPr>
      <w:rFonts w:ascii="楷体_GB2312" w:hAnsi="Arial" w:eastAsia="楷体_GB2312"/>
      <w:sz w:val="28"/>
      <w:szCs w:val="20"/>
    </w:rPr>
  </w:style>
  <w:style w:type="paragraph" w:customStyle="1" w:styleId="36">
    <w:name w:val="Char Char1 Char Char Char Char Char1"/>
    <w:basedOn w:val="1"/>
    <w:qFormat/>
    <w:uiPriority w:val="0"/>
    <w:rPr>
      <w:rFonts w:ascii="Tahoma" w:hAnsi="Tahoma"/>
      <w:sz w:val="24"/>
      <w:szCs w:val="20"/>
    </w:rPr>
  </w:style>
  <w:style w:type="paragraph" w:customStyle="1" w:styleId="37">
    <w:name w:val="彩色列表 - 强调文字颜色 11"/>
    <w:basedOn w:val="1"/>
    <w:qFormat/>
    <w:uiPriority w:val="0"/>
    <w:pPr>
      <w:ind w:firstLine="420" w:firstLineChars="200"/>
    </w:pPr>
    <w:rPr>
      <w:rFonts w:ascii="Cambria" w:hAnsi="Cambria"/>
      <w:sz w:val="24"/>
    </w:rPr>
  </w:style>
  <w:style w:type="character" w:customStyle="1" w:styleId="38">
    <w:name w:val="页脚 Char"/>
    <w:qFormat/>
    <w:uiPriority w:val="99"/>
    <w:rPr>
      <w:kern w:val="2"/>
      <w:sz w:val="18"/>
      <w:szCs w:val="18"/>
    </w:rPr>
  </w:style>
  <w:style w:type="paragraph" w:customStyle="1" w:styleId="39">
    <w:name w:val="正文（首行不缩进）"/>
    <w:basedOn w:val="1"/>
    <w:qFormat/>
    <w:uiPriority w:val="99"/>
    <w:pPr>
      <w:spacing w:afterLines="50"/>
    </w:pPr>
  </w:style>
  <w:style w:type="paragraph" w:customStyle="1" w:styleId="40">
    <w:name w:val="text"/>
    <w:basedOn w:val="1"/>
    <w:qFormat/>
    <w:uiPriority w:val="0"/>
    <w:pPr>
      <w:widowControl/>
      <w:ind w:firstLine="200" w:firstLineChars="200"/>
      <w:jc w:val="left"/>
    </w:pPr>
    <w:rPr>
      <w:rFonts w:ascii="Arial" w:hAnsi="Arial"/>
      <w:kern w:val="0"/>
      <w:sz w:val="24"/>
      <w:szCs w:val="20"/>
      <w:lang w:eastAsia="en-US"/>
    </w:rPr>
  </w:style>
  <w:style w:type="character" w:customStyle="1" w:styleId="41">
    <w:name w:val="批注文字 字符"/>
    <w:basedOn w:val="19"/>
    <w:link w:val="7"/>
    <w:qFormat/>
    <w:uiPriority w:val="0"/>
    <w:rPr>
      <w:kern w:val="2"/>
      <w:sz w:val="21"/>
      <w:szCs w:val="24"/>
    </w:rPr>
  </w:style>
  <w:style w:type="character" w:customStyle="1" w:styleId="42">
    <w:name w:val="批注主题 字符"/>
    <w:basedOn w:val="41"/>
    <w:link w:val="16"/>
    <w:semiHidden/>
    <w:qFormat/>
    <w:uiPriority w:val="0"/>
    <w:rPr>
      <w:b/>
      <w:bCs/>
      <w:kern w:val="2"/>
      <w:sz w:val="21"/>
      <w:szCs w:val="24"/>
    </w:rPr>
  </w:style>
  <w:style w:type="paragraph" w:customStyle="1" w:styleId="43">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character" w:customStyle="1" w:styleId="44">
    <w:name w:val="font21"/>
    <w:qFormat/>
    <w:uiPriority w:val="0"/>
    <w:rPr>
      <w:rFonts w:hint="eastAsia" w:ascii="宋体" w:hAnsi="宋体" w:eastAsia="宋体" w:cs="宋体"/>
      <w:color w:val="000000"/>
      <w:sz w:val="20"/>
      <w:szCs w:val="20"/>
      <w:u w:val="none"/>
    </w:rPr>
  </w:style>
  <w:style w:type="paragraph" w:styleId="45">
    <w:name w:val="List Paragraph"/>
    <w:basedOn w:val="1"/>
    <w:uiPriority w:val="99"/>
    <w:pPr>
      <w:ind w:firstLine="420" w:firstLineChars="200"/>
    </w:pPr>
  </w:style>
  <w:style w:type="character" w:customStyle="1" w:styleId="46">
    <w:name w:val="纯文本 字符"/>
    <w:basedOn w:val="19"/>
    <w:link w:val="10"/>
    <w:uiPriority w:val="0"/>
    <w:rPr>
      <w:rFonts w:ascii="宋体" w:hAnsi="Courier New"/>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CE71-50A5-45B8-AD7A-D4AB237182A5}">
  <ds:schemaRefs/>
</ds:datastoreItem>
</file>

<file path=docProps/app.xml><?xml version="1.0" encoding="utf-8"?>
<Properties xmlns="http://schemas.openxmlformats.org/officeDocument/2006/extended-properties" xmlns:vt="http://schemas.openxmlformats.org/officeDocument/2006/docPropsVTypes">
  <Template>Normal</Template>
  <Company>njcatv</Company>
  <Pages>18</Pages>
  <Words>8320</Words>
  <Characters>8572</Characters>
  <Lines>70</Lines>
  <Paragraphs>19</Paragraphs>
  <TotalTime>779</TotalTime>
  <ScaleCrop>false</ScaleCrop>
  <LinksUpToDate>false</LinksUpToDate>
  <CharactersWithSpaces>9266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2019-06-13T07:51:00Z</dcterms:created>
  <dc:creator>hkn</dc:creator>
  <cp:lastModifiedBy>Administrator</cp:lastModifiedBy>
  <cp:lastPrinted>2016-06-28T04:19:00Z</cp:lastPrinted>
  <dcterms:modified xsi:type="dcterms:W3CDTF">2023-05-19T00:22:16Z</dcterms:modified>
  <dc:title>UPS主要特性指标</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6871358A6D3E47ADA94B610B9388FF5E</vt:lpwstr>
  </property>
</Properties>
</file>