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7D4F4E">
      <w:pPr>
        <w:keepNext/>
        <w:keepLines/>
        <w:spacing w:before="312" w:beforeLines="100" w:after="312" w:afterLines="100" w:line="360" w:lineRule="auto"/>
        <w:jc w:val="center"/>
        <w:outlineLvl w:val="0"/>
        <w:rPr>
          <w:rFonts w:hint="default" w:ascii="Times New Roman" w:hAnsi="Times New Roman" w:eastAsia="宋体" w:cs="Times New Roman"/>
          <w:b/>
          <w:bCs/>
          <w:kern w:val="44"/>
          <w:sz w:val="36"/>
          <w:szCs w:val="36"/>
          <w:u w:color="000000"/>
          <w:lang w:val="zh-TW"/>
        </w:rPr>
      </w:pPr>
      <w:bookmarkStart w:id="0" w:name="_Toc32195"/>
      <w:bookmarkStart w:id="1" w:name="_Toc208925670"/>
      <w:r>
        <w:rPr>
          <w:rFonts w:hint="default" w:ascii="Times New Roman" w:hAnsi="Times New Roman" w:eastAsia="宋体" w:cs="Times New Roman"/>
          <w:b/>
          <w:bCs/>
          <w:kern w:val="44"/>
          <w:sz w:val="36"/>
          <w:szCs w:val="36"/>
          <w:u w:color="000000"/>
        </w:rPr>
        <w:t xml:space="preserve"> </w:t>
      </w:r>
      <w:r>
        <w:rPr>
          <w:rFonts w:hint="default" w:ascii="Times New Roman" w:hAnsi="Times New Roman" w:eastAsia="宋体" w:cs="Times New Roman"/>
          <w:b/>
          <w:bCs/>
          <w:kern w:val="44"/>
          <w:sz w:val="36"/>
          <w:szCs w:val="36"/>
          <w:u w:color="000000"/>
          <w:lang w:val="zh-TW"/>
        </w:rPr>
        <w:t>技术需求书</w:t>
      </w:r>
      <w:bookmarkEnd w:id="0"/>
      <w:bookmarkEnd w:id="1"/>
    </w:p>
    <w:p w14:paraId="79AA9945">
      <w:pPr>
        <w:spacing w:line="360" w:lineRule="auto"/>
        <w:rPr>
          <w:rFonts w:hint="default" w:ascii="Times New Roman" w:hAnsi="Times New Roman" w:eastAsia="宋体" w:cs="Times New Roman"/>
          <w:color w:val="000000"/>
          <w:szCs w:val="21"/>
        </w:rPr>
      </w:pPr>
      <w:r>
        <w:rPr>
          <w:rFonts w:hint="default" w:ascii="Times New Roman" w:hAnsi="Times New Roman" w:eastAsia="宋体" w:cs="Times New Roman"/>
          <w:b/>
          <w:color w:val="000000"/>
          <w:szCs w:val="21"/>
        </w:rPr>
        <w:t>说明：</w:t>
      </w:r>
      <w:r>
        <w:rPr>
          <w:rFonts w:hint="default" w:ascii="Times New Roman" w:hAnsi="Times New Roman" w:eastAsia="宋体" w:cs="Times New Roman"/>
          <w:color w:val="000000"/>
          <w:szCs w:val="21"/>
        </w:rPr>
        <w:t>技术需求书中带“</w:t>
      </w:r>
      <w:r>
        <w:rPr>
          <w:rFonts w:hint="default" w:ascii="Times New Roman" w:hAnsi="Times New Roman" w:eastAsia="宋体" w:cs="Times New Roman"/>
          <w:szCs w:val="21"/>
        </w:rPr>
        <w:t>★</w:t>
      </w:r>
      <w:r>
        <w:rPr>
          <w:rFonts w:hint="default" w:ascii="Times New Roman" w:hAnsi="Times New Roman" w:eastAsia="宋体" w:cs="Times New Roman"/>
          <w:color w:val="000000"/>
          <w:szCs w:val="21"/>
        </w:rPr>
        <w:t>”部分为必须保证满足要求的条款。</w:t>
      </w:r>
    </w:p>
    <w:p w14:paraId="67D3BD28">
      <w:pPr>
        <w:spacing w:line="360" w:lineRule="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一、综述</w:t>
      </w:r>
    </w:p>
    <w:p w14:paraId="410C91B4">
      <w:pPr>
        <w:spacing w:line="360" w:lineRule="auto"/>
        <w:outlineLvl w:val="2"/>
        <w:rPr>
          <w:rFonts w:hint="default" w:ascii="Times New Roman" w:hAnsi="Times New Roman" w:eastAsia="宋体" w:cs="Times New Roman"/>
        </w:rPr>
      </w:pPr>
      <w:bookmarkStart w:id="2" w:name="_Toc31483"/>
      <w:bookmarkStart w:id="3" w:name="_Toc208925672"/>
      <w:bookmarkStart w:id="4" w:name="_Toc29754"/>
      <w:bookmarkStart w:id="5" w:name="_Toc16426"/>
      <w:bookmarkStart w:id="6" w:name="_Toc20248"/>
      <w:bookmarkStart w:id="7" w:name="_Hlk74066017"/>
      <w:r>
        <w:rPr>
          <w:rFonts w:hint="default" w:ascii="Times New Roman" w:hAnsi="Times New Roman" w:eastAsia="宋体" w:cs="Times New Roman"/>
        </w:rPr>
        <w:t>1.1 说明</w:t>
      </w:r>
      <w:bookmarkEnd w:id="2"/>
      <w:bookmarkEnd w:id="3"/>
      <w:bookmarkEnd w:id="4"/>
    </w:p>
    <w:p w14:paraId="1A3E8EFE">
      <w:pPr>
        <w:spacing w:line="360" w:lineRule="auto"/>
        <w:rPr>
          <w:rFonts w:hint="default" w:ascii="Times New Roman" w:hAnsi="Times New Roman" w:eastAsia="宋体" w:cs="Times New Roman"/>
          <w:color w:val="262626"/>
        </w:rPr>
      </w:pPr>
      <w:r>
        <w:rPr>
          <w:rFonts w:hint="default" w:ascii="Times New Roman" w:hAnsi="Times New Roman" w:eastAsia="宋体" w:cs="Times New Roman"/>
          <w:color w:val="262626"/>
        </w:rPr>
        <w:t>1.1.1</w:t>
      </w:r>
      <w:r>
        <w:rPr>
          <w:rFonts w:hint="default" w:ascii="Times New Roman" w:hAnsi="Times New Roman" w:eastAsia="宋体" w:cs="Times New Roman"/>
          <w:color w:val="262626"/>
        </w:rPr>
        <w:tab/>
      </w:r>
      <w:r>
        <w:rPr>
          <w:rFonts w:hint="default" w:ascii="Times New Roman" w:hAnsi="Times New Roman" w:eastAsia="宋体" w:cs="Times New Roman"/>
          <w:color w:val="262626"/>
        </w:rPr>
        <w:t>本技术需求书为</w:t>
      </w:r>
      <w:r>
        <w:rPr>
          <w:rFonts w:hint="default" w:ascii="Times New Roman" w:hAnsi="Times New Roman" w:eastAsia="宋体" w:cs="Times New Roman"/>
          <w:bCs/>
          <w:szCs w:val="21"/>
          <w:u w:val="single"/>
        </w:rPr>
        <w:t>江苏有线自主服务器</w:t>
      </w:r>
      <w:r>
        <w:rPr>
          <w:rFonts w:hint="default" w:ascii="Times New Roman" w:hAnsi="Times New Roman" w:eastAsia="宋体" w:cs="Times New Roman"/>
          <w:bCs/>
          <w:color w:val="262626"/>
          <w:szCs w:val="21"/>
          <w:u w:val="single"/>
        </w:rPr>
        <w:t>采购项目</w:t>
      </w:r>
      <w:r>
        <w:rPr>
          <w:rFonts w:hint="default" w:ascii="Times New Roman" w:hAnsi="Times New Roman" w:eastAsia="宋体" w:cs="Times New Roman"/>
          <w:color w:val="262626"/>
        </w:rPr>
        <w:t>中硬件设备的主要技术要求和供货要求，投标文件的技术部分内容格式应符合本技术需求书的要求，供应商提供的各项设备及系统的功能和性能应完全符合本技术需求书中指明的标准，并满足或高于技术需求书中提出的技术指标要求。</w:t>
      </w:r>
    </w:p>
    <w:p w14:paraId="6D006FA0">
      <w:pPr>
        <w:spacing w:line="360" w:lineRule="auto"/>
        <w:rPr>
          <w:rFonts w:hint="default" w:ascii="Times New Roman" w:hAnsi="Times New Roman" w:eastAsia="宋体" w:cs="Times New Roman"/>
          <w:color w:val="262626"/>
        </w:rPr>
      </w:pPr>
      <w:r>
        <w:rPr>
          <w:rFonts w:hint="default" w:ascii="Times New Roman" w:hAnsi="Times New Roman" w:eastAsia="宋体" w:cs="Times New Roman"/>
          <w:color w:val="262626"/>
        </w:rPr>
        <w:t>1.1.2</w:t>
      </w:r>
      <w:r>
        <w:rPr>
          <w:rFonts w:hint="default" w:ascii="Times New Roman" w:hAnsi="Times New Roman" w:eastAsia="宋体" w:cs="Times New Roman"/>
          <w:color w:val="262626"/>
        </w:rPr>
        <w:tab/>
      </w:r>
      <w:r>
        <w:rPr>
          <w:rFonts w:hint="default" w:ascii="Times New Roman" w:hAnsi="Times New Roman" w:eastAsia="宋体" w:cs="Times New Roman"/>
          <w:color w:val="262626"/>
        </w:rPr>
        <w:t>投标人应根据本技术需求书的要求，基于自己的产品和技术提供具体、完整的配置方案。投标人在投标文件中给出的设备硬件和软件配置，必须保证投标文件中各项性能和功能承诺指标的实现。设备在各种承诺业务功能同时启用时，不应影响设备性能和稳定性。</w:t>
      </w:r>
    </w:p>
    <w:p w14:paraId="44C746A9">
      <w:pPr>
        <w:spacing w:line="360" w:lineRule="auto"/>
        <w:rPr>
          <w:rFonts w:hint="default" w:ascii="Times New Roman" w:hAnsi="Times New Roman" w:eastAsia="宋体" w:cs="Times New Roman"/>
          <w:color w:val="262626"/>
        </w:rPr>
      </w:pPr>
      <w:r>
        <w:rPr>
          <w:rFonts w:hint="default" w:ascii="Times New Roman" w:hAnsi="Times New Roman" w:eastAsia="宋体" w:cs="Times New Roman"/>
          <w:color w:val="262626"/>
        </w:rPr>
        <w:t>1.1.3</w:t>
      </w:r>
      <w:r>
        <w:rPr>
          <w:rFonts w:hint="default" w:ascii="Times New Roman" w:hAnsi="Times New Roman" w:eastAsia="宋体" w:cs="Times New Roman"/>
          <w:color w:val="262626"/>
        </w:rPr>
        <w:tab/>
      </w:r>
      <w:r>
        <w:rPr>
          <w:rFonts w:hint="default" w:ascii="Times New Roman" w:hAnsi="Times New Roman" w:eastAsia="宋体" w:cs="Times New Roman"/>
          <w:color w:val="262626"/>
        </w:rPr>
        <w:t>投标人所投设备应是制造商新推出的产品型号，投标人应保证本次投标的产品在5年内不会因制造商的技术路线调整、技术升级等原因导致停产及不再销售。</w:t>
      </w:r>
    </w:p>
    <w:p w14:paraId="2BEE8CD9">
      <w:pPr>
        <w:spacing w:line="360" w:lineRule="auto"/>
        <w:rPr>
          <w:rFonts w:hint="default" w:ascii="Times New Roman" w:hAnsi="Times New Roman" w:eastAsia="宋体" w:cs="Times New Roman"/>
          <w:color w:val="262626"/>
        </w:rPr>
      </w:pPr>
      <w:r>
        <w:rPr>
          <w:rFonts w:hint="default" w:ascii="Times New Roman" w:hAnsi="Times New Roman" w:eastAsia="宋体" w:cs="Times New Roman"/>
          <w:color w:val="262626"/>
        </w:rPr>
        <w:t>1.1.4</w:t>
      </w:r>
      <w:r>
        <w:rPr>
          <w:rFonts w:hint="default" w:ascii="Times New Roman" w:hAnsi="Times New Roman" w:eastAsia="宋体" w:cs="Times New Roman"/>
          <w:color w:val="262626"/>
        </w:rPr>
        <w:tab/>
      </w:r>
      <w:r>
        <w:rPr>
          <w:rFonts w:hint="default" w:ascii="Times New Roman" w:hAnsi="Times New Roman" w:eastAsia="宋体" w:cs="Times New Roman"/>
          <w:color w:val="262626"/>
        </w:rPr>
        <w:t>本技术需求书应视为保证网络运行所需的最低要求。如有遗漏，投标人应予以补充，否则一旦中标将认为投标人认同遗漏部分并免费提供。</w:t>
      </w:r>
    </w:p>
    <w:p w14:paraId="799E374C">
      <w:pPr>
        <w:spacing w:line="360" w:lineRule="auto"/>
        <w:rPr>
          <w:rFonts w:hint="default" w:ascii="Times New Roman" w:hAnsi="Times New Roman" w:eastAsia="宋体" w:cs="Times New Roman"/>
          <w:color w:val="262626"/>
        </w:rPr>
      </w:pPr>
      <w:r>
        <w:rPr>
          <w:rFonts w:hint="default" w:ascii="Times New Roman" w:hAnsi="Times New Roman" w:eastAsia="宋体" w:cs="Times New Roman"/>
          <w:color w:val="262626"/>
        </w:rPr>
        <w:t>1.1.5</w:t>
      </w:r>
      <w:r>
        <w:rPr>
          <w:rFonts w:hint="default" w:ascii="Times New Roman" w:hAnsi="Times New Roman" w:eastAsia="宋体" w:cs="Times New Roman"/>
          <w:color w:val="262626"/>
        </w:rPr>
        <w:tab/>
      </w:r>
      <w:r>
        <w:rPr>
          <w:rFonts w:hint="default" w:ascii="Times New Roman" w:hAnsi="Times New Roman" w:eastAsia="宋体" w:cs="Times New Roman"/>
          <w:color w:val="262626"/>
        </w:rPr>
        <w:t>投标人若在投标文件中应答“满足”但实际应用中发现不能满足，则投标人应在六周内免费更换满足技术需求书要求的设备（更换设备时所需的一切相关费用，例如运输费、施工费、集成费等由投标人承担），同时承担期间招标人所有损失，招标人保留退货的权力。因此造成招标人计划用其他厂商设备替换该设备的，投标人必须负责替换设备所需的一切费用（包括但不限于运输费、施工费、集成费等），并且期间招标人所有损失由投标人承担；同时招标人保留限制投标人参加后期集采的权力。</w:t>
      </w:r>
    </w:p>
    <w:p w14:paraId="45BC4FFA">
      <w:pPr>
        <w:spacing w:line="360" w:lineRule="auto"/>
        <w:rPr>
          <w:rFonts w:hint="default" w:ascii="Times New Roman" w:hAnsi="Times New Roman" w:eastAsia="宋体" w:cs="Times New Roman"/>
          <w:color w:val="262626"/>
        </w:rPr>
      </w:pPr>
      <w:r>
        <w:rPr>
          <w:rFonts w:hint="default" w:ascii="Times New Roman" w:hAnsi="Times New Roman" w:eastAsia="宋体" w:cs="Times New Roman"/>
          <w:color w:val="262626"/>
        </w:rPr>
        <w:t>1.1.6</w:t>
      </w:r>
      <w:r>
        <w:rPr>
          <w:rFonts w:hint="default" w:ascii="Times New Roman" w:hAnsi="Times New Roman" w:eastAsia="宋体" w:cs="Times New Roman"/>
          <w:color w:val="262626"/>
        </w:rPr>
        <w:tab/>
      </w:r>
      <w:r>
        <w:rPr>
          <w:rFonts w:hint="default" w:ascii="Times New Roman" w:hAnsi="Times New Roman" w:eastAsia="宋体" w:cs="Times New Roman"/>
          <w:color w:val="262626"/>
        </w:rPr>
        <w:t>投标人不同软件、设备对技术需求书所要求功能和性能支持若有所不同，须逐一说明，否则招标人认为投标人不同软件、设备均支持所要求的功能和性能，若在实际使用中发现与应答有出入，则投标人必须免费更换所有的不满足要求的设备 (更换设备所需的一切相关费用，例如运输费、施工费、集成费等也由投标人承担)，并且期间招标人所有损失由投标人承担。同时招标人保留退货的权力，如果招标人计划用其他厂商设备替换该设备，投标人必须负责替换设备所需的一切费用（包括但不限于运输费、施工费、集成费等），并且期间招标人所有损失由投标人承担；同时招标人保留限制投标人参加后期集采的权力。</w:t>
      </w:r>
    </w:p>
    <w:p w14:paraId="6454FCEA">
      <w:pPr>
        <w:spacing w:line="360" w:lineRule="auto"/>
        <w:rPr>
          <w:rFonts w:hint="default" w:ascii="Times New Roman" w:hAnsi="Times New Roman" w:eastAsia="宋体" w:cs="Times New Roman"/>
          <w:color w:val="262626"/>
        </w:rPr>
      </w:pPr>
      <w:r>
        <w:rPr>
          <w:rFonts w:hint="default" w:ascii="Times New Roman" w:hAnsi="Times New Roman" w:eastAsia="宋体" w:cs="Times New Roman"/>
          <w:color w:val="262626"/>
        </w:rPr>
        <w:t>1.1.7</w:t>
      </w:r>
      <w:r>
        <w:rPr>
          <w:rFonts w:hint="default" w:ascii="Times New Roman" w:hAnsi="Times New Roman" w:eastAsia="宋体" w:cs="Times New Roman"/>
          <w:color w:val="262626"/>
        </w:rPr>
        <w:tab/>
      </w:r>
      <w:r>
        <w:rPr>
          <w:rFonts w:hint="default" w:ascii="Times New Roman" w:hAnsi="Times New Roman" w:eastAsia="宋体" w:cs="Times New Roman"/>
          <w:color w:val="262626"/>
        </w:rPr>
        <w:t>招标人在任何时候都保留和拥有对本技术需求书的解释权。</w:t>
      </w:r>
    </w:p>
    <w:p w14:paraId="2B7787B5">
      <w:pPr>
        <w:spacing w:line="360" w:lineRule="auto"/>
        <w:outlineLvl w:val="2"/>
        <w:rPr>
          <w:rFonts w:hint="default" w:ascii="Times New Roman" w:hAnsi="Times New Roman" w:eastAsia="宋体" w:cs="Times New Roman"/>
        </w:rPr>
      </w:pPr>
      <w:bookmarkStart w:id="8" w:name="_Toc208925673"/>
      <w:r>
        <w:rPr>
          <w:rFonts w:hint="default" w:ascii="Times New Roman" w:hAnsi="Times New Roman" w:eastAsia="宋体" w:cs="Times New Roman"/>
        </w:rPr>
        <w:t>1.2 技术应答要求</w:t>
      </w:r>
      <w:bookmarkEnd w:id="5"/>
      <w:bookmarkEnd w:id="6"/>
      <w:bookmarkEnd w:id="8"/>
    </w:p>
    <w:p w14:paraId="239DF768">
      <w:pPr>
        <w:spacing w:line="360" w:lineRule="auto"/>
        <w:rPr>
          <w:rFonts w:hint="default" w:ascii="Times New Roman" w:hAnsi="Times New Roman" w:eastAsia="宋体" w:cs="Times New Roman"/>
        </w:rPr>
      </w:pPr>
      <w:r>
        <w:rPr>
          <w:rFonts w:hint="default" w:ascii="Times New Roman" w:hAnsi="Times New Roman" w:eastAsia="宋体" w:cs="Times New Roman"/>
        </w:rPr>
        <w:t>投标人应按照本技术需求书的要求提供响应文件的技术部分，并包含但不限于以下内容：</w:t>
      </w:r>
    </w:p>
    <w:p w14:paraId="7E2923A6">
      <w:pPr>
        <w:spacing w:line="360" w:lineRule="auto"/>
        <w:rPr>
          <w:rFonts w:hint="default" w:ascii="Times New Roman" w:hAnsi="Times New Roman" w:eastAsia="宋体" w:cs="Times New Roman"/>
        </w:rPr>
      </w:pPr>
      <w:r>
        <w:rPr>
          <w:rFonts w:hint="default" w:ascii="Times New Roman" w:hAnsi="Times New Roman" w:eastAsia="宋体" w:cs="Times New Roman"/>
        </w:rPr>
        <w:t>1.2.1 综述</w:t>
      </w:r>
    </w:p>
    <w:p w14:paraId="0B499377">
      <w:pPr>
        <w:spacing w:line="360" w:lineRule="auto"/>
        <w:rPr>
          <w:rFonts w:hint="default" w:ascii="Times New Roman" w:hAnsi="Times New Roman" w:eastAsia="宋体" w:cs="Times New Roman"/>
        </w:rPr>
      </w:pPr>
      <w:r>
        <w:rPr>
          <w:rFonts w:hint="default" w:ascii="Times New Roman" w:hAnsi="Times New Roman" w:eastAsia="宋体" w:cs="Times New Roman"/>
        </w:rPr>
        <w:t>包括总体技术方案、产品设计原则、供应商的技术优势、第三方测评等内容。投标人应对其主流商用产品及产品线进行详细介绍和技术说明，说明的设备范围应涵盖所有的响应设备及其所在产品线，并能够完全反映响应设备制造商的主流商用产品概况。</w:t>
      </w:r>
    </w:p>
    <w:p w14:paraId="20AAEEF6">
      <w:pPr>
        <w:spacing w:line="360" w:lineRule="auto"/>
        <w:rPr>
          <w:rFonts w:hint="default" w:ascii="Times New Roman" w:hAnsi="Times New Roman" w:eastAsia="宋体" w:cs="Times New Roman"/>
        </w:rPr>
      </w:pPr>
      <w:r>
        <w:rPr>
          <w:rFonts w:hint="default" w:ascii="Times New Roman" w:hAnsi="Times New Roman" w:eastAsia="宋体" w:cs="Times New Roman"/>
        </w:rPr>
        <w:t>1.2.2 投标人所提供的设备(包括软、硬件)和系统建设方案应符合如下技术标准：</w:t>
      </w:r>
    </w:p>
    <w:p w14:paraId="589E05B8">
      <w:pPr>
        <w:spacing w:line="360" w:lineRule="auto"/>
        <w:rPr>
          <w:rFonts w:hint="default" w:ascii="Times New Roman" w:hAnsi="Times New Roman" w:eastAsia="宋体" w:cs="Times New Roman"/>
        </w:rPr>
      </w:pPr>
      <w:r>
        <w:rPr>
          <w:rFonts w:hint="default" w:ascii="Times New Roman" w:hAnsi="Times New Roman" w:eastAsia="宋体" w:cs="Times New Roman"/>
        </w:rPr>
        <w:t>1.2.2.1符合有关国际标准(如ISO、ITU-T、ETSI、IMTC、IETF、IEEE 等国际组织发布的标准、规范和建议等)，投标人应在响应文件中具体说明，并附上相应的详细技术资料。</w:t>
      </w:r>
    </w:p>
    <w:p w14:paraId="414E4015">
      <w:pPr>
        <w:spacing w:line="360" w:lineRule="auto"/>
        <w:rPr>
          <w:rFonts w:hint="default" w:ascii="Times New Roman" w:hAnsi="Times New Roman" w:eastAsia="宋体" w:cs="Times New Roman"/>
        </w:rPr>
      </w:pPr>
      <w:r>
        <w:rPr>
          <w:rFonts w:hint="default" w:ascii="Times New Roman" w:hAnsi="Times New Roman" w:eastAsia="宋体" w:cs="Times New Roman"/>
        </w:rPr>
        <w:t>1.2.2.2若投标人的设备和系统中包含自己的专用标准，应在响应文件中具体说明，并附上相应的详细技术资料。</w:t>
      </w:r>
    </w:p>
    <w:p w14:paraId="71FD301B">
      <w:pPr>
        <w:spacing w:line="360" w:lineRule="auto"/>
        <w:rPr>
          <w:rFonts w:hint="default" w:ascii="Times New Roman" w:hAnsi="Times New Roman" w:eastAsia="宋体" w:cs="Times New Roman"/>
        </w:rPr>
      </w:pPr>
      <w:r>
        <w:rPr>
          <w:rFonts w:hint="default" w:ascii="Times New Roman" w:hAnsi="Times New Roman" w:eastAsia="宋体" w:cs="Times New Roman"/>
        </w:rPr>
        <w:t>1.2.2.3本文件中未列出但ITU-T 已有建议的，投标人的系统设备性能和功能均应满足ITU-T 最新建议要求。</w:t>
      </w:r>
    </w:p>
    <w:p w14:paraId="192B6AC8">
      <w:pPr>
        <w:spacing w:line="360" w:lineRule="auto"/>
        <w:rPr>
          <w:rFonts w:hint="default" w:ascii="Times New Roman" w:hAnsi="Times New Roman" w:eastAsia="宋体" w:cs="Times New Roman"/>
        </w:rPr>
      </w:pPr>
      <w:r>
        <w:rPr>
          <w:rFonts w:hint="default" w:ascii="Times New Roman" w:hAnsi="Times New Roman" w:eastAsia="宋体" w:cs="Times New Roman"/>
        </w:rPr>
        <w:t>1.2.3 所有投标设备的技术文档，投标人应针对各种设备逐一说明以下内容：</w:t>
      </w:r>
    </w:p>
    <w:p w14:paraId="31AC2E95">
      <w:pPr>
        <w:spacing w:line="360" w:lineRule="auto"/>
        <w:rPr>
          <w:rFonts w:hint="default" w:ascii="Times New Roman" w:hAnsi="Times New Roman" w:eastAsia="宋体" w:cs="Times New Roman"/>
        </w:rPr>
      </w:pPr>
      <w:r>
        <w:rPr>
          <w:rFonts w:hint="default" w:ascii="Times New Roman" w:hAnsi="Times New Roman" w:eastAsia="宋体" w:cs="Times New Roman"/>
        </w:rPr>
        <w:t>1.2.3.1设备功能、性能说明；</w:t>
      </w:r>
    </w:p>
    <w:p w14:paraId="3583DF40">
      <w:pPr>
        <w:spacing w:line="360" w:lineRule="auto"/>
        <w:rPr>
          <w:rFonts w:hint="default" w:ascii="Times New Roman" w:hAnsi="Times New Roman" w:eastAsia="宋体" w:cs="Times New Roman"/>
        </w:rPr>
      </w:pPr>
      <w:r>
        <w:rPr>
          <w:rFonts w:hint="default" w:ascii="Times New Roman" w:hAnsi="Times New Roman" w:eastAsia="宋体" w:cs="Times New Roman"/>
        </w:rPr>
        <w:t>1.2.3.2设备体系结构；</w:t>
      </w:r>
    </w:p>
    <w:p w14:paraId="1F185AEA">
      <w:pPr>
        <w:spacing w:line="360" w:lineRule="auto"/>
        <w:rPr>
          <w:rFonts w:hint="default" w:ascii="Times New Roman" w:hAnsi="Times New Roman" w:eastAsia="宋体" w:cs="Times New Roman"/>
        </w:rPr>
      </w:pPr>
      <w:r>
        <w:rPr>
          <w:rFonts w:hint="default" w:ascii="Times New Roman" w:hAnsi="Times New Roman" w:eastAsia="宋体" w:cs="Times New Roman"/>
        </w:rPr>
        <w:t>1.2.3.3设备各种接口特性；</w:t>
      </w:r>
    </w:p>
    <w:p w14:paraId="0464937C">
      <w:pPr>
        <w:spacing w:line="360" w:lineRule="auto"/>
        <w:rPr>
          <w:rFonts w:hint="default" w:ascii="Times New Roman" w:hAnsi="Times New Roman" w:eastAsia="宋体" w:cs="Times New Roman"/>
        </w:rPr>
      </w:pPr>
      <w:r>
        <w:rPr>
          <w:rFonts w:hint="default" w:ascii="Times New Roman" w:hAnsi="Times New Roman" w:eastAsia="宋体" w:cs="Times New Roman"/>
        </w:rPr>
        <w:t>1.2.3.4安装方式；</w:t>
      </w:r>
    </w:p>
    <w:p w14:paraId="217AB2AC">
      <w:pPr>
        <w:spacing w:line="360" w:lineRule="auto"/>
        <w:rPr>
          <w:rFonts w:hint="default" w:ascii="Times New Roman" w:hAnsi="Times New Roman" w:eastAsia="宋体" w:cs="Times New Roman"/>
        </w:rPr>
      </w:pPr>
      <w:r>
        <w:rPr>
          <w:rFonts w:hint="default" w:ascii="Times New Roman" w:hAnsi="Times New Roman" w:eastAsia="宋体" w:cs="Times New Roman"/>
        </w:rPr>
        <w:t>1.2.3.5物理尺寸；</w:t>
      </w:r>
    </w:p>
    <w:p w14:paraId="7B2533EB">
      <w:pPr>
        <w:spacing w:line="360" w:lineRule="auto"/>
        <w:rPr>
          <w:rFonts w:hint="default" w:ascii="Times New Roman" w:hAnsi="Times New Roman" w:eastAsia="宋体" w:cs="Times New Roman"/>
        </w:rPr>
      </w:pPr>
      <w:r>
        <w:rPr>
          <w:rFonts w:hint="default" w:ascii="Times New Roman" w:hAnsi="Times New Roman" w:eastAsia="宋体" w:cs="Times New Roman"/>
        </w:rPr>
        <w:t>1.2.3.6供电方式、耗电量；</w:t>
      </w:r>
    </w:p>
    <w:p w14:paraId="5D45AA7E">
      <w:pPr>
        <w:spacing w:line="360" w:lineRule="auto"/>
        <w:rPr>
          <w:rFonts w:hint="default" w:ascii="Times New Roman" w:hAnsi="Times New Roman" w:eastAsia="宋体" w:cs="Times New Roman"/>
        </w:rPr>
      </w:pPr>
      <w:r>
        <w:rPr>
          <w:rFonts w:hint="default" w:ascii="Times New Roman" w:hAnsi="Times New Roman" w:eastAsia="宋体" w:cs="Times New Roman"/>
        </w:rPr>
        <w:t>1.2.3.7设备或机架接地要求；</w:t>
      </w:r>
    </w:p>
    <w:p w14:paraId="54AA81CF">
      <w:pPr>
        <w:spacing w:line="360" w:lineRule="auto"/>
        <w:rPr>
          <w:rFonts w:hint="default" w:ascii="Times New Roman" w:hAnsi="Times New Roman" w:eastAsia="宋体" w:cs="Times New Roman"/>
        </w:rPr>
      </w:pPr>
      <w:r>
        <w:rPr>
          <w:rFonts w:hint="default" w:ascii="Times New Roman" w:hAnsi="Times New Roman" w:eastAsia="宋体" w:cs="Times New Roman"/>
        </w:rPr>
        <w:t>1.2.3.8重量、温湿度等环境要求；</w:t>
      </w:r>
    </w:p>
    <w:p w14:paraId="2C42BA77">
      <w:pPr>
        <w:spacing w:line="360" w:lineRule="auto"/>
        <w:rPr>
          <w:rFonts w:hint="default" w:ascii="Times New Roman" w:hAnsi="Times New Roman" w:eastAsia="宋体" w:cs="Times New Roman"/>
        </w:rPr>
      </w:pPr>
      <w:r>
        <w:rPr>
          <w:rFonts w:hint="default" w:ascii="Times New Roman" w:hAnsi="Times New Roman" w:eastAsia="宋体" w:cs="Times New Roman"/>
        </w:rPr>
        <w:t>1.2.3.9设备相关性能指标的测试记录文档；</w:t>
      </w:r>
    </w:p>
    <w:p w14:paraId="16F84006">
      <w:pPr>
        <w:spacing w:line="360" w:lineRule="auto"/>
        <w:rPr>
          <w:rFonts w:hint="default" w:ascii="Times New Roman" w:hAnsi="Times New Roman" w:eastAsia="宋体" w:cs="Times New Roman"/>
        </w:rPr>
      </w:pPr>
      <w:r>
        <w:rPr>
          <w:rFonts w:hint="default" w:ascii="Times New Roman" w:hAnsi="Times New Roman" w:eastAsia="宋体" w:cs="Times New Roman"/>
        </w:rPr>
        <w:t>1.2.3.10设备装架示意图：如所响应设备为装架式，供应商应提供相应的装架示意图；</w:t>
      </w:r>
    </w:p>
    <w:p w14:paraId="4CBCE305">
      <w:pPr>
        <w:spacing w:line="360" w:lineRule="auto"/>
        <w:rPr>
          <w:rFonts w:hint="default" w:ascii="Times New Roman" w:hAnsi="Times New Roman" w:eastAsia="宋体" w:cs="Times New Roman"/>
        </w:rPr>
      </w:pPr>
      <w:r>
        <w:rPr>
          <w:rFonts w:hint="default" w:ascii="Times New Roman" w:hAnsi="Times New Roman" w:eastAsia="宋体" w:cs="Times New Roman"/>
        </w:rPr>
        <w:t>1.2.3.11单台设备和相关部件的可靠性指标，至少包括：设备和部件的无故障运行时间、每年的不可用时间。</w:t>
      </w:r>
    </w:p>
    <w:p w14:paraId="055E238B">
      <w:pPr>
        <w:spacing w:line="360" w:lineRule="auto"/>
        <w:outlineLvl w:val="2"/>
        <w:rPr>
          <w:rFonts w:hint="default" w:ascii="Times New Roman" w:hAnsi="Times New Roman" w:eastAsia="宋体" w:cs="Times New Roman"/>
        </w:rPr>
      </w:pPr>
      <w:bookmarkStart w:id="9" w:name="_Toc23722"/>
      <w:bookmarkStart w:id="10" w:name="_Toc208925674"/>
      <w:bookmarkStart w:id="11" w:name="_Toc9231"/>
      <w:r>
        <w:rPr>
          <w:rFonts w:hint="default" w:ascii="Times New Roman" w:hAnsi="Times New Roman" w:eastAsia="宋体" w:cs="Times New Roman"/>
        </w:rPr>
        <w:t>1.3环境要求</w:t>
      </w:r>
      <w:bookmarkEnd w:id="9"/>
      <w:bookmarkEnd w:id="10"/>
      <w:bookmarkEnd w:id="11"/>
    </w:p>
    <w:p w14:paraId="07862E1E">
      <w:pPr>
        <w:spacing w:line="360" w:lineRule="auto"/>
        <w:ind w:firstLine="420" w:firstLineChars="200"/>
        <w:rPr>
          <w:rFonts w:hint="default" w:ascii="Times New Roman" w:hAnsi="Times New Roman" w:eastAsia="宋体" w:cs="Times New Roman"/>
        </w:rPr>
      </w:pPr>
      <w:r>
        <w:rPr>
          <w:rFonts w:hint="default" w:ascii="Times New Roman" w:hAnsi="Times New Roman" w:eastAsia="宋体" w:cs="Times New Roman"/>
        </w:rPr>
        <w:t>本次投标的硬件设备应能适应如下环境要求：</w:t>
      </w:r>
    </w:p>
    <w:p w14:paraId="41A3E53A">
      <w:pPr>
        <w:spacing w:line="360" w:lineRule="auto"/>
        <w:rPr>
          <w:rFonts w:hint="default" w:ascii="Times New Roman" w:hAnsi="Times New Roman" w:eastAsia="宋体" w:cs="Times New Roman"/>
        </w:rPr>
      </w:pPr>
      <w:r>
        <w:rPr>
          <w:rFonts w:hint="default" w:ascii="Times New Roman" w:hAnsi="Times New Roman" w:eastAsia="宋体" w:cs="Times New Roman"/>
        </w:rPr>
        <w:t>1.3.1</w:t>
      </w:r>
      <w:r>
        <w:rPr>
          <w:rFonts w:hint="default" w:ascii="Times New Roman" w:hAnsi="Times New Roman" w:eastAsia="宋体" w:cs="Times New Roman"/>
        </w:rPr>
        <w:tab/>
      </w:r>
      <w:r>
        <w:rPr>
          <w:rFonts w:hint="default" w:ascii="Times New Roman" w:hAnsi="Times New Roman" w:eastAsia="宋体" w:cs="Times New Roman"/>
        </w:rPr>
        <w:t>温度：5~40℃</w:t>
      </w:r>
    </w:p>
    <w:p w14:paraId="479DC1FA">
      <w:pPr>
        <w:spacing w:line="360" w:lineRule="auto"/>
        <w:rPr>
          <w:rFonts w:hint="default" w:ascii="Times New Roman" w:hAnsi="Times New Roman" w:eastAsia="宋体" w:cs="Times New Roman"/>
        </w:rPr>
      </w:pPr>
      <w:r>
        <w:rPr>
          <w:rFonts w:hint="default" w:ascii="Times New Roman" w:hAnsi="Times New Roman" w:eastAsia="宋体" w:cs="Times New Roman"/>
        </w:rPr>
        <w:t>1.3.2</w:t>
      </w:r>
      <w:r>
        <w:rPr>
          <w:rFonts w:hint="default" w:ascii="Times New Roman" w:hAnsi="Times New Roman" w:eastAsia="宋体" w:cs="Times New Roman"/>
        </w:rPr>
        <w:tab/>
      </w:r>
      <w:r>
        <w:rPr>
          <w:rFonts w:hint="default" w:ascii="Times New Roman" w:hAnsi="Times New Roman" w:eastAsia="宋体" w:cs="Times New Roman"/>
        </w:rPr>
        <w:t>相对湿度：10%～80%</w:t>
      </w:r>
    </w:p>
    <w:p w14:paraId="0A2780D8">
      <w:pPr>
        <w:spacing w:line="360" w:lineRule="auto"/>
        <w:rPr>
          <w:rFonts w:hint="default" w:ascii="Times New Roman" w:hAnsi="Times New Roman" w:eastAsia="宋体" w:cs="Times New Roman"/>
        </w:rPr>
      </w:pPr>
      <w:r>
        <w:rPr>
          <w:rFonts w:hint="default" w:ascii="Times New Roman" w:hAnsi="Times New Roman" w:eastAsia="宋体" w:cs="Times New Roman"/>
        </w:rPr>
        <w:t>1.3.3</w:t>
      </w:r>
      <w:r>
        <w:rPr>
          <w:rFonts w:hint="default" w:ascii="Times New Roman" w:hAnsi="Times New Roman" w:eastAsia="宋体" w:cs="Times New Roman"/>
        </w:rPr>
        <w:tab/>
      </w:r>
      <w:r>
        <w:rPr>
          <w:rFonts w:hint="default" w:ascii="Times New Roman" w:hAnsi="Times New Roman" w:eastAsia="宋体" w:cs="Times New Roman"/>
        </w:rPr>
        <w:t>温度变化率：≤10℃/h，不结露</w:t>
      </w:r>
    </w:p>
    <w:p w14:paraId="28869CF6">
      <w:pPr>
        <w:spacing w:line="360" w:lineRule="auto"/>
        <w:rPr>
          <w:rFonts w:hint="default" w:ascii="Times New Roman" w:hAnsi="Times New Roman" w:eastAsia="宋体" w:cs="Times New Roman"/>
        </w:rPr>
      </w:pPr>
      <w:r>
        <w:rPr>
          <w:rFonts w:hint="default" w:ascii="Times New Roman" w:hAnsi="Times New Roman" w:eastAsia="宋体" w:cs="Times New Roman"/>
        </w:rPr>
        <w:t>1.3.4</w:t>
      </w:r>
      <w:r>
        <w:rPr>
          <w:rFonts w:hint="default" w:ascii="Times New Roman" w:hAnsi="Times New Roman" w:eastAsia="宋体" w:cs="Times New Roman"/>
        </w:rPr>
        <w:tab/>
      </w:r>
      <w:r>
        <w:rPr>
          <w:rFonts w:hint="default" w:ascii="Times New Roman" w:hAnsi="Times New Roman" w:eastAsia="宋体" w:cs="Times New Roman"/>
        </w:rPr>
        <w:t>海拔高度：-200米～3000米</w:t>
      </w:r>
    </w:p>
    <w:p w14:paraId="4F404F93">
      <w:pPr>
        <w:spacing w:line="360" w:lineRule="auto"/>
        <w:rPr>
          <w:rFonts w:hint="default" w:ascii="Times New Roman" w:hAnsi="Times New Roman" w:eastAsia="宋体" w:cs="Times New Roman"/>
        </w:rPr>
      </w:pPr>
      <w:r>
        <w:rPr>
          <w:rFonts w:hint="default" w:ascii="Times New Roman" w:hAnsi="Times New Roman" w:eastAsia="宋体" w:cs="Times New Roman"/>
        </w:rPr>
        <w:t>1.3.5</w:t>
      </w:r>
      <w:r>
        <w:rPr>
          <w:rFonts w:hint="default" w:ascii="Times New Roman" w:hAnsi="Times New Roman" w:eastAsia="宋体" w:cs="Times New Roman"/>
        </w:rPr>
        <w:tab/>
      </w:r>
      <w:r>
        <w:rPr>
          <w:rFonts w:hint="default" w:ascii="Times New Roman" w:hAnsi="Times New Roman" w:eastAsia="宋体" w:cs="Times New Roman"/>
        </w:rPr>
        <w:t>防尘：静态条件下测试，主机房空气中≥0.5μm的尘粒数，少于18000粒/升</w:t>
      </w:r>
    </w:p>
    <w:p w14:paraId="71399BCE">
      <w:pPr>
        <w:spacing w:line="360" w:lineRule="auto"/>
        <w:rPr>
          <w:rFonts w:hint="default" w:ascii="Times New Roman" w:hAnsi="Times New Roman" w:eastAsia="宋体" w:cs="Times New Roman"/>
        </w:rPr>
      </w:pPr>
      <w:r>
        <w:rPr>
          <w:rFonts w:hint="default" w:ascii="Times New Roman" w:hAnsi="Times New Roman" w:eastAsia="宋体" w:cs="Times New Roman"/>
        </w:rPr>
        <w:t>1.3.6</w:t>
      </w:r>
      <w:r>
        <w:rPr>
          <w:rFonts w:hint="default" w:ascii="Times New Roman" w:hAnsi="Times New Roman" w:eastAsia="宋体" w:cs="Times New Roman"/>
        </w:rPr>
        <w:tab/>
      </w:r>
      <w:r>
        <w:rPr>
          <w:rFonts w:hint="default" w:ascii="Times New Roman" w:hAnsi="Times New Roman" w:eastAsia="宋体" w:cs="Times New Roman"/>
        </w:rPr>
        <w:t>额定电压交流220～240V  直流-48V～-57V</w:t>
      </w:r>
    </w:p>
    <w:p w14:paraId="4A1B3322">
      <w:pPr>
        <w:spacing w:line="360" w:lineRule="auto"/>
        <w:ind w:firstLine="420" w:firstLineChars="200"/>
        <w:rPr>
          <w:rFonts w:hint="default" w:ascii="Times New Roman" w:hAnsi="Times New Roman" w:eastAsia="宋体" w:cs="Times New Roman"/>
        </w:rPr>
      </w:pPr>
      <w:r>
        <w:rPr>
          <w:rFonts w:hint="default" w:ascii="Times New Roman" w:hAnsi="Times New Roman" w:eastAsia="宋体" w:cs="Times New Roman"/>
        </w:rPr>
        <w:t>投标设备如不能适应上述要求时请说明。同时，投标人须详细提供所有投标设备对机房环境的要求，诸如：运行及非运行状态时的温度、湿度、防尘、设备噪声强度、各种电磁干扰等要求，以及运输、长期和短期储存要求等。</w:t>
      </w:r>
      <w:bookmarkEnd w:id="7"/>
    </w:p>
    <w:p w14:paraId="10857E97">
      <w:pPr>
        <w:spacing w:line="360" w:lineRule="auto"/>
        <w:outlineLvl w:val="1"/>
        <w:rPr>
          <w:rFonts w:hint="default" w:ascii="Times New Roman" w:hAnsi="Times New Roman" w:eastAsia="宋体" w:cs="Times New Roman"/>
          <w:b/>
          <w:sz w:val="24"/>
          <w:szCs w:val="24"/>
        </w:rPr>
      </w:pPr>
      <w:bookmarkStart w:id="12" w:name="_Toc2086"/>
      <w:bookmarkStart w:id="13" w:name="_Toc208925675"/>
      <w:bookmarkStart w:id="14" w:name="_Toc10096"/>
      <w:r>
        <w:rPr>
          <w:rFonts w:hint="default" w:ascii="Times New Roman" w:hAnsi="Times New Roman" w:eastAsia="宋体" w:cs="Times New Roman"/>
          <w:b/>
          <w:sz w:val="24"/>
          <w:szCs w:val="24"/>
        </w:rPr>
        <w:t>二、技术要求</w:t>
      </w:r>
      <w:bookmarkEnd w:id="12"/>
      <w:bookmarkEnd w:id="13"/>
      <w:bookmarkEnd w:id="14"/>
    </w:p>
    <w:p w14:paraId="6C561529">
      <w:pPr>
        <w:spacing w:line="360" w:lineRule="auto"/>
        <w:outlineLvl w:val="2"/>
        <w:rPr>
          <w:rFonts w:hint="default" w:ascii="Times New Roman" w:hAnsi="Times New Roman" w:eastAsia="宋体" w:cs="Times New Roman"/>
        </w:rPr>
      </w:pPr>
      <w:bookmarkStart w:id="15" w:name="_Toc208925676"/>
      <w:r>
        <w:rPr>
          <w:rFonts w:hint="default" w:ascii="Times New Roman" w:hAnsi="Times New Roman" w:eastAsia="宋体" w:cs="Times New Roman"/>
        </w:rPr>
        <w:t>2.1、</w:t>
      </w:r>
      <w:r>
        <w:rPr>
          <w:rFonts w:hint="default" w:ascii="Times New Roman" w:hAnsi="Times New Roman" w:eastAsia="宋体" w:cs="Times New Roman"/>
          <w:szCs w:val="21"/>
        </w:rPr>
        <w:t>自主服务器配置1技术参数</w:t>
      </w:r>
      <w:bookmarkEnd w:id="15"/>
    </w:p>
    <w:tbl>
      <w:tblPr>
        <w:tblStyle w:val="17"/>
        <w:tblW w:w="8931" w:type="dxa"/>
        <w:tblInd w:w="-147"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23"/>
        <w:gridCol w:w="7208"/>
      </w:tblGrid>
      <w:tr w14:paraId="04EE69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723" w:type="dxa"/>
            <w:shd w:val="clear" w:color="FFFFFF" w:fill="FFFFFF"/>
            <w:vAlign w:val="center"/>
          </w:tcPr>
          <w:p w14:paraId="3D76A97A">
            <w:pPr>
              <w:widowControl/>
              <w:jc w:val="center"/>
              <w:rPr>
                <w:rFonts w:hint="default" w:ascii="Times New Roman" w:hAnsi="Times New Roman" w:eastAsia="宋体" w:cs="Times New Roman"/>
                <w:b/>
                <w:kern w:val="0"/>
                <w:szCs w:val="21"/>
              </w:rPr>
            </w:pPr>
            <w:r>
              <w:rPr>
                <w:rFonts w:hint="default" w:ascii="Times New Roman" w:hAnsi="Times New Roman" w:eastAsia="宋体" w:cs="Times New Roman"/>
                <w:b/>
                <w:kern w:val="0"/>
                <w:szCs w:val="21"/>
              </w:rPr>
              <w:t>指标项</w:t>
            </w:r>
          </w:p>
        </w:tc>
        <w:tc>
          <w:tcPr>
            <w:tcW w:w="7208" w:type="dxa"/>
            <w:vAlign w:val="center"/>
          </w:tcPr>
          <w:p w14:paraId="0C50703C">
            <w:pPr>
              <w:widowControl/>
              <w:snapToGrid w:val="0"/>
              <w:jc w:val="center"/>
              <w:rPr>
                <w:rFonts w:hint="default" w:ascii="Times New Roman" w:hAnsi="Times New Roman" w:eastAsia="宋体" w:cs="Times New Roman"/>
                <w:b/>
                <w:kern w:val="0"/>
                <w:szCs w:val="21"/>
              </w:rPr>
            </w:pPr>
            <w:r>
              <w:rPr>
                <w:rFonts w:hint="default" w:ascii="Times New Roman" w:hAnsi="Times New Roman" w:eastAsia="宋体" w:cs="Times New Roman"/>
                <w:b/>
                <w:kern w:val="0"/>
                <w:szCs w:val="21"/>
              </w:rPr>
              <w:t>指标要求</w:t>
            </w:r>
          </w:p>
        </w:tc>
      </w:tr>
      <w:tr w14:paraId="79D2B7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723" w:type="dxa"/>
            <w:shd w:val="clear" w:color="FFFFFF" w:fill="FFFFFF"/>
            <w:vAlign w:val="center"/>
          </w:tcPr>
          <w:p w14:paraId="49445E86">
            <w:pPr>
              <w:widowControl/>
              <w:jc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服务器外观</w:t>
            </w:r>
          </w:p>
        </w:tc>
        <w:tc>
          <w:tcPr>
            <w:tcW w:w="7208" w:type="dxa"/>
            <w:vAlign w:val="center"/>
          </w:tcPr>
          <w:p w14:paraId="5EEB095A">
            <w:pPr>
              <w:widowControl/>
              <w:snapToGrid w:val="0"/>
              <w:jc w:val="left"/>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机架式，2路服务器</w:t>
            </w:r>
          </w:p>
        </w:tc>
      </w:tr>
      <w:tr w14:paraId="230438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1723" w:type="dxa"/>
            <w:shd w:val="clear" w:color="FFFFFF" w:fill="FFFFFF"/>
            <w:vAlign w:val="center"/>
          </w:tcPr>
          <w:p w14:paraId="23CD3898">
            <w:pPr>
              <w:widowControl/>
              <w:jc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★处理器配置</w:t>
            </w:r>
          </w:p>
        </w:tc>
        <w:tc>
          <w:tcPr>
            <w:tcW w:w="7208" w:type="dxa"/>
            <w:noWrap/>
            <w:vAlign w:val="center"/>
          </w:tcPr>
          <w:p w14:paraId="1300DBFD">
            <w:pPr>
              <w:widowControl/>
              <w:snapToGrid w:val="0"/>
              <w:jc w:val="left"/>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2颗C86物理CPU（单颗物理CPU：主频≥2.2GHZ，物理核数≥24，CPU架构为x86_64，海光3代，CPU应当符合安全可靠测评要求）</w:t>
            </w:r>
          </w:p>
        </w:tc>
      </w:tr>
      <w:tr w14:paraId="0DEE4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723" w:type="dxa"/>
            <w:shd w:val="clear" w:color="FFFFFF" w:fill="FFFFFF"/>
            <w:vAlign w:val="center"/>
          </w:tcPr>
          <w:p w14:paraId="73F0AF12">
            <w:pPr>
              <w:widowControl/>
              <w:jc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★内存配置</w:t>
            </w:r>
          </w:p>
        </w:tc>
        <w:tc>
          <w:tcPr>
            <w:tcW w:w="7208" w:type="dxa"/>
            <w:vAlign w:val="center"/>
          </w:tcPr>
          <w:p w14:paraId="73794238">
            <w:pPr>
              <w:widowControl/>
              <w:snapToGrid w:val="0"/>
              <w:jc w:val="left"/>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≥1024 GB内存， ECC DDR4 RDIMM 频率≥3200MT/s</w:t>
            </w:r>
          </w:p>
        </w:tc>
      </w:tr>
      <w:tr w14:paraId="318315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69" w:hRule="atLeast"/>
        </w:trPr>
        <w:tc>
          <w:tcPr>
            <w:tcW w:w="1723" w:type="dxa"/>
            <w:shd w:val="clear" w:color="FFFFFF" w:fill="FFFFFF"/>
            <w:vAlign w:val="center"/>
          </w:tcPr>
          <w:p w14:paraId="085E2445">
            <w:pPr>
              <w:widowControl/>
              <w:jc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★硬盘配置</w:t>
            </w:r>
          </w:p>
        </w:tc>
        <w:tc>
          <w:tcPr>
            <w:tcW w:w="7208" w:type="dxa"/>
            <w:vAlign w:val="center"/>
          </w:tcPr>
          <w:p w14:paraId="1EA22EA7">
            <w:pPr>
              <w:widowControl/>
              <w:snapToGrid w:val="0"/>
              <w:jc w:val="left"/>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（1）480G(480G_sata_ssd)*2</w:t>
            </w:r>
            <w:r>
              <w:rPr>
                <w:rFonts w:hint="default" w:ascii="Times New Roman" w:hAnsi="Times New Roman" w:eastAsia="宋体" w:cs="Times New Roman"/>
                <w:bCs/>
                <w:kern w:val="0"/>
                <w:szCs w:val="21"/>
              </w:rPr>
              <w:br w:type="textWrapping"/>
            </w:r>
            <w:r>
              <w:rPr>
                <w:rFonts w:hint="default" w:ascii="Times New Roman" w:hAnsi="Times New Roman" w:eastAsia="宋体" w:cs="Times New Roman"/>
                <w:bCs/>
                <w:kern w:val="0"/>
                <w:szCs w:val="21"/>
              </w:rPr>
              <w:t>（2）12000G(12T_sata_hdd，&gt;=7200rpm)*12</w:t>
            </w:r>
            <w:r>
              <w:rPr>
                <w:rFonts w:hint="default" w:ascii="Times New Roman" w:hAnsi="Times New Roman" w:eastAsia="宋体" w:cs="Times New Roman"/>
                <w:bCs/>
                <w:kern w:val="0"/>
                <w:szCs w:val="21"/>
              </w:rPr>
              <w:br w:type="textWrapping"/>
            </w:r>
            <w:r>
              <w:rPr>
                <w:rFonts w:hint="default" w:ascii="Times New Roman" w:hAnsi="Times New Roman" w:eastAsia="宋体" w:cs="Times New Roman"/>
                <w:bCs/>
                <w:kern w:val="0"/>
                <w:szCs w:val="21"/>
              </w:rPr>
              <w:t>（3）3840G(3840G_nvme_ssd)*2</w:t>
            </w:r>
          </w:p>
          <w:p w14:paraId="4EE4905D">
            <w:pPr>
              <w:pStyle w:val="15"/>
              <w:adjustRightInd w:val="0"/>
              <w:snapToGrid w:val="0"/>
              <w:spacing w:after="0" w:line="240" w:lineRule="auto"/>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（4）机箱硬盘背板接口不少于16个，支持SATA、 SAS、U.2或AIC等接口，满足所有需求的硬盘配置要求。</w:t>
            </w:r>
          </w:p>
        </w:tc>
      </w:tr>
      <w:tr w14:paraId="233C80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54" w:hRule="atLeast"/>
        </w:trPr>
        <w:tc>
          <w:tcPr>
            <w:tcW w:w="1723" w:type="dxa"/>
            <w:shd w:val="clear" w:color="FFFFFF" w:fill="FFFFFF"/>
            <w:vAlign w:val="center"/>
          </w:tcPr>
          <w:p w14:paraId="0CDCC7EA">
            <w:pPr>
              <w:widowControl/>
              <w:jc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NVMe_SSD硬盘规格</w:t>
            </w:r>
          </w:p>
        </w:tc>
        <w:tc>
          <w:tcPr>
            <w:tcW w:w="7208" w:type="dxa"/>
            <w:vAlign w:val="center"/>
          </w:tcPr>
          <w:p w14:paraId="0CEE0B84">
            <w:pPr>
              <w:widowControl/>
              <w:snapToGrid w:val="0"/>
              <w:jc w:val="left"/>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（1） 企业级主流品牌型号，兼容支持标准 NVMe 协议（ 1.3及以上版本）；兼容支持spdk协议（17.10 及以上版本）。接口类型为U.2 盘或 AIC盘，TLC NAND</w:t>
            </w:r>
            <w:r>
              <w:rPr>
                <w:rFonts w:hint="default" w:ascii="Times New Roman" w:hAnsi="Times New Roman" w:eastAsia="宋体" w:cs="Times New Roman"/>
                <w:bCs/>
                <w:kern w:val="0"/>
                <w:szCs w:val="21"/>
              </w:rPr>
              <w:br w:type="textWrapping"/>
            </w:r>
            <w:r>
              <w:rPr>
                <w:rFonts w:hint="default" w:ascii="Times New Roman" w:hAnsi="Times New Roman" w:eastAsia="宋体" w:cs="Times New Roman"/>
                <w:bCs/>
                <w:kern w:val="0"/>
                <w:szCs w:val="21"/>
              </w:rPr>
              <w:t>（2）擦写寿命： &gt;=0.8 DWPD 5年，&gt;=1 DWPD 3年</w:t>
            </w:r>
            <w:r>
              <w:rPr>
                <w:rFonts w:hint="default" w:ascii="Times New Roman" w:hAnsi="Times New Roman" w:eastAsia="宋体" w:cs="Times New Roman"/>
                <w:bCs/>
                <w:kern w:val="0"/>
                <w:szCs w:val="21"/>
              </w:rPr>
              <w:br w:type="textWrapping"/>
            </w:r>
            <w:r>
              <w:rPr>
                <w:rFonts w:hint="default" w:ascii="Times New Roman" w:hAnsi="Times New Roman" w:eastAsia="宋体" w:cs="Times New Roman"/>
                <w:bCs/>
                <w:kern w:val="0"/>
                <w:szCs w:val="21"/>
              </w:rPr>
              <w:t>（3）带掉电保护功能：即有连续数据写入的情况下，异常掉电不丢数据</w:t>
            </w:r>
          </w:p>
        </w:tc>
      </w:tr>
      <w:tr w14:paraId="651D40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1723" w:type="dxa"/>
            <w:shd w:val="clear" w:color="FFFFFF" w:fill="FFFFFF"/>
            <w:vAlign w:val="center"/>
          </w:tcPr>
          <w:p w14:paraId="631D5507">
            <w:pPr>
              <w:widowControl/>
              <w:jc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★RAID卡配置</w:t>
            </w:r>
          </w:p>
        </w:tc>
        <w:tc>
          <w:tcPr>
            <w:tcW w:w="7208" w:type="dxa"/>
            <w:vAlign w:val="center"/>
          </w:tcPr>
          <w:p w14:paraId="7753CE46">
            <w:pPr>
              <w:widowControl/>
              <w:snapToGrid w:val="0"/>
              <w:jc w:val="left"/>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配置8通道高性能raid 卡，缓存≥2G，可支持raid 0/1/5/6/10，支持jbod。配置RAID卡进行数据保护</w:t>
            </w:r>
          </w:p>
        </w:tc>
      </w:tr>
      <w:tr w14:paraId="4C8CBD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723" w:type="dxa"/>
            <w:shd w:val="clear" w:color="FFFFFF" w:fill="FFFFFF"/>
            <w:vAlign w:val="center"/>
          </w:tcPr>
          <w:p w14:paraId="2E3B80E9">
            <w:pPr>
              <w:widowControl/>
              <w:jc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★网卡要求</w:t>
            </w:r>
          </w:p>
        </w:tc>
        <w:tc>
          <w:tcPr>
            <w:tcW w:w="7208" w:type="dxa"/>
            <w:vAlign w:val="center"/>
          </w:tcPr>
          <w:p w14:paraId="3BCD42E9">
            <w:pPr>
              <w:widowControl/>
              <w:snapToGrid w:val="0"/>
              <w:jc w:val="left"/>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配置≥2个千兆电网口，≥2块双口万兆网卡（含相应光模块）</w:t>
            </w:r>
          </w:p>
        </w:tc>
      </w:tr>
      <w:tr w14:paraId="6BC571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723" w:type="dxa"/>
            <w:shd w:val="clear" w:color="FFFFFF" w:fill="FFFFFF"/>
            <w:vAlign w:val="center"/>
          </w:tcPr>
          <w:p w14:paraId="4E4C2E87">
            <w:pPr>
              <w:widowControl/>
              <w:jc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电源</w:t>
            </w:r>
          </w:p>
        </w:tc>
        <w:tc>
          <w:tcPr>
            <w:tcW w:w="7208" w:type="dxa"/>
            <w:vAlign w:val="center"/>
          </w:tcPr>
          <w:p w14:paraId="5BA1DDC3">
            <w:pPr>
              <w:widowControl/>
              <w:snapToGrid w:val="0"/>
              <w:jc w:val="left"/>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（1）220VAC/240HVDC交直流兼容电源，支持电源冗余</w:t>
            </w:r>
            <w:r>
              <w:rPr>
                <w:rFonts w:hint="default" w:ascii="Times New Roman" w:hAnsi="Times New Roman" w:eastAsia="宋体" w:cs="Times New Roman"/>
                <w:bCs/>
                <w:kern w:val="0"/>
                <w:szCs w:val="21"/>
              </w:rPr>
              <w:br w:type="textWrapping"/>
            </w:r>
            <w:r>
              <w:rPr>
                <w:rFonts w:hint="default" w:ascii="Times New Roman" w:hAnsi="Times New Roman" w:eastAsia="宋体" w:cs="Times New Roman"/>
                <w:bCs/>
                <w:kern w:val="0"/>
                <w:szCs w:val="21"/>
              </w:rPr>
              <w:t>（2）电源线根据机房环境来选择，如国标/美标/C14</w:t>
            </w:r>
            <w:r>
              <w:rPr>
                <w:rFonts w:hint="default" w:ascii="Times New Roman" w:hAnsi="Times New Roman" w:eastAsia="宋体" w:cs="Times New Roman"/>
                <w:bCs/>
                <w:kern w:val="0"/>
                <w:szCs w:val="21"/>
              </w:rPr>
              <w:br w:type="textWrapping"/>
            </w:r>
            <w:r>
              <w:rPr>
                <w:rFonts w:hint="default" w:ascii="Times New Roman" w:hAnsi="Times New Roman" w:eastAsia="宋体" w:cs="Times New Roman"/>
                <w:bCs/>
                <w:kern w:val="0"/>
                <w:szCs w:val="21"/>
              </w:rPr>
              <w:t>（3）主动式PFC；通过80plus白金认证</w:t>
            </w:r>
          </w:p>
        </w:tc>
      </w:tr>
      <w:tr w14:paraId="0BA2C0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1723" w:type="dxa"/>
            <w:shd w:val="clear" w:color="FFFFFF" w:fill="FFFFFF"/>
            <w:vAlign w:val="center"/>
          </w:tcPr>
          <w:p w14:paraId="1093EEC5">
            <w:pPr>
              <w:widowControl/>
              <w:jc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硬件监控&amp;管理维护功能</w:t>
            </w:r>
          </w:p>
        </w:tc>
        <w:tc>
          <w:tcPr>
            <w:tcW w:w="7208" w:type="dxa"/>
            <w:vAlign w:val="center"/>
          </w:tcPr>
          <w:p w14:paraId="163BB530">
            <w:pPr>
              <w:widowControl/>
              <w:snapToGrid w:val="0"/>
              <w:jc w:val="left"/>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提供基于Web的远程管理控制、配备硬件监控、远程管理功能；支持IPMI2.0标准。提供IKVM功能，实现远程KVM功能；独立管理口100%兼容千兆或百兆交换网络，通过管理口实现远程开关机、重启、网络安装操作系统等操作。</w:t>
            </w:r>
          </w:p>
        </w:tc>
      </w:tr>
      <w:tr w14:paraId="58E0A0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9" w:hRule="atLeast"/>
        </w:trPr>
        <w:tc>
          <w:tcPr>
            <w:tcW w:w="1723" w:type="dxa"/>
            <w:shd w:val="clear" w:color="FFFFFF" w:fill="FFFFFF"/>
            <w:vAlign w:val="center"/>
          </w:tcPr>
          <w:p w14:paraId="7DAF068B">
            <w:pPr>
              <w:widowControl/>
              <w:jc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★安装和实施</w:t>
            </w:r>
          </w:p>
        </w:tc>
        <w:tc>
          <w:tcPr>
            <w:tcW w:w="7208" w:type="dxa"/>
            <w:vAlign w:val="center"/>
          </w:tcPr>
          <w:p w14:paraId="3E9AEF71">
            <w:pPr>
              <w:widowControl/>
              <w:snapToGrid w:val="0"/>
              <w:jc w:val="left"/>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负责货物的搬运、安装和系统集成，并免费提供所需的各类连接线、光纤线、网线、电源线等相关配件，并负责根据用户现场环境做好地板承重加固、按照用户要求做好机房电源连接等工作。负责服务器操作系统、数据库等相关软件安装、系统集成、测试，并协助用户部署现有其他应用服务器。</w:t>
            </w:r>
          </w:p>
        </w:tc>
      </w:tr>
      <w:tr w14:paraId="71F7F2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23" w:type="dxa"/>
            <w:shd w:val="clear" w:color="FFFFFF" w:fill="FFFFFF"/>
            <w:vAlign w:val="center"/>
          </w:tcPr>
          <w:p w14:paraId="3C6A4442">
            <w:pPr>
              <w:widowControl/>
              <w:jc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★售后服务</w:t>
            </w:r>
          </w:p>
        </w:tc>
        <w:tc>
          <w:tcPr>
            <w:tcW w:w="7208" w:type="dxa"/>
            <w:vAlign w:val="center"/>
          </w:tcPr>
          <w:p w14:paraId="53C970C4">
            <w:pPr>
              <w:widowControl/>
              <w:snapToGrid w:val="0"/>
              <w:jc w:val="left"/>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提供5年原厂7×24免费现场包修服务和现场技术支持服务。</w:t>
            </w:r>
          </w:p>
        </w:tc>
      </w:tr>
    </w:tbl>
    <w:p w14:paraId="501B6C80">
      <w:pPr>
        <w:widowControl/>
        <w:snapToGrid w:val="0"/>
        <w:jc w:val="left"/>
        <w:rPr>
          <w:rFonts w:hint="default" w:ascii="Times New Roman" w:hAnsi="Times New Roman" w:eastAsia="宋体" w:cs="Times New Roman"/>
          <w:lang w:bidi="ar"/>
        </w:rPr>
      </w:pPr>
    </w:p>
    <w:p w14:paraId="471E59EB">
      <w:pPr>
        <w:spacing w:line="360" w:lineRule="auto"/>
        <w:outlineLvl w:val="2"/>
        <w:rPr>
          <w:rFonts w:hint="default" w:ascii="Times New Roman" w:hAnsi="Times New Roman" w:eastAsia="宋体" w:cs="Times New Roman"/>
        </w:rPr>
      </w:pPr>
      <w:bookmarkStart w:id="16" w:name="_Toc208925677"/>
      <w:r>
        <w:rPr>
          <w:rFonts w:hint="default" w:ascii="Times New Roman" w:hAnsi="Times New Roman" w:eastAsia="宋体" w:cs="Times New Roman"/>
        </w:rPr>
        <w:t>2.2、自主服务器配置2技术参数</w:t>
      </w:r>
      <w:bookmarkEnd w:id="16"/>
    </w:p>
    <w:tbl>
      <w:tblPr>
        <w:tblStyle w:val="17"/>
        <w:tblW w:w="8931" w:type="dxa"/>
        <w:tblInd w:w="-147"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23"/>
        <w:gridCol w:w="7208"/>
      </w:tblGrid>
      <w:tr w14:paraId="7CB7C3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493" w:hRule="atLeast"/>
        </w:trPr>
        <w:tc>
          <w:tcPr>
            <w:tcW w:w="1723" w:type="dxa"/>
            <w:shd w:val="clear" w:color="FFFFFF" w:fill="FFFFFF"/>
            <w:vAlign w:val="center"/>
          </w:tcPr>
          <w:p w14:paraId="726C6A07">
            <w:pPr>
              <w:widowControl/>
              <w:jc w:val="center"/>
              <w:rPr>
                <w:rFonts w:hint="default" w:ascii="Times New Roman" w:hAnsi="Times New Roman" w:eastAsia="宋体" w:cs="Times New Roman"/>
                <w:b/>
                <w:kern w:val="0"/>
                <w:szCs w:val="21"/>
              </w:rPr>
            </w:pPr>
            <w:r>
              <w:rPr>
                <w:rFonts w:hint="default" w:ascii="Times New Roman" w:hAnsi="Times New Roman" w:eastAsia="宋体" w:cs="Times New Roman"/>
                <w:b/>
                <w:kern w:val="0"/>
                <w:szCs w:val="21"/>
              </w:rPr>
              <w:t>指标项</w:t>
            </w:r>
          </w:p>
        </w:tc>
        <w:tc>
          <w:tcPr>
            <w:tcW w:w="7208" w:type="dxa"/>
            <w:vAlign w:val="center"/>
          </w:tcPr>
          <w:p w14:paraId="442C90B2">
            <w:pPr>
              <w:widowControl/>
              <w:snapToGrid w:val="0"/>
              <w:jc w:val="center"/>
              <w:rPr>
                <w:rFonts w:hint="default" w:ascii="Times New Roman" w:hAnsi="Times New Roman" w:eastAsia="宋体" w:cs="Times New Roman"/>
                <w:b/>
                <w:kern w:val="0"/>
                <w:szCs w:val="21"/>
              </w:rPr>
            </w:pPr>
            <w:r>
              <w:rPr>
                <w:rFonts w:hint="default" w:ascii="Times New Roman" w:hAnsi="Times New Roman" w:eastAsia="宋体" w:cs="Times New Roman"/>
                <w:b/>
                <w:kern w:val="0"/>
                <w:szCs w:val="21"/>
              </w:rPr>
              <w:t>指标要求</w:t>
            </w:r>
          </w:p>
        </w:tc>
      </w:tr>
      <w:tr w14:paraId="0525E1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723" w:type="dxa"/>
            <w:shd w:val="clear" w:color="FFFFFF" w:fill="FFFFFF"/>
            <w:vAlign w:val="center"/>
          </w:tcPr>
          <w:p w14:paraId="30DE44DE">
            <w:pPr>
              <w:widowControl/>
              <w:jc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服务器外观</w:t>
            </w:r>
          </w:p>
        </w:tc>
        <w:tc>
          <w:tcPr>
            <w:tcW w:w="7208" w:type="dxa"/>
            <w:vAlign w:val="center"/>
          </w:tcPr>
          <w:p w14:paraId="5A04CC7E">
            <w:pPr>
              <w:widowControl/>
              <w:snapToGrid w:val="0"/>
              <w:jc w:val="left"/>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机架式，2路服务器</w:t>
            </w:r>
          </w:p>
        </w:tc>
      </w:tr>
      <w:tr w14:paraId="42D124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1723" w:type="dxa"/>
            <w:shd w:val="clear" w:color="FFFFFF" w:fill="FFFFFF"/>
            <w:vAlign w:val="center"/>
          </w:tcPr>
          <w:p w14:paraId="194602C5">
            <w:pPr>
              <w:widowControl/>
              <w:jc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★处理器配置</w:t>
            </w:r>
          </w:p>
        </w:tc>
        <w:tc>
          <w:tcPr>
            <w:tcW w:w="7208" w:type="dxa"/>
            <w:noWrap/>
            <w:vAlign w:val="center"/>
          </w:tcPr>
          <w:p w14:paraId="2DE4EFD2">
            <w:pPr>
              <w:widowControl/>
              <w:snapToGrid w:val="0"/>
              <w:jc w:val="left"/>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2颗C86物理CPU（单颗物理CPU：主频≥2.2GHZ，物理核数≥24，CPU架构为x86_64，不低于海光4代，CPU应当符合安全可靠测评要求）</w:t>
            </w:r>
          </w:p>
        </w:tc>
      </w:tr>
      <w:tr w14:paraId="07E3FA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723" w:type="dxa"/>
            <w:shd w:val="clear" w:color="FFFFFF" w:fill="FFFFFF"/>
            <w:vAlign w:val="center"/>
          </w:tcPr>
          <w:p w14:paraId="6C67B636">
            <w:pPr>
              <w:widowControl/>
              <w:jc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★内存配置</w:t>
            </w:r>
          </w:p>
        </w:tc>
        <w:tc>
          <w:tcPr>
            <w:tcW w:w="7208" w:type="dxa"/>
            <w:vAlign w:val="center"/>
          </w:tcPr>
          <w:p w14:paraId="61C61A18">
            <w:pPr>
              <w:widowControl/>
              <w:snapToGrid w:val="0"/>
              <w:jc w:val="left"/>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≥1024 GB内存， ECC DDR5 RDIMM 频率≥5600MT/s</w:t>
            </w:r>
          </w:p>
        </w:tc>
      </w:tr>
      <w:tr w14:paraId="3AF224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01" w:hRule="atLeast"/>
        </w:trPr>
        <w:tc>
          <w:tcPr>
            <w:tcW w:w="1723" w:type="dxa"/>
            <w:shd w:val="clear" w:color="FFFFFF" w:fill="FFFFFF"/>
            <w:vAlign w:val="center"/>
          </w:tcPr>
          <w:p w14:paraId="501CAD15">
            <w:pPr>
              <w:widowControl/>
              <w:jc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★硬盘配置</w:t>
            </w:r>
          </w:p>
        </w:tc>
        <w:tc>
          <w:tcPr>
            <w:tcW w:w="7208" w:type="dxa"/>
            <w:vAlign w:val="center"/>
          </w:tcPr>
          <w:p w14:paraId="7728D791">
            <w:pPr>
              <w:widowControl/>
              <w:snapToGrid w:val="0"/>
              <w:jc w:val="left"/>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（1）480G(480G_sata_ssd)*2</w:t>
            </w:r>
            <w:r>
              <w:rPr>
                <w:rFonts w:hint="default" w:ascii="Times New Roman" w:hAnsi="Times New Roman" w:eastAsia="宋体" w:cs="Times New Roman"/>
                <w:bCs/>
                <w:kern w:val="0"/>
                <w:szCs w:val="21"/>
              </w:rPr>
              <w:br w:type="textWrapping"/>
            </w:r>
            <w:r>
              <w:rPr>
                <w:rFonts w:hint="default" w:ascii="Times New Roman" w:hAnsi="Times New Roman" w:eastAsia="宋体" w:cs="Times New Roman"/>
                <w:bCs/>
                <w:kern w:val="0"/>
                <w:szCs w:val="21"/>
              </w:rPr>
              <w:t>（2）12000G(12T_sata_hdd，&gt;=7200rpm)*12</w:t>
            </w:r>
            <w:r>
              <w:rPr>
                <w:rFonts w:hint="default" w:ascii="Times New Roman" w:hAnsi="Times New Roman" w:eastAsia="宋体" w:cs="Times New Roman"/>
                <w:bCs/>
                <w:kern w:val="0"/>
                <w:szCs w:val="21"/>
              </w:rPr>
              <w:br w:type="textWrapping"/>
            </w:r>
            <w:r>
              <w:rPr>
                <w:rFonts w:hint="default" w:ascii="Times New Roman" w:hAnsi="Times New Roman" w:eastAsia="宋体" w:cs="Times New Roman"/>
                <w:bCs/>
                <w:kern w:val="0"/>
                <w:szCs w:val="21"/>
              </w:rPr>
              <w:t>（3）3840G(3840G_nvme_ssd)*2</w:t>
            </w:r>
          </w:p>
          <w:p w14:paraId="74E2C6D1">
            <w:pPr>
              <w:pStyle w:val="15"/>
              <w:adjustRightInd w:val="0"/>
              <w:snapToGrid w:val="0"/>
              <w:spacing w:after="0" w:line="240" w:lineRule="auto"/>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（4）机箱硬盘背板接口不少于16个，支持SATA、 SAS、U.2或AIC等接口，满足所有需求的硬盘配置要求。</w:t>
            </w:r>
          </w:p>
        </w:tc>
      </w:tr>
      <w:tr w14:paraId="56C863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54" w:hRule="atLeast"/>
        </w:trPr>
        <w:tc>
          <w:tcPr>
            <w:tcW w:w="1723" w:type="dxa"/>
            <w:shd w:val="clear" w:color="FFFFFF" w:fill="FFFFFF"/>
            <w:vAlign w:val="center"/>
          </w:tcPr>
          <w:p w14:paraId="76713353">
            <w:pPr>
              <w:widowControl/>
              <w:jc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NVMe_SSD硬盘规格</w:t>
            </w:r>
          </w:p>
        </w:tc>
        <w:tc>
          <w:tcPr>
            <w:tcW w:w="7208" w:type="dxa"/>
            <w:vAlign w:val="center"/>
          </w:tcPr>
          <w:p w14:paraId="6FCAEBE3">
            <w:pPr>
              <w:widowControl/>
              <w:snapToGrid w:val="0"/>
              <w:jc w:val="left"/>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（1） 企业级主流品牌型号，兼容支持标准 NVMe 协议（ 1.3及以上版本）；兼容支持spdk协议（17.10 及以上版本）。接口类型为U.2 盘或 AIC盘，TLC NAND</w:t>
            </w:r>
            <w:r>
              <w:rPr>
                <w:rFonts w:hint="default" w:ascii="Times New Roman" w:hAnsi="Times New Roman" w:eastAsia="宋体" w:cs="Times New Roman"/>
                <w:bCs/>
                <w:kern w:val="0"/>
                <w:szCs w:val="21"/>
              </w:rPr>
              <w:br w:type="textWrapping"/>
            </w:r>
            <w:r>
              <w:rPr>
                <w:rFonts w:hint="default" w:ascii="Times New Roman" w:hAnsi="Times New Roman" w:eastAsia="宋体" w:cs="Times New Roman"/>
                <w:bCs/>
                <w:kern w:val="0"/>
                <w:szCs w:val="21"/>
              </w:rPr>
              <w:t>（2）擦写寿命： &gt;=0.8 DWPD 5年，&gt;=1 DWPD 3年</w:t>
            </w:r>
            <w:r>
              <w:rPr>
                <w:rFonts w:hint="default" w:ascii="Times New Roman" w:hAnsi="Times New Roman" w:eastAsia="宋体" w:cs="Times New Roman"/>
                <w:bCs/>
                <w:kern w:val="0"/>
                <w:szCs w:val="21"/>
              </w:rPr>
              <w:br w:type="textWrapping"/>
            </w:r>
            <w:r>
              <w:rPr>
                <w:rFonts w:hint="default" w:ascii="Times New Roman" w:hAnsi="Times New Roman" w:eastAsia="宋体" w:cs="Times New Roman"/>
                <w:bCs/>
                <w:kern w:val="0"/>
                <w:szCs w:val="21"/>
              </w:rPr>
              <w:t>（3）带掉电保护功能：即有连续数据写入的情况下，异常掉电不丢数据</w:t>
            </w:r>
          </w:p>
        </w:tc>
      </w:tr>
      <w:tr w14:paraId="2E2C2F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1723" w:type="dxa"/>
            <w:shd w:val="clear" w:color="FFFFFF" w:fill="FFFFFF"/>
            <w:vAlign w:val="center"/>
          </w:tcPr>
          <w:p w14:paraId="60A468DE">
            <w:pPr>
              <w:widowControl/>
              <w:jc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★RAID卡配置</w:t>
            </w:r>
          </w:p>
        </w:tc>
        <w:tc>
          <w:tcPr>
            <w:tcW w:w="7208" w:type="dxa"/>
            <w:vAlign w:val="center"/>
          </w:tcPr>
          <w:p w14:paraId="1E57ED02">
            <w:pPr>
              <w:widowControl/>
              <w:snapToGrid w:val="0"/>
              <w:jc w:val="left"/>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配置8通道高性能raid 卡，缓存≥2G，可支持raid 0/1/5/6/10，支持jbod。配置RAID卡进行数据保护</w:t>
            </w:r>
          </w:p>
        </w:tc>
      </w:tr>
      <w:tr w14:paraId="4A9CF6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723" w:type="dxa"/>
            <w:shd w:val="clear" w:color="FFFFFF" w:fill="FFFFFF"/>
            <w:vAlign w:val="center"/>
          </w:tcPr>
          <w:p w14:paraId="7033CA81">
            <w:pPr>
              <w:widowControl/>
              <w:jc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★网卡要求</w:t>
            </w:r>
          </w:p>
        </w:tc>
        <w:tc>
          <w:tcPr>
            <w:tcW w:w="7208" w:type="dxa"/>
            <w:vAlign w:val="center"/>
          </w:tcPr>
          <w:p w14:paraId="0DECA5B0">
            <w:pPr>
              <w:widowControl/>
              <w:snapToGrid w:val="0"/>
              <w:jc w:val="left"/>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配置≥2个千兆电网口，≥2块双口万兆网卡（含相应光模块）</w:t>
            </w:r>
          </w:p>
        </w:tc>
      </w:tr>
      <w:tr w14:paraId="4066BD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723" w:type="dxa"/>
            <w:shd w:val="clear" w:color="FFFFFF" w:fill="FFFFFF"/>
            <w:vAlign w:val="center"/>
          </w:tcPr>
          <w:p w14:paraId="02B9BF76">
            <w:pPr>
              <w:widowControl/>
              <w:jc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电源</w:t>
            </w:r>
          </w:p>
        </w:tc>
        <w:tc>
          <w:tcPr>
            <w:tcW w:w="7208" w:type="dxa"/>
            <w:vAlign w:val="center"/>
          </w:tcPr>
          <w:p w14:paraId="2AF2D1C8">
            <w:pPr>
              <w:widowControl/>
              <w:snapToGrid w:val="0"/>
              <w:jc w:val="left"/>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（1）220VAC/240HVDC交直流兼容电源，支持电源冗余</w:t>
            </w:r>
            <w:r>
              <w:rPr>
                <w:rFonts w:hint="default" w:ascii="Times New Roman" w:hAnsi="Times New Roman" w:eastAsia="宋体" w:cs="Times New Roman"/>
                <w:bCs/>
                <w:kern w:val="0"/>
                <w:szCs w:val="21"/>
              </w:rPr>
              <w:br w:type="textWrapping"/>
            </w:r>
            <w:r>
              <w:rPr>
                <w:rFonts w:hint="default" w:ascii="Times New Roman" w:hAnsi="Times New Roman" w:eastAsia="宋体" w:cs="Times New Roman"/>
                <w:bCs/>
                <w:kern w:val="0"/>
                <w:szCs w:val="21"/>
              </w:rPr>
              <w:t>（2）电源线根据机房环境来选择，如国标/美标/C14</w:t>
            </w:r>
            <w:r>
              <w:rPr>
                <w:rFonts w:hint="default" w:ascii="Times New Roman" w:hAnsi="Times New Roman" w:eastAsia="宋体" w:cs="Times New Roman"/>
                <w:bCs/>
                <w:kern w:val="0"/>
                <w:szCs w:val="21"/>
              </w:rPr>
              <w:br w:type="textWrapping"/>
            </w:r>
            <w:r>
              <w:rPr>
                <w:rFonts w:hint="default" w:ascii="Times New Roman" w:hAnsi="Times New Roman" w:eastAsia="宋体" w:cs="Times New Roman"/>
                <w:bCs/>
                <w:kern w:val="0"/>
                <w:szCs w:val="21"/>
              </w:rPr>
              <w:t>（3）主动式PFC；通过80plus白金认证</w:t>
            </w:r>
          </w:p>
        </w:tc>
      </w:tr>
      <w:tr w14:paraId="7FAA77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1723" w:type="dxa"/>
            <w:shd w:val="clear" w:color="FFFFFF" w:fill="FFFFFF"/>
            <w:vAlign w:val="center"/>
          </w:tcPr>
          <w:p w14:paraId="407437D2">
            <w:pPr>
              <w:widowControl/>
              <w:jc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硬件监控&amp;管理维护功能</w:t>
            </w:r>
          </w:p>
        </w:tc>
        <w:tc>
          <w:tcPr>
            <w:tcW w:w="7208" w:type="dxa"/>
            <w:vAlign w:val="center"/>
          </w:tcPr>
          <w:p w14:paraId="458E5046">
            <w:pPr>
              <w:widowControl/>
              <w:snapToGrid w:val="0"/>
              <w:jc w:val="left"/>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提供基于Web的远程管理控制、配备硬件监控、远程管理功能；支持IPMI2.0标准。提供IKVM功能，实现远程KVM功能；独立管理口100%兼容千兆或百兆交换网络，通过管理口实现远程开关机、重启、网络安装操作系统等操作。</w:t>
            </w:r>
          </w:p>
        </w:tc>
      </w:tr>
      <w:tr w14:paraId="0D8FC3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9" w:hRule="atLeast"/>
        </w:trPr>
        <w:tc>
          <w:tcPr>
            <w:tcW w:w="1723" w:type="dxa"/>
            <w:shd w:val="clear" w:color="FFFFFF" w:fill="FFFFFF"/>
            <w:vAlign w:val="center"/>
          </w:tcPr>
          <w:p w14:paraId="49ACD831">
            <w:pPr>
              <w:widowControl/>
              <w:jc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★安装和实施</w:t>
            </w:r>
          </w:p>
        </w:tc>
        <w:tc>
          <w:tcPr>
            <w:tcW w:w="7208" w:type="dxa"/>
            <w:vAlign w:val="center"/>
          </w:tcPr>
          <w:p w14:paraId="06EEADD7">
            <w:pPr>
              <w:widowControl/>
              <w:snapToGrid w:val="0"/>
              <w:jc w:val="left"/>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负责货物的搬运、安装和系统集成，并免费提供所需的各类连接线、光纤线、网线、电源线等相关配件，并负责根据用户现场环境做好地板承重加固、按照用户要求做好机房电源连接等工作。负责服务器操作系统、数据库等相关软件安装、系统集成、测试，并协助用户部署现有其他应用服务器。</w:t>
            </w:r>
          </w:p>
        </w:tc>
      </w:tr>
      <w:tr w14:paraId="291CE6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23" w:type="dxa"/>
            <w:shd w:val="clear" w:color="FFFFFF" w:fill="FFFFFF"/>
            <w:vAlign w:val="center"/>
          </w:tcPr>
          <w:p w14:paraId="5F38FC84">
            <w:pPr>
              <w:widowControl/>
              <w:jc w:val="center"/>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★售后服务</w:t>
            </w:r>
          </w:p>
        </w:tc>
        <w:tc>
          <w:tcPr>
            <w:tcW w:w="7208" w:type="dxa"/>
            <w:vAlign w:val="center"/>
          </w:tcPr>
          <w:p w14:paraId="283C3729">
            <w:pPr>
              <w:widowControl/>
              <w:snapToGrid w:val="0"/>
              <w:jc w:val="left"/>
              <w:rPr>
                <w:rFonts w:hint="default" w:ascii="Times New Roman" w:hAnsi="Times New Roman" w:eastAsia="宋体" w:cs="Times New Roman"/>
                <w:bCs/>
                <w:kern w:val="0"/>
                <w:szCs w:val="21"/>
              </w:rPr>
            </w:pPr>
            <w:r>
              <w:rPr>
                <w:rFonts w:hint="default" w:ascii="Times New Roman" w:hAnsi="Times New Roman" w:eastAsia="宋体" w:cs="Times New Roman"/>
                <w:bCs/>
                <w:kern w:val="0"/>
                <w:szCs w:val="21"/>
              </w:rPr>
              <w:t>提供5年原厂7×24免费现场包修服务和现场技术支持服务。</w:t>
            </w:r>
          </w:p>
        </w:tc>
      </w:tr>
    </w:tbl>
    <w:p w14:paraId="54BA1498">
      <w:pPr>
        <w:pStyle w:val="2"/>
        <w:rPr>
          <w:rFonts w:hint="default" w:ascii="Times New Roman" w:hAnsi="Times New Roman" w:eastAsia="宋体" w:cs="Times New Roman"/>
          <w:lang w:bidi="ar"/>
        </w:rPr>
      </w:pPr>
    </w:p>
    <w:p w14:paraId="01B4E1EA">
      <w:pPr>
        <w:spacing w:line="360" w:lineRule="auto"/>
        <w:outlineLvl w:val="1"/>
        <w:rPr>
          <w:rFonts w:hint="default" w:ascii="Times New Roman" w:hAnsi="Times New Roman" w:eastAsia="宋体" w:cs="Times New Roman"/>
          <w:b/>
          <w:color w:val="262626"/>
          <w:sz w:val="24"/>
          <w:szCs w:val="24"/>
        </w:rPr>
      </w:pPr>
      <w:bookmarkStart w:id="17" w:name="_Toc208925678"/>
      <w:bookmarkStart w:id="18" w:name="_Toc20233"/>
      <w:r>
        <w:rPr>
          <w:rFonts w:hint="default" w:ascii="Times New Roman" w:hAnsi="Times New Roman" w:eastAsia="宋体" w:cs="Times New Roman"/>
          <w:b/>
          <w:color w:val="262626"/>
          <w:sz w:val="24"/>
          <w:szCs w:val="24"/>
        </w:rPr>
        <w:t>三、服务内容</w:t>
      </w:r>
      <w:bookmarkEnd w:id="17"/>
      <w:bookmarkEnd w:id="18"/>
    </w:p>
    <w:p w14:paraId="134B878E">
      <w:pPr>
        <w:spacing w:line="360" w:lineRule="auto"/>
        <w:outlineLvl w:val="2"/>
        <w:rPr>
          <w:rFonts w:hint="default" w:ascii="Times New Roman" w:hAnsi="Times New Roman" w:eastAsia="宋体" w:cs="Times New Roman"/>
        </w:rPr>
      </w:pPr>
      <w:bookmarkStart w:id="19" w:name="_Toc208925679"/>
      <w:bookmarkStart w:id="20" w:name="_Toc6489"/>
      <w:r>
        <w:rPr>
          <w:rFonts w:hint="default" w:ascii="Times New Roman" w:hAnsi="Times New Roman" w:eastAsia="宋体" w:cs="Times New Roman"/>
        </w:rPr>
        <w:t>3.1、实施要求</w:t>
      </w:r>
      <w:bookmarkEnd w:id="19"/>
      <w:bookmarkEnd w:id="20"/>
    </w:p>
    <w:p w14:paraId="539C193F">
      <w:pPr>
        <w:numPr>
          <w:ilvl w:val="0"/>
          <w:numId w:val="1"/>
        </w:numPr>
        <w:spacing w:line="360" w:lineRule="auto"/>
        <w:ind w:left="-2" w:leftChars="-1" w:firstLine="426" w:firstLineChars="203"/>
        <w:rPr>
          <w:rFonts w:hint="default" w:ascii="Times New Roman" w:hAnsi="Times New Roman" w:eastAsia="宋体" w:cs="Times New Roman"/>
          <w:szCs w:val="21"/>
        </w:rPr>
      </w:pPr>
      <w:r>
        <w:rPr>
          <w:rFonts w:hint="default" w:ascii="Times New Roman" w:hAnsi="Times New Roman" w:eastAsia="宋体" w:cs="Times New Roman"/>
          <w:color w:val="000000"/>
          <w:kern w:val="0"/>
        </w:rPr>
        <w:t>投标人成立由到货上架、布线、上电、安装部署、高可用测试等服务组成的项目团队，团队成员必须由经验丰富的人员组成，团队成员应具有强烈的服务意识和高度的责任感。项目团队人员包</w:t>
      </w:r>
      <w:r>
        <w:rPr>
          <w:rFonts w:hint="default" w:ascii="Times New Roman" w:hAnsi="Times New Roman" w:eastAsia="宋体" w:cs="Times New Roman"/>
          <w:szCs w:val="21"/>
        </w:rPr>
        <w:t>项目经理、系统架构师等项目核心成员须具备本科及以上学历、主持相关大型项目的实施经验，投标人未经招标人同意项目经理、系统架构师及各分项目负责人在项目结束前不得变更。投标人需提供项目实施的人员组织架构图以及项目组人员情况表。</w:t>
      </w:r>
    </w:p>
    <w:tbl>
      <w:tblPr>
        <w:tblStyle w:val="17"/>
        <w:tblW w:w="9498" w:type="dxa"/>
        <w:jc w:val="center"/>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35"/>
        <w:gridCol w:w="850"/>
        <w:gridCol w:w="1276"/>
        <w:gridCol w:w="2194"/>
        <w:gridCol w:w="1380"/>
        <w:gridCol w:w="1425"/>
        <w:gridCol w:w="1238"/>
      </w:tblGrid>
      <w:tr w14:paraId="148A4020">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35" w:type="dxa"/>
            <w:tcBorders>
              <w:left w:val="single" w:color="auto" w:sz="4" w:space="0"/>
              <w:bottom w:val="single" w:color="auto" w:sz="4" w:space="0"/>
            </w:tcBorders>
          </w:tcPr>
          <w:p w14:paraId="26815B62">
            <w:pPr>
              <w:spacing w:line="360"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序号</w:t>
            </w:r>
          </w:p>
        </w:tc>
        <w:tc>
          <w:tcPr>
            <w:tcW w:w="850" w:type="dxa"/>
            <w:tcBorders>
              <w:left w:val="single" w:color="auto" w:sz="4" w:space="0"/>
              <w:bottom w:val="single" w:color="auto" w:sz="4" w:space="0"/>
            </w:tcBorders>
          </w:tcPr>
          <w:p w14:paraId="4B9B7BBE">
            <w:pPr>
              <w:spacing w:line="360"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姓名</w:t>
            </w:r>
          </w:p>
        </w:tc>
        <w:tc>
          <w:tcPr>
            <w:tcW w:w="1276" w:type="dxa"/>
            <w:tcBorders>
              <w:left w:val="single" w:color="auto" w:sz="4" w:space="0"/>
              <w:bottom w:val="single" w:color="auto" w:sz="4" w:space="0"/>
            </w:tcBorders>
          </w:tcPr>
          <w:p w14:paraId="26E70A42">
            <w:pPr>
              <w:spacing w:line="360"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角色</w:t>
            </w:r>
          </w:p>
        </w:tc>
        <w:tc>
          <w:tcPr>
            <w:tcW w:w="2194" w:type="dxa"/>
            <w:tcBorders>
              <w:left w:val="single" w:color="auto" w:sz="4" w:space="0"/>
              <w:bottom w:val="single" w:color="auto" w:sz="4" w:space="0"/>
              <w:right w:val="single" w:color="auto" w:sz="4" w:space="0"/>
            </w:tcBorders>
          </w:tcPr>
          <w:p w14:paraId="08813E7A">
            <w:pPr>
              <w:spacing w:line="360"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职责</w:t>
            </w:r>
          </w:p>
        </w:tc>
        <w:tc>
          <w:tcPr>
            <w:tcW w:w="1380" w:type="dxa"/>
            <w:tcBorders>
              <w:left w:val="single" w:color="auto" w:sz="4" w:space="0"/>
              <w:bottom w:val="single" w:color="auto" w:sz="4" w:space="0"/>
              <w:right w:val="single" w:color="auto" w:sz="4" w:space="0"/>
            </w:tcBorders>
          </w:tcPr>
          <w:p w14:paraId="61468025">
            <w:pPr>
              <w:spacing w:line="360"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年龄</w:t>
            </w:r>
          </w:p>
        </w:tc>
        <w:tc>
          <w:tcPr>
            <w:tcW w:w="1425" w:type="dxa"/>
            <w:tcBorders>
              <w:left w:val="single" w:color="auto" w:sz="4" w:space="0"/>
              <w:bottom w:val="single" w:color="auto" w:sz="4" w:space="0"/>
              <w:right w:val="single" w:color="auto" w:sz="4" w:space="0"/>
            </w:tcBorders>
          </w:tcPr>
          <w:p w14:paraId="68AF03A0">
            <w:pPr>
              <w:spacing w:line="360"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项目经验</w:t>
            </w:r>
          </w:p>
        </w:tc>
        <w:tc>
          <w:tcPr>
            <w:tcW w:w="1238" w:type="dxa"/>
            <w:tcBorders>
              <w:left w:val="single" w:color="auto" w:sz="4" w:space="0"/>
              <w:bottom w:val="single" w:color="auto" w:sz="4" w:space="0"/>
              <w:right w:val="single" w:color="auto" w:sz="4" w:space="0"/>
            </w:tcBorders>
          </w:tcPr>
          <w:p w14:paraId="1D2AF874">
            <w:pPr>
              <w:spacing w:line="360"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现场/远程</w:t>
            </w:r>
          </w:p>
        </w:tc>
      </w:tr>
      <w:tr w14:paraId="759F5439">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 w:hRule="atLeast"/>
          <w:jc w:val="center"/>
        </w:trPr>
        <w:tc>
          <w:tcPr>
            <w:tcW w:w="1135" w:type="dxa"/>
            <w:tcBorders>
              <w:top w:val="single" w:color="auto" w:sz="4" w:space="0"/>
              <w:left w:val="single" w:color="auto" w:sz="4" w:space="0"/>
              <w:bottom w:val="single" w:color="auto" w:sz="4" w:space="0"/>
            </w:tcBorders>
          </w:tcPr>
          <w:p w14:paraId="16CAD821">
            <w:pPr>
              <w:spacing w:line="360" w:lineRule="auto"/>
              <w:jc w:val="center"/>
              <w:rPr>
                <w:rFonts w:hint="default" w:ascii="Times New Roman" w:hAnsi="Times New Roman" w:eastAsia="宋体" w:cs="Times New Roman"/>
                <w:sz w:val="18"/>
                <w:szCs w:val="18"/>
              </w:rPr>
            </w:pPr>
          </w:p>
        </w:tc>
        <w:tc>
          <w:tcPr>
            <w:tcW w:w="850" w:type="dxa"/>
            <w:tcBorders>
              <w:top w:val="single" w:color="auto" w:sz="4" w:space="0"/>
              <w:left w:val="single" w:color="auto" w:sz="4" w:space="0"/>
              <w:bottom w:val="single" w:color="auto" w:sz="4" w:space="0"/>
            </w:tcBorders>
          </w:tcPr>
          <w:p w14:paraId="7ED22EEB">
            <w:pPr>
              <w:spacing w:line="360" w:lineRule="auto"/>
              <w:jc w:val="center"/>
              <w:rPr>
                <w:rFonts w:hint="default" w:ascii="Times New Roman" w:hAnsi="Times New Roman" w:eastAsia="宋体" w:cs="Times New Roman"/>
                <w:sz w:val="18"/>
                <w:szCs w:val="18"/>
              </w:rPr>
            </w:pPr>
          </w:p>
        </w:tc>
        <w:tc>
          <w:tcPr>
            <w:tcW w:w="1276" w:type="dxa"/>
            <w:tcBorders>
              <w:top w:val="single" w:color="auto" w:sz="4" w:space="0"/>
              <w:left w:val="single" w:color="auto" w:sz="4" w:space="0"/>
              <w:bottom w:val="single" w:color="auto" w:sz="4" w:space="0"/>
            </w:tcBorders>
          </w:tcPr>
          <w:p w14:paraId="605EF1C5">
            <w:pPr>
              <w:spacing w:line="360" w:lineRule="auto"/>
              <w:jc w:val="center"/>
              <w:rPr>
                <w:rFonts w:hint="default" w:ascii="Times New Roman" w:hAnsi="Times New Roman" w:eastAsia="宋体" w:cs="Times New Roman"/>
                <w:sz w:val="18"/>
                <w:szCs w:val="18"/>
              </w:rPr>
            </w:pPr>
          </w:p>
        </w:tc>
        <w:tc>
          <w:tcPr>
            <w:tcW w:w="2194" w:type="dxa"/>
            <w:tcBorders>
              <w:top w:val="single" w:color="auto" w:sz="4" w:space="0"/>
              <w:left w:val="single" w:color="auto" w:sz="4" w:space="0"/>
              <w:bottom w:val="single" w:color="auto" w:sz="4" w:space="0"/>
              <w:right w:val="single" w:color="auto" w:sz="4" w:space="0"/>
            </w:tcBorders>
          </w:tcPr>
          <w:p w14:paraId="356DEAE8">
            <w:pPr>
              <w:spacing w:line="360" w:lineRule="auto"/>
              <w:jc w:val="center"/>
              <w:rPr>
                <w:rFonts w:hint="default" w:ascii="Times New Roman" w:hAnsi="Times New Roman" w:eastAsia="宋体" w:cs="Times New Roman"/>
                <w:sz w:val="18"/>
                <w:szCs w:val="18"/>
              </w:rPr>
            </w:pPr>
          </w:p>
        </w:tc>
        <w:tc>
          <w:tcPr>
            <w:tcW w:w="1380" w:type="dxa"/>
            <w:tcBorders>
              <w:top w:val="single" w:color="auto" w:sz="4" w:space="0"/>
              <w:left w:val="single" w:color="auto" w:sz="4" w:space="0"/>
              <w:bottom w:val="single" w:color="auto" w:sz="4" w:space="0"/>
              <w:right w:val="single" w:color="auto" w:sz="4" w:space="0"/>
            </w:tcBorders>
          </w:tcPr>
          <w:p w14:paraId="54D9A60A">
            <w:pPr>
              <w:spacing w:line="360" w:lineRule="auto"/>
              <w:jc w:val="center"/>
              <w:rPr>
                <w:rFonts w:hint="default" w:ascii="Times New Roman" w:hAnsi="Times New Roman" w:eastAsia="宋体" w:cs="Times New Roman"/>
                <w:sz w:val="18"/>
                <w:szCs w:val="18"/>
              </w:rPr>
            </w:pPr>
          </w:p>
        </w:tc>
        <w:tc>
          <w:tcPr>
            <w:tcW w:w="1425" w:type="dxa"/>
            <w:tcBorders>
              <w:top w:val="single" w:color="auto" w:sz="4" w:space="0"/>
              <w:left w:val="single" w:color="auto" w:sz="4" w:space="0"/>
              <w:bottom w:val="single" w:color="auto" w:sz="4" w:space="0"/>
              <w:right w:val="single" w:color="auto" w:sz="4" w:space="0"/>
            </w:tcBorders>
          </w:tcPr>
          <w:p w14:paraId="3CC3ACB8">
            <w:pPr>
              <w:spacing w:line="360" w:lineRule="auto"/>
              <w:jc w:val="center"/>
              <w:rPr>
                <w:rFonts w:hint="default" w:ascii="Times New Roman" w:hAnsi="Times New Roman" w:eastAsia="宋体" w:cs="Times New Roman"/>
                <w:sz w:val="18"/>
                <w:szCs w:val="18"/>
              </w:rPr>
            </w:pPr>
          </w:p>
        </w:tc>
        <w:tc>
          <w:tcPr>
            <w:tcW w:w="1238" w:type="dxa"/>
            <w:tcBorders>
              <w:top w:val="single" w:color="auto" w:sz="4" w:space="0"/>
              <w:left w:val="single" w:color="auto" w:sz="4" w:space="0"/>
              <w:bottom w:val="single" w:color="auto" w:sz="4" w:space="0"/>
              <w:right w:val="single" w:color="auto" w:sz="4" w:space="0"/>
            </w:tcBorders>
          </w:tcPr>
          <w:p w14:paraId="39C5D594">
            <w:pPr>
              <w:spacing w:line="360" w:lineRule="auto"/>
              <w:jc w:val="center"/>
              <w:rPr>
                <w:rFonts w:hint="default" w:ascii="Times New Roman" w:hAnsi="Times New Roman" w:eastAsia="宋体" w:cs="Times New Roman"/>
                <w:sz w:val="18"/>
                <w:szCs w:val="18"/>
              </w:rPr>
            </w:pPr>
          </w:p>
        </w:tc>
      </w:tr>
    </w:tbl>
    <w:p w14:paraId="7C6EF727">
      <w:pPr>
        <w:numPr>
          <w:ilvl w:val="0"/>
          <w:numId w:val="1"/>
        </w:numPr>
        <w:spacing w:line="360" w:lineRule="auto"/>
        <w:rPr>
          <w:rFonts w:hint="default" w:ascii="Times New Roman" w:hAnsi="Times New Roman" w:eastAsia="宋体" w:cs="Times New Roman"/>
          <w:color w:val="000000"/>
          <w:kern w:val="0"/>
        </w:rPr>
      </w:pPr>
      <w:r>
        <w:rPr>
          <w:rFonts w:hint="default" w:ascii="Times New Roman" w:hAnsi="Times New Roman" w:eastAsia="宋体" w:cs="Times New Roman"/>
          <w:color w:val="000000"/>
          <w:kern w:val="0"/>
        </w:rPr>
        <w:t>在试运行阶段，承建单位应进行全程跟踪，提供全面技术支持服务，确保试运行的顺利进行，达到检验系统、完善系统的目的。</w:t>
      </w:r>
    </w:p>
    <w:p w14:paraId="480C9B76">
      <w:pPr>
        <w:spacing w:line="360" w:lineRule="auto"/>
        <w:outlineLvl w:val="2"/>
        <w:rPr>
          <w:rFonts w:hint="default" w:ascii="Times New Roman" w:hAnsi="Times New Roman" w:eastAsia="宋体" w:cs="Times New Roman"/>
        </w:rPr>
      </w:pPr>
      <w:bookmarkStart w:id="21" w:name="_Toc10606"/>
      <w:bookmarkStart w:id="22" w:name="_Toc208925680"/>
      <w:r>
        <w:rPr>
          <w:rFonts w:hint="default" w:ascii="Times New Roman" w:hAnsi="Times New Roman" w:eastAsia="宋体" w:cs="Times New Roman"/>
        </w:rPr>
        <w:t>3.2、项目实施方案</w:t>
      </w:r>
      <w:bookmarkEnd w:id="21"/>
      <w:bookmarkEnd w:id="22"/>
    </w:p>
    <w:p w14:paraId="26B4E74B">
      <w:pPr>
        <w:spacing w:line="360" w:lineRule="auto"/>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根据投标人的技术方案，提供项目人员安排、实施计划、实施步骤、测试计划和培训计划，保证项目顺利完成。</w:t>
      </w:r>
    </w:p>
    <w:p w14:paraId="0519F188">
      <w:pPr>
        <w:numPr>
          <w:ilvl w:val="0"/>
          <w:numId w:val="1"/>
        </w:numPr>
        <w:spacing w:line="360" w:lineRule="auto"/>
        <w:rPr>
          <w:rFonts w:hint="default" w:ascii="Times New Roman" w:hAnsi="Times New Roman" w:eastAsia="宋体" w:cs="Times New Roman"/>
          <w:kern w:val="0"/>
        </w:rPr>
      </w:pPr>
      <w:r>
        <w:rPr>
          <w:rFonts w:hint="default" w:ascii="Times New Roman" w:hAnsi="Times New Roman" w:eastAsia="宋体" w:cs="Times New Roman"/>
          <w:kern w:val="0"/>
        </w:rPr>
        <w:t>实施方案</w:t>
      </w:r>
    </w:p>
    <w:p w14:paraId="4F53943F">
      <w:pPr>
        <w:spacing w:line="360" w:lineRule="auto"/>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请投标人根据以上时间要求，提出具体到货、安装、调试、运行等工程进度表和分工界面。包括：</w:t>
      </w:r>
    </w:p>
    <w:p w14:paraId="546B044F">
      <w:pPr>
        <w:numPr>
          <w:ilvl w:val="0"/>
          <w:numId w:val="2"/>
        </w:numPr>
        <w:spacing w:line="360" w:lineRule="auto"/>
        <w:ind w:left="0" w:firstLine="420" w:firstLineChars="200"/>
        <w:rPr>
          <w:rFonts w:hint="default" w:ascii="Times New Roman" w:hAnsi="Times New Roman" w:eastAsia="宋体" w:cs="Times New Roman"/>
          <w:color w:val="000000"/>
          <w:kern w:val="0"/>
          <w:szCs w:val="21"/>
        </w:rPr>
      </w:pPr>
      <w:r>
        <w:rPr>
          <w:rFonts w:hint="default" w:ascii="Times New Roman" w:hAnsi="Times New Roman" w:eastAsia="宋体" w:cs="Times New Roman"/>
          <w:color w:val="000000"/>
          <w:kern w:val="0"/>
          <w:szCs w:val="21"/>
        </w:rPr>
        <w:t>需求调研、方案规划、设备上架、系统配置、系统测试、系统培训等，对应主要阶段性成果；</w:t>
      </w:r>
    </w:p>
    <w:p w14:paraId="28913938">
      <w:pPr>
        <w:numPr>
          <w:ilvl w:val="0"/>
          <w:numId w:val="2"/>
        </w:numPr>
        <w:spacing w:line="360" w:lineRule="auto"/>
        <w:ind w:left="0" w:firstLine="420" w:firstLineChars="200"/>
        <w:rPr>
          <w:rFonts w:hint="default" w:ascii="Times New Roman" w:hAnsi="Times New Roman" w:eastAsia="宋体" w:cs="Times New Roman"/>
          <w:color w:val="000000"/>
          <w:kern w:val="0"/>
          <w:szCs w:val="21"/>
        </w:rPr>
      </w:pPr>
      <w:r>
        <w:rPr>
          <w:rFonts w:hint="default" w:ascii="Times New Roman" w:hAnsi="Times New Roman" w:eastAsia="宋体" w:cs="Times New Roman"/>
          <w:color w:val="000000"/>
          <w:kern w:val="0"/>
          <w:szCs w:val="21"/>
        </w:rPr>
        <w:t>实际项目组人员配备数量和素质，列出具体名单和投入时间段；</w:t>
      </w:r>
    </w:p>
    <w:p w14:paraId="664CF01C">
      <w:pPr>
        <w:numPr>
          <w:ilvl w:val="0"/>
          <w:numId w:val="2"/>
        </w:numPr>
        <w:spacing w:line="360" w:lineRule="auto"/>
        <w:ind w:left="0" w:firstLine="420" w:firstLineChars="200"/>
        <w:rPr>
          <w:rFonts w:hint="default" w:ascii="Times New Roman" w:hAnsi="Times New Roman" w:eastAsia="宋体" w:cs="Times New Roman"/>
          <w:color w:val="000000"/>
          <w:kern w:val="0"/>
          <w:szCs w:val="21"/>
        </w:rPr>
      </w:pPr>
      <w:r>
        <w:rPr>
          <w:rFonts w:hint="default" w:ascii="Times New Roman" w:hAnsi="Times New Roman" w:eastAsia="宋体" w:cs="Times New Roman"/>
          <w:color w:val="000000"/>
          <w:kern w:val="0"/>
          <w:szCs w:val="21"/>
        </w:rPr>
        <w:t>进度计划和进度把控方案、输出成果；</w:t>
      </w:r>
    </w:p>
    <w:p w14:paraId="30A4490D">
      <w:pPr>
        <w:numPr>
          <w:ilvl w:val="0"/>
          <w:numId w:val="2"/>
        </w:numPr>
        <w:spacing w:line="360" w:lineRule="auto"/>
        <w:ind w:left="0" w:firstLine="420" w:firstLineChars="200"/>
        <w:rPr>
          <w:rFonts w:hint="default" w:ascii="Times New Roman" w:hAnsi="Times New Roman" w:eastAsia="宋体" w:cs="Times New Roman"/>
          <w:color w:val="000000"/>
          <w:kern w:val="0"/>
          <w:szCs w:val="21"/>
        </w:rPr>
      </w:pPr>
      <w:r>
        <w:rPr>
          <w:rFonts w:hint="default" w:ascii="Times New Roman" w:hAnsi="Times New Roman" w:eastAsia="宋体" w:cs="Times New Roman"/>
          <w:color w:val="000000"/>
          <w:kern w:val="0"/>
          <w:szCs w:val="21"/>
        </w:rPr>
        <w:t>主要工作量评估、风险点及风险控制方法；</w:t>
      </w:r>
    </w:p>
    <w:p w14:paraId="29933A43">
      <w:pPr>
        <w:numPr>
          <w:ilvl w:val="0"/>
          <w:numId w:val="2"/>
        </w:numPr>
        <w:spacing w:line="360" w:lineRule="auto"/>
        <w:ind w:left="0" w:firstLine="420" w:firstLineChars="200"/>
        <w:rPr>
          <w:rFonts w:hint="default" w:ascii="Times New Roman" w:hAnsi="Times New Roman" w:eastAsia="宋体" w:cs="Times New Roman"/>
        </w:rPr>
      </w:pPr>
      <w:r>
        <w:rPr>
          <w:rFonts w:hint="default" w:ascii="Times New Roman" w:hAnsi="Times New Roman" w:eastAsia="宋体" w:cs="Times New Roman"/>
          <w:color w:val="000000"/>
          <w:kern w:val="0"/>
          <w:szCs w:val="21"/>
        </w:rPr>
        <w:t>对招标人日常生产活动如日常维护监控等工作量的影响情况等。</w:t>
      </w:r>
    </w:p>
    <w:p w14:paraId="102EDB35">
      <w:pPr>
        <w:spacing w:line="360" w:lineRule="auto"/>
        <w:outlineLvl w:val="2"/>
        <w:rPr>
          <w:rFonts w:hint="default" w:ascii="Times New Roman" w:hAnsi="Times New Roman" w:eastAsia="宋体" w:cs="Times New Roman"/>
        </w:rPr>
      </w:pPr>
      <w:bookmarkStart w:id="23" w:name="_Toc13225"/>
      <w:bookmarkStart w:id="24" w:name="_Toc208925681"/>
      <w:r>
        <w:rPr>
          <w:rFonts w:hint="default" w:ascii="Times New Roman" w:hAnsi="Times New Roman" w:eastAsia="宋体" w:cs="Times New Roman"/>
        </w:rPr>
        <w:t>3.3、技术服务</w:t>
      </w:r>
      <w:bookmarkEnd w:id="23"/>
      <w:bookmarkEnd w:id="24"/>
    </w:p>
    <w:p w14:paraId="709C42F0">
      <w:pPr>
        <w:spacing w:line="360" w:lineRule="auto"/>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详细描述针对本项目的运维服务渠道、运维服务内容和各级故障的RTO和RPO指标标准。</w:t>
      </w:r>
    </w:p>
    <w:p w14:paraId="35C0E45A">
      <w:pPr>
        <w:numPr>
          <w:ilvl w:val="0"/>
          <w:numId w:val="1"/>
        </w:numPr>
        <w:spacing w:line="360" w:lineRule="auto"/>
        <w:rPr>
          <w:rFonts w:hint="default" w:ascii="Times New Roman" w:hAnsi="Times New Roman" w:eastAsia="宋体" w:cs="Times New Roman"/>
          <w:color w:val="000000"/>
          <w:kern w:val="0"/>
        </w:rPr>
      </w:pPr>
      <w:r>
        <w:rPr>
          <w:rFonts w:hint="default" w:ascii="Times New Roman" w:hAnsi="Times New Roman" w:eastAsia="宋体" w:cs="Times New Roman"/>
          <w:color w:val="000000"/>
          <w:kern w:val="0"/>
        </w:rPr>
        <w:t>“服务”系指投标人须免费承担的安装、指导、调试、技术协助、培训以及其他类似的义务。服务又具体包括如下几种：</w:t>
      </w:r>
    </w:p>
    <w:p w14:paraId="44053194">
      <w:pPr>
        <w:pStyle w:val="32"/>
        <w:numPr>
          <w:ilvl w:val="0"/>
          <w:numId w:val="3"/>
        </w:numPr>
        <w:spacing w:line="360" w:lineRule="auto"/>
        <w:contextualSpacing w:val="0"/>
        <w:rPr>
          <w:rFonts w:hint="default" w:ascii="Times New Roman" w:hAnsi="Times New Roman" w:eastAsia="宋体" w:cs="Times New Roman"/>
        </w:rPr>
      </w:pPr>
      <w:r>
        <w:rPr>
          <w:rFonts w:hint="default" w:ascii="Times New Roman" w:hAnsi="Times New Roman" w:eastAsia="宋体" w:cs="Times New Roman"/>
        </w:rPr>
        <w:t>“电话支持服务”系指投标人将为招标人提供响应电话。当招标人遇到产品使用故障后,可直接拨打投标人提供的响应电话，并提供合同号，招标方产品所在地，故障现象及产品序列号等信息以要求投标人提供免费服务。响应人员在接到招标方电话后会指派工程师向招标人提供电话诊断及现场服务。工程师将通过电话诊断故障及解决问题。如果招标产品故障无法通过电话解决，工程师将到招标方产品现场提供现场支持服务。</w:t>
      </w:r>
    </w:p>
    <w:p w14:paraId="164BCF4A">
      <w:pPr>
        <w:pStyle w:val="32"/>
        <w:numPr>
          <w:ilvl w:val="0"/>
          <w:numId w:val="3"/>
        </w:numPr>
        <w:spacing w:line="360" w:lineRule="auto"/>
        <w:contextualSpacing w:val="0"/>
        <w:rPr>
          <w:rFonts w:hint="default" w:ascii="Times New Roman" w:hAnsi="Times New Roman" w:eastAsia="宋体" w:cs="Times New Roman"/>
        </w:rPr>
      </w:pPr>
      <w:r>
        <w:rPr>
          <w:rFonts w:hint="default" w:ascii="Times New Roman" w:hAnsi="Times New Roman" w:eastAsia="宋体" w:cs="Times New Roman"/>
        </w:rPr>
        <w:t>“现场支持服务”系指如果招标人的招标产品故障无法通过电话解决，投标人云服务商工程师将于1小时内到达云服务产品现场进行故障排查。</w:t>
      </w:r>
    </w:p>
    <w:p w14:paraId="755BF929">
      <w:pPr>
        <w:pStyle w:val="32"/>
        <w:numPr>
          <w:ilvl w:val="0"/>
          <w:numId w:val="3"/>
        </w:numPr>
        <w:spacing w:line="360" w:lineRule="auto"/>
        <w:contextualSpacing w:val="0"/>
        <w:rPr>
          <w:rFonts w:hint="default" w:ascii="Times New Roman" w:hAnsi="Times New Roman" w:eastAsia="宋体" w:cs="Times New Roman"/>
        </w:rPr>
      </w:pPr>
      <w:r>
        <w:rPr>
          <w:rFonts w:hint="default" w:ascii="Times New Roman" w:hAnsi="Times New Roman" w:eastAsia="宋体" w:cs="Times New Roman"/>
        </w:rPr>
        <w:t>“主动预防性服务”系指投标人之云服务商特定服务工程师将定期电话联络招标人项目负责人，了解招标产品使用状况，进行问题咨询，并对招标人招标产品提供定期的主动预防性维护。预防性维护服务包括系统健康检查，合同服务期内的软件系统免费升级。投标人将与招标人在定期维护服务时间上达成一致，制定合理的预防性维护服务计划。服务检测的时间应在不影响招标人产品使用的时间进行。任何调整必须事先与招标人协商。</w:t>
      </w:r>
    </w:p>
    <w:p w14:paraId="64728B56">
      <w:pPr>
        <w:pStyle w:val="32"/>
        <w:numPr>
          <w:ilvl w:val="0"/>
          <w:numId w:val="3"/>
        </w:numPr>
        <w:spacing w:line="360" w:lineRule="auto"/>
        <w:contextualSpacing w:val="0"/>
        <w:rPr>
          <w:rFonts w:hint="default" w:ascii="Times New Roman" w:hAnsi="Times New Roman" w:eastAsia="宋体" w:cs="Times New Roman"/>
        </w:rPr>
      </w:pPr>
      <w:r>
        <w:rPr>
          <w:rFonts w:hint="default" w:ascii="Times New Roman" w:hAnsi="Times New Roman" w:eastAsia="宋体" w:cs="Times New Roman"/>
        </w:rPr>
        <w:t>电话支持服务：7×24小时服务；产品故障现场响应时间不得大于1小时。</w:t>
      </w:r>
    </w:p>
    <w:p w14:paraId="19583C62">
      <w:pPr>
        <w:pStyle w:val="32"/>
        <w:numPr>
          <w:ilvl w:val="0"/>
          <w:numId w:val="3"/>
        </w:numPr>
        <w:spacing w:line="360" w:lineRule="auto"/>
        <w:contextualSpacing w:val="0"/>
        <w:rPr>
          <w:rFonts w:hint="default" w:ascii="Times New Roman" w:hAnsi="Times New Roman" w:eastAsia="宋体" w:cs="Times New Roman"/>
        </w:rPr>
      </w:pPr>
      <w:r>
        <w:rPr>
          <w:rFonts w:hint="default" w:ascii="Times New Roman" w:hAnsi="Times New Roman" w:eastAsia="宋体" w:cs="Times New Roman"/>
        </w:rPr>
        <w:t>现场支持服务：7×24小时现场服务；产品故障现场响应时间不得大于1小时。</w:t>
      </w:r>
    </w:p>
    <w:p w14:paraId="691142C8">
      <w:pPr>
        <w:pStyle w:val="32"/>
        <w:numPr>
          <w:ilvl w:val="0"/>
          <w:numId w:val="3"/>
        </w:numPr>
        <w:spacing w:line="360" w:lineRule="auto"/>
        <w:contextualSpacing w:val="0"/>
        <w:rPr>
          <w:rFonts w:hint="default" w:ascii="Times New Roman" w:hAnsi="Times New Roman" w:eastAsia="宋体" w:cs="Times New Roman"/>
        </w:rPr>
      </w:pPr>
      <w:r>
        <w:rPr>
          <w:rFonts w:hint="default" w:ascii="Times New Roman" w:hAnsi="Times New Roman" w:eastAsia="宋体" w:cs="Times New Roman"/>
        </w:rPr>
        <w:t>主动预防性服务：服务期内，中标人必须提供每季度一次的巡检服务，在实施前提供相关详细实施方案。</w:t>
      </w:r>
    </w:p>
    <w:p w14:paraId="563BE1EC">
      <w:pPr>
        <w:numPr>
          <w:ilvl w:val="0"/>
          <w:numId w:val="1"/>
        </w:numPr>
        <w:spacing w:line="360" w:lineRule="auto"/>
        <w:rPr>
          <w:rFonts w:hint="default" w:ascii="Times New Roman" w:hAnsi="Times New Roman" w:eastAsia="宋体" w:cs="Times New Roman"/>
          <w:color w:val="000000"/>
          <w:kern w:val="0"/>
        </w:rPr>
      </w:pPr>
      <w:r>
        <w:rPr>
          <w:rFonts w:hint="default" w:ascii="Times New Roman" w:hAnsi="Times New Roman" w:eastAsia="宋体" w:cs="Times New Roman"/>
          <w:color w:val="000000"/>
          <w:kern w:val="0"/>
        </w:rPr>
        <w:t>维护规范的制定：项目投入正式使用前，投标人针对招标人技术人员制定日常技术巡检技术方案。</w:t>
      </w:r>
    </w:p>
    <w:p w14:paraId="525710D2">
      <w:pPr>
        <w:numPr>
          <w:ilvl w:val="0"/>
          <w:numId w:val="1"/>
        </w:numPr>
        <w:spacing w:line="360" w:lineRule="auto"/>
        <w:rPr>
          <w:rFonts w:hint="default" w:ascii="Times New Roman" w:hAnsi="Times New Roman" w:eastAsia="宋体" w:cs="Times New Roman"/>
          <w:color w:val="000000"/>
          <w:kern w:val="0"/>
        </w:rPr>
      </w:pPr>
      <w:r>
        <w:rPr>
          <w:rFonts w:hint="default" w:ascii="Times New Roman" w:hAnsi="Times New Roman" w:eastAsia="宋体" w:cs="Times New Roman"/>
          <w:color w:val="000000"/>
          <w:kern w:val="0"/>
        </w:rPr>
        <w:t>咨询服务，服务期内投标人为招标人提供免费IT咨询服务。</w:t>
      </w:r>
    </w:p>
    <w:p w14:paraId="712D2C51">
      <w:pPr>
        <w:numPr>
          <w:ilvl w:val="0"/>
          <w:numId w:val="1"/>
        </w:numPr>
        <w:spacing w:line="360" w:lineRule="auto"/>
        <w:rPr>
          <w:rFonts w:hint="default" w:ascii="Times New Roman" w:hAnsi="Times New Roman" w:eastAsia="宋体" w:cs="Times New Roman"/>
          <w:color w:val="000000"/>
          <w:kern w:val="0"/>
        </w:rPr>
      </w:pPr>
      <w:r>
        <w:rPr>
          <w:rFonts w:hint="default" w:ascii="Times New Roman" w:hAnsi="Times New Roman" w:eastAsia="宋体" w:cs="Times New Roman"/>
          <w:color w:val="000000"/>
          <w:kern w:val="0"/>
        </w:rPr>
        <w:t>投标人应指定固定的制造商人员组成为服务团队，服务团队成员必须参加过本次集成项目并熟悉本系统环境，遇到工作任务冲突时，必须优先服务于投标人，服务团队成员必须稳定。</w:t>
      </w:r>
    </w:p>
    <w:p w14:paraId="6D0A0C12">
      <w:pPr>
        <w:numPr>
          <w:ilvl w:val="0"/>
          <w:numId w:val="1"/>
        </w:numPr>
        <w:spacing w:line="360" w:lineRule="auto"/>
        <w:rPr>
          <w:rFonts w:hint="default" w:ascii="Times New Roman" w:hAnsi="Times New Roman" w:eastAsia="宋体" w:cs="Times New Roman"/>
          <w:color w:val="000000"/>
          <w:kern w:val="0"/>
        </w:rPr>
      </w:pPr>
      <w:r>
        <w:rPr>
          <w:rFonts w:hint="default" w:ascii="Times New Roman" w:hAnsi="Times New Roman" w:eastAsia="宋体" w:cs="Times New Roman"/>
          <w:color w:val="000000"/>
          <w:kern w:val="0"/>
        </w:rPr>
        <w:t>本服务期内，投标人应为招标人提供免费的软硬件同址搬迁类的服务支撑。</w:t>
      </w:r>
    </w:p>
    <w:p w14:paraId="0D66DF12">
      <w:pPr>
        <w:widowControl/>
        <w:spacing w:after="160" w:line="278" w:lineRule="auto"/>
        <w:jc w:val="left"/>
        <w:rPr>
          <w:rFonts w:hint="default" w:ascii="Times New Roman" w:hAnsi="Times New Roman" w:eastAsia="宋体" w:cs="Times New Roman"/>
          <w:lang w:val="zh-TW" w:eastAsia="zh-TW"/>
        </w:rPr>
      </w:pPr>
      <w:r>
        <w:rPr>
          <w:rFonts w:hint="default" w:ascii="Times New Roman" w:hAnsi="Times New Roman" w:eastAsia="宋体" w:cs="Times New Roman"/>
          <w:lang w:val="zh-TW" w:eastAsia="zh-TW"/>
        </w:rPr>
        <w:br w:type="page"/>
      </w:r>
    </w:p>
    <w:p w14:paraId="0CB68ECD">
      <w:pPr>
        <w:keepNext/>
        <w:keepLines/>
        <w:spacing w:before="312" w:beforeLines="100" w:after="312" w:afterLines="100" w:line="360" w:lineRule="auto"/>
        <w:jc w:val="center"/>
        <w:outlineLvl w:val="0"/>
        <w:rPr>
          <w:rFonts w:hint="default" w:ascii="Times New Roman" w:hAnsi="Times New Roman" w:eastAsia="宋体" w:cs="Times New Roman"/>
          <w:b/>
          <w:bCs/>
          <w:kern w:val="44"/>
          <w:sz w:val="36"/>
          <w:szCs w:val="36"/>
          <w:u w:color="000000"/>
          <w:lang w:val="en-US" w:eastAsia="zh-CN"/>
        </w:rPr>
      </w:pPr>
      <w:bookmarkStart w:id="25" w:name="_Toc18291"/>
      <w:bookmarkStart w:id="26" w:name="_Toc208925684"/>
      <w:r>
        <w:rPr>
          <w:rFonts w:hint="eastAsia" w:ascii="Times New Roman" w:hAnsi="Times New Roman" w:eastAsia="宋体" w:cs="Times New Roman"/>
          <w:b/>
          <w:bCs/>
          <w:kern w:val="44"/>
          <w:sz w:val="36"/>
          <w:szCs w:val="36"/>
          <w:u w:color="000000"/>
          <w:lang w:val="en-US" w:eastAsia="zh-CN"/>
        </w:rPr>
        <w:t>报价表</w:t>
      </w:r>
    </w:p>
    <w:bookmarkEnd w:id="25"/>
    <w:bookmarkEnd w:id="26"/>
    <w:tbl>
      <w:tblPr>
        <w:tblStyle w:val="17"/>
        <w:tblW w:w="104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1"/>
        <w:gridCol w:w="818"/>
        <w:gridCol w:w="2069"/>
        <w:gridCol w:w="1134"/>
        <w:gridCol w:w="1985"/>
        <w:gridCol w:w="1313"/>
        <w:gridCol w:w="1313"/>
      </w:tblGrid>
      <w:tr w14:paraId="4BAC4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831" w:type="dxa"/>
            <w:vAlign w:val="center"/>
          </w:tcPr>
          <w:p w14:paraId="2B2979BE">
            <w:pPr>
              <w:jc w:val="center"/>
              <w:rPr>
                <w:rFonts w:hint="default" w:ascii="Times New Roman" w:hAnsi="Times New Roman" w:eastAsia="宋体" w:cs="Times New Roman"/>
                <w:b/>
                <w:color w:val="000000"/>
                <w:szCs w:val="21"/>
              </w:rPr>
            </w:pPr>
            <w:r>
              <w:rPr>
                <w:rFonts w:hint="default" w:ascii="Times New Roman" w:hAnsi="Times New Roman" w:eastAsia="宋体" w:cs="Times New Roman"/>
                <w:b/>
                <w:color w:val="000000"/>
                <w:szCs w:val="21"/>
              </w:rPr>
              <w:t>设备名称</w:t>
            </w:r>
          </w:p>
        </w:tc>
        <w:tc>
          <w:tcPr>
            <w:tcW w:w="818" w:type="dxa"/>
            <w:vAlign w:val="center"/>
          </w:tcPr>
          <w:p w14:paraId="71302DF0">
            <w:pPr>
              <w:jc w:val="center"/>
              <w:rPr>
                <w:rFonts w:hint="default" w:ascii="Times New Roman" w:hAnsi="Times New Roman" w:eastAsia="宋体" w:cs="Times New Roman"/>
                <w:b/>
                <w:color w:val="000000"/>
              </w:rPr>
            </w:pPr>
            <w:r>
              <w:rPr>
                <w:rFonts w:hint="default" w:ascii="Times New Roman" w:hAnsi="Times New Roman" w:eastAsia="宋体" w:cs="Times New Roman"/>
                <w:b/>
                <w:color w:val="000000"/>
              </w:rPr>
              <w:t>数量</w:t>
            </w:r>
          </w:p>
        </w:tc>
        <w:tc>
          <w:tcPr>
            <w:tcW w:w="2069" w:type="dxa"/>
            <w:vAlign w:val="center"/>
          </w:tcPr>
          <w:p w14:paraId="605F3EB5">
            <w:pPr>
              <w:jc w:val="center"/>
              <w:rPr>
                <w:rFonts w:hint="default" w:ascii="Times New Roman" w:hAnsi="Times New Roman" w:eastAsia="宋体" w:cs="Times New Roman"/>
                <w:b/>
                <w:color w:val="000000"/>
              </w:rPr>
            </w:pPr>
            <w:r>
              <w:rPr>
                <w:rFonts w:hint="default" w:ascii="Times New Roman" w:hAnsi="Times New Roman" w:eastAsia="宋体" w:cs="Times New Roman"/>
                <w:b/>
                <w:color w:val="000000"/>
              </w:rPr>
              <w:t>型号/配置</w:t>
            </w:r>
          </w:p>
        </w:tc>
        <w:tc>
          <w:tcPr>
            <w:tcW w:w="1134" w:type="dxa"/>
            <w:vAlign w:val="center"/>
          </w:tcPr>
          <w:p w14:paraId="40F57C99">
            <w:pPr>
              <w:jc w:val="center"/>
              <w:rPr>
                <w:rFonts w:hint="default" w:ascii="Times New Roman" w:hAnsi="Times New Roman" w:eastAsia="宋体" w:cs="Times New Roman"/>
                <w:b/>
                <w:color w:val="000000"/>
              </w:rPr>
            </w:pPr>
            <w:r>
              <w:rPr>
                <w:rFonts w:hint="default" w:ascii="Times New Roman" w:hAnsi="Times New Roman" w:eastAsia="宋体" w:cs="Times New Roman"/>
                <w:b/>
                <w:color w:val="000000"/>
              </w:rPr>
              <w:t>★含税</w:t>
            </w:r>
            <w:r>
              <w:rPr>
                <w:rFonts w:hint="default" w:ascii="Times New Roman" w:hAnsi="Times New Roman" w:eastAsia="宋体" w:cs="Times New Roman"/>
                <w:b/>
                <w:color w:val="000000"/>
                <w:lang w:val="en-US" w:eastAsia="zh-CN"/>
              </w:rPr>
              <w:t>单</w:t>
            </w:r>
            <w:r>
              <w:rPr>
                <w:rFonts w:hint="default" w:ascii="Times New Roman" w:hAnsi="Times New Roman" w:eastAsia="宋体" w:cs="Times New Roman"/>
                <w:b/>
                <w:color w:val="000000"/>
              </w:rPr>
              <w:t>价最高限价（元）</w:t>
            </w:r>
          </w:p>
        </w:tc>
        <w:tc>
          <w:tcPr>
            <w:tcW w:w="1985" w:type="dxa"/>
            <w:vAlign w:val="center"/>
          </w:tcPr>
          <w:p w14:paraId="3F9F74F2">
            <w:pPr>
              <w:jc w:val="center"/>
              <w:rPr>
                <w:rFonts w:hint="default" w:ascii="Times New Roman" w:hAnsi="Times New Roman" w:eastAsia="宋体" w:cs="Times New Roman"/>
                <w:b/>
                <w:color w:val="000000"/>
              </w:rPr>
            </w:pPr>
            <w:r>
              <w:rPr>
                <w:rFonts w:hint="default" w:ascii="Times New Roman" w:hAnsi="Times New Roman" w:eastAsia="宋体" w:cs="Times New Roman"/>
                <w:b/>
                <w:color w:val="000000"/>
              </w:rPr>
              <w:t>含税</w:t>
            </w:r>
            <w:r>
              <w:rPr>
                <w:rFonts w:hint="default" w:ascii="Times New Roman" w:hAnsi="Times New Roman" w:eastAsia="宋体" w:cs="Times New Roman"/>
                <w:b/>
                <w:color w:val="000000"/>
                <w:lang w:val="en-US" w:eastAsia="zh-CN"/>
              </w:rPr>
              <w:t>单</w:t>
            </w:r>
            <w:r>
              <w:rPr>
                <w:rFonts w:hint="default" w:ascii="Times New Roman" w:hAnsi="Times New Roman" w:eastAsia="宋体" w:cs="Times New Roman"/>
                <w:b/>
                <w:color w:val="000000"/>
              </w:rPr>
              <w:t>价</w:t>
            </w:r>
          </w:p>
          <w:p w14:paraId="309E9DBA">
            <w:pPr>
              <w:jc w:val="center"/>
              <w:rPr>
                <w:rFonts w:hint="default" w:ascii="Times New Roman" w:hAnsi="Times New Roman" w:eastAsia="宋体" w:cs="Times New Roman"/>
                <w:b/>
                <w:color w:val="000000"/>
              </w:rPr>
            </w:pPr>
            <w:r>
              <w:rPr>
                <w:rFonts w:hint="default" w:ascii="Times New Roman" w:hAnsi="Times New Roman" w:eastAsia="宋体" w:cs="Times New Roman"/>
                <w:b/>
                <w:color w:val="000000"/>
              </w:rPr>
              <w:t>（元）</w:t>
            </w:r>
          </w:p>
        </w:tc>
        <w:tc>
          <w:tcPr>
            <w:tcW w:w="1313" w:type="dxa"/>
            <w:vAlign w:val="center"/>
          </w:tcPr>
          <w:p w14:paraId="219E5F6B">
            <w:pPr>
              <w:jc w:val="center"/>
              <w:rPr>
                <w:rFonts w:hint="default" w:ascii="Times New Roman" w:hAnsi="Times New Roman" w:eastAsia="宋体" w:cs="Times New Roman"/>
                <w:b/>
                <w:color w:val="000000"/>
                <w:lang w:val="en-US" w:eastAsia="zh-CN"/>
              </w:rPr>
            </w:pPr>
            <w:r>
              <w:rPr>
                <w:rFonts w:hint="default" w:ascii="Times New Roman" w:hAnsi="Times New Roman" w:eastAsia="宋体" w:cs="Times New Roman"/>
                <w:b/>
                <w:color w:val="000000"/>
                <w:lang w:val="en-US" w:eastAsia="zh-CN"/>
              </w:rPr>
              <w:t>含税总价</w:t>
            </w:r>
            <w:r>
              <w:rPr>
                <w:rFonts w:hint="default" w:ascii="Times New Roman" w:hAnsi="Times New Roman" w:eastAsia="宋体" w:cs="Times New Roman"/>
                <w:b/>
                <w:color w:val="000000"/>
              </w:rPr>
              <w:t>（元）</w:t>
            </w:r>
          </w:p>
        </w:tc>
        <w:tc>
          <w:tcPr>
            <w:tcW w:w="1313" w:type="dxa"/>
            <w:vAlign w:val="center"/>
          </w:tcPr>
          <w:p w14:paraId="64F5FB08">
            <w:pPr>
              <w:jc w:val="center"/>
              <w:rPr>
                <w:rFonts w:hint="default" w:ascii="Times New Roman" w:hAnsi="Times New Roman" w:eastAsia="宋体" w:cs="Times New Roman"/>
                <w:b/>
                <w:color w:val="000000"/>
              </w:rPr>
            </w:pPr>
            <w:r>
              <w:rPr>
                <w:rFonts w:hint="default" w:ascii="Times New Roman" w:hAnsi="Times New Roman" w:eastAsia="宋体" w:cs="Times New Roman"/>
                <w:b/>
                <w:color w:val="000000"/>
              </w:rPr>
              <w:t>增值税率（%）</w:t>
            </w:r>
          </w:p>
        </w:tc>
      </w:tr>
      <w:tr w14:paraId="24DC9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831" w:type="dxa"/>
            <w:vAlign w:val="center"/>
          </w:tcPr>
          <w:p w14:paraId="0554FB60">
            <w:pPr>
              <w:spacing w:line="400" w:lineRule="exact"/>
              <w:jc w:val="center"/>
              <w:rPr>
                <w:rFonts w:hint="default" w:ascii="Times New Roman" w:hAnsi="Times New Roman" w:eastAsia="宋体" w:cs="Times New Roman"/>
                <w:color w:val="000000"/>
              </w:rPr>
            </w:pPr>
            <w:r>
              <w:rPr>
                <w:rFonts w:hint="default" w:ascii="Times New Roman" w:hAnsi="Times New Roman" w:eastAsia="宋体" w:cs="Times New Roman"/>
                <w:color w:val="000000"/>
              </w:rPr>
              <w:t>自主服务器</w:t>
            </w:r>
          </w:p>
          <w:p w14:paraId="2A31F7EA">
            <w:pPr>
              <w:spacing w:line="400" w:lineRule="exact"/>
              <w:jc w:val="center"/>
              <w:rPr>
                <w:rFonts w:hint="default" w:ascii="Times New Roman" w:hAnsi="Times New Roman" w:eastAsia="宋体" w:cs="Times New Roman"/>
                <w:szCs w:val="21"/>
                <w:lang w:eastAsia="zh-CN"/>
              </w:rPr>
            </w:pPr>
            <w:r>
              <w:rPr>
                <w:rFonts w:hint="default" w:ascii="Times New Roman" w:hAnsi="Times New Roman" w:eastAsia="宋体" w:cs="Times New Roman"/>
                <w:color w:val="000000"/>
                <w:lang w:eastAsia="zh-CN"/>
              </w:rPr>
              <w:t>（</w:t>
            </w:r>
            <w:r>
              <w:rPr>
                <w:rFonts w:hint="default" w:ascii="Times New Roman" w:hAnsi="Times New Roman" w:eastAsia="宋体" w:cs="Times New Roman"/>
                <w:color w:val="000000"/>
                <w:lang w:val="en-US" w:eastAsia="zh-CN"/>
              </w:rPr>
              <w:t>配置1</w:t>
            </w:r>
            <w:r>
              <w:rPr>
                <w:rFonts w:hint="default" w:ascii="Times New Roman" w:hAnsi="Times New Roman" w:eastAsia="宋体" w:cs="Times New Roman"/>
                <w:color w:val="000000"/>
                <w:lang w:eastAsia="zh-CN"/>
              </w:rPr>
              <w:t>）</w:t>
            </w:r>
          </w:p>
        </w:tc>
        <w:tc>
          <w:tcPr>
            <w:tcW w:w="818" w:type="dxa"/>
            <w:vMerge w:val="restart"/>
            <w:vAlign w:val="center"/>
          </w:tcPr>
          <w:p w14:paraId="5A0087F3">
            <w:pPr>
              <w:spacing w:line="400" w:lineRule="exact"/>
              <w:jc w:val="center"/>
              <w:rPr>
                <w:rFonts w:hint="default" w:ascii="Times New Roman" w:hAnsi="Times New Roman" w:eastAsia="宋体" w:cs="Times New Roman"/>
                <w:szCs w:val="21"/>
              </w:rPr>
            </w:pPr>
          </w:p>
        </w:tc>
        <w:tc>
          <w:tcPr>
            <w:tcW w:w="2069" w:type="dxa"/>
            <w:vAlign w:val="center"/>
          </w:tcPr>
          <w:p w14:paraId="616C5B1A">
            <w:pPr>
              <w:pStyle w:val="42"/>
              <w:ind w:firstLine="0" w:firstLineChars="0"/>
              <w:jc w:val="left"/>
              <w:rPr>
                <w:rFonts w:hint="default" w:ascii="Times New Roman" w:hAnsi="Times New Roman" w:eastAsia="宋体" w:cs="Times New Roman"/>
                <w:color w:val="000000"/>
              </w:rPr>
            </w:pPr>
          </w:p>
        </w:tc>
        <w:tc>
          <w:tcPr>
            <w:tcW w:w="1134" w:type="dxa"/>
            <w:vAlign w:val="center"/>
          </w:tcPr>
          <w:p w14:paraId="14EFEEE2">
            <w:pPr>
              <w:pStyle w:val="42"/>
              <w:ind w:firstLine="0" w:firstLineChars="0"/>
              <w:jc w:val="center"/>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134153</w:t>
            </w:r>
          </w:p>
        </w:tc>
        <w:tc>
          <w:tcPr>
            <w:tcW w:w="1985" w:type="dxa"/>
            <w:vAlign w:val="center"/>
          </w:tcPr>
          <w:p w14:paraId="53ABFFEF">
            <w:pPr>
              <w:spacing w:line="400" w:lineRule="exact"/>
              <w:rPr>
                <w:rFonts w:hint="default" w:ascii="Times New Roman" w:hAnsi="Times New Roman" w:eastAsia="宋体" w:cs="Times New Roman"/>
                <w:color w:val="000000"/>
              </w:rPr>
            </w:pPr>
          </w:p>
        </w:tc>
        <w:tc>
          <w:tcPr>
            <w:tcW w:w="1313" w:type="dxa"/>
            <w:vAlign w:val="center"/>
          </w:tcPr>
          <w:p w14:paraId="03A44118">
            <w:pPr>
              <w:spacing w:line="400" w:lineRule="exact"/>
              <w:rPr>
                <w:rFonts w:hint="default" w:ascii="Times New Roman" w:hAnsi="Times New Roman" w:eastAsia="宋体" w:cs="Times New Roman"/>
                <w:color w:val="000000"/>
              </w:rPr>
            </w:pPr>
          </w:p>
        </w:tc>
        <w:tc>
          <w:tcPr>
            <w:tcW w:w="1313" w:type="dxa"/>
            <w:vAlign w:val="center"/>
          </w:tcPr>
          <w:p w14:paraId="06268337">
            <w:pPr>
              <w:spacing w:line="400" w:lineRule="exact"/>
              <w:jc w:val="center"/>
              <w:rPr>
                <w:rFonts w:hint="default" w:ascii="Times New Roman" w:hAnsi="Times New Roman" w:eastAsia="宋体" w:cs="Times New Roman"/>
                <w:color w:val="000000"/>
              </w:rPr>
            </w:pPr>
          </w:p>
        </w:tc>
      </w:tr>
      <w:tr w14:paraId="568D3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831" w:type="dxa"/>
            <w:vAlign w:val="center"/>
          </w:tcPr>
          <w:p w14:paraId="3255562D">
            <w:pPr>
              <w:spacing w:line="400" w:lineRule="exact"/>
              <w:jc w:val="center"/>
              <w:rPr>
                <w:rFonts w:hint="default" w:ascii="Times New Roman" w:hAnsi="Times New Roman" w:eastAsia="宋体" w:cs="Times New Roman"/>
                <w:color w:val="000000"/>
              </w:rPr>
            </w:pPr>
            <w:r>
              <w:rPr>
                <w:rFonts w:hint="default" w:ascii="Times New Roman" w:hAnsi="Times New Roman" w:eastAsia="宋体" w:cs="Times New Roman"/>
                <w:color w:val="000000"/>
              </w:rPr>
              <w:t>自主服务器</w:t>
            </w:r>
          </w:p>
          <w:p w14:paraId="04C4AA71">
            <w:pPr>
              <w:spacing w:line="400" w:lineRule="exact"/>
              <w:jc w:val="center"/>
              <w:rPr>
                <w:rFonts w:hint="default" w:ascii="Times New Roman" w:hAnsi="Times New Roman" w:eastAsia="宋体" w:cs="Times New Roman"/>
                <w:color w:val="000000"/>
              </w:rPr>
            </w:pPr>
            <w:r>
              <w:rPr>
                <w:rFonts w:hint="default" w:ascii="Times New Roman" w:hAnsi="Times New Roman" w:eastAsia="宋体" w:cs="Times New Roman"/>
                <w:color w:val="000000"/>
                <w:lang w:eastAsia="zh-CN"/>
              </w:rPr>
              <w:t>（</w:t>
            </w:r>
            <w:r>
              <w:rPr>
                <w:rFonts w:hint="default" w:ascii="Times New Roman" w:hAnsi="Times New Roman" w:eastAsia="宋体" w:cs="Times New Roman"/>
                <w:color w:val="000000"/>
                <w:lang w:val="en-US" w:eastAsia="zh-CN"/>
              </w:rPr>
              <w:t>配置2</w:t>
            </w:r>
            <w:r>
              <w:rPr>
                <w:rFonts w:hint="default" w:ascii="Times New Roman" w:hAnsi="Times New Roman" w:eastAsia="宋体" w:cs="Times New Roman"/>
                <w:color w:val="000000"/>
                <w:lang w:eastAsia="zh-CN"/>
              </w:rPr>
              <w:t>）</w:t>
            </w:r>
          </w:p>
        </w:tc>
        <w:tc>
          <w:tcPr>
            <w:tcW w:w="818" w:type="dxa"/>
            <w:vMerge w:val="continue"/>
            <w:vAlign w:val="center"/>
          </w:tcPr>
          <w:p w14:paraId="5526FF77">
            <w:pPr>
              <w:spacing w:line="400" w:lineRule="exact"/>
              <w:jc w:val="center"/>
              <w:rPr>
                <w:rFonts w:hint="default" w:ascii="Times New Roman" w:hAnsi="Times New Roman" w:eastAsia="宋体" w:cs="Times New Roman"/>
                <w:szCs w:val="21"/>
              </w:rPr>
            </w:pPr>
          </w:p>
        </w:tc>
        <w:tc>
          <w:tcPr>
            <w:tcW w:w="2069" w:type="dxa"/>
            <w:vAlign w:val="center"/>
          </w:tcPr>
          <w:p w14:paraId="501776FA">
            <w:pPr>
              <w:pStyle w:val="42"/>
              <w:ind w:firstLine="0" w:firstLineChars="0"/>
              <w:jc w:val="left"/>
              <w:rPr>
                <w:rFonts w:hint="default" w:ascii="Times New Roman" w:hAnsi="Times New Roman" w:eastAsia="宋体" w:cs="Times New Roman"/>
                <w:color w:val="000000"/>
              </w:rPr>
            </w:pPr>
          </w:p>
        </w:tc>
        <w:tc>
          <w:tcPr>
            <w:tcW w:w="1134" w:type="dxa"/>
            <w:vAlign w:val="center"/>
          </w:tcPr>
          <w:p w14:paraId="78AA0E94">
            <w:pPr>
              <w:pStyle w:val="42"/>
              <w:ind w:firstLine="0" w:firstLineChars="0"/>
              <w:jc w:val="center"/>
              <w:rPr>
                <w:rFonts w:hint="default" w:ascii="Times New Roman" w:hAnsi="Times New Roman" w:eastAsia="宋体" w:cs="Times New Roman"/>
                <w:color w:val="000000"/>
                <w:lang w:val="en-US" w:eastAsia="zh-CN"/>
              </w:rPr>
            </w:pPr>
            <w:r>
              <w:rPr>
                <w:rFonts w:hint="default" w:ascii="Times New Roman" w:hAnsi="Times New Roman" w:eastAsia="宋体" w:cs="Times New Roman"/>
                <w:color w:val="000000"/>
                <w:lang w:val="en-US" w:eastAsia="zh-CN"/>
              </w:rPr>
              <w:t>160983</w:t>
            </w:r>
          </w:p>
        </w:tc>
        <w:tc>
          <w:tcPr>
            <w:tcW w:w="1985" w:type="dxa"/>
            <w:vAlign w:val="center"/>
          </w:tcPr>
          <w:p w14:paraId="00DC6999">
            <w:pPr>
              <w:spacing w:line="400" w:lineRule="exact"/>
              <w:rPr>
                <w:rFonts w:hint="default" w:ascii="Times New Roman" w:hAnsi="Times New Roman" w:eastAsia="宋体" w:cs="Times New Roman"/>
                <w:color w:val="000000"/>
              </w:rPr>
            </w:pPr>
          </w:p>
        </w:tc>
        <w:tc>
          <w:tcPr>
            <w:tcW w:w="1313" w:type="dxa"/>
            <w:vAlign w:val="center"/>
          </w:tcPr>
          <w:p w14:paraId="7B00E00E">
            <w:pPr>
              <w:spacing w:line="400" w:lineRule="exact"/>
              <w:rPr>
                <w:rFonts w:hint="default" w:ascii="Times New Roman" w:hAnsi="Times New Roman" w:eastAsia="宋体" w:cs="Times New Roman"/>
                <w:color w:val="000000"/>
              </w:rPr>
            </w:pPr>
          </w:p>
        </w:tc>
        <w:tc>
          <w:tcPr>
            <w:tcW w:w="1313" w:type="dxa"/>
            <w:vAlign w:val="center"/>
          </w:tcPr>
          <w:p w14:paraId="75689E09">
            <w:pPr>
              <w:spacing w:line="400" w:lineRule="exact"/>
              <w:jc w:val="center"/>
              <w:rPr>
                <w:rFonts w:hint="default" w:ascii="Times New Roman" w:hAnsi="Times New Roman" w:eastAsia="宋体" w:cs="Times New Roman"/>
                <w:color w:val="000000"/>
              </w:rPr>
            </w:pPr>
          </w:p>
        </w:tc>
      </w:tr>
      <w:tr w14:paraId="160B9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831" w:type="dxa"/>
            <w:vAlign w:val="center"/>
          </w:tcPr>
          <w:p w14:paraId="3D090CCF">
            <w:pPr>
              <w:spacing w:line="400" w:lineRule="exact"/>
              <w:jc w:val="center"/>
              <w:rPr>
                <w:rFonts w:hint="default" w:ascii="Times New Roman" w:hAnsi="Times New Roman" w:eastAsia="宋体" w:cs="Times New Roman"/>
                <w:color w:val="000000"/>
              </w:rPr>
            </w:pPr>
            <w:r>
              <w:rPr>
                <w:rFonts w:hint="default" w:ascii="Times New Roman" w:hAnsi="Times New Roman" w:eastAsia="宋体" w:cs="Times New Roman"/>
                <w:color w:val="000000"/>
              </w:rPr>
              <w:t>交货期</w:t>
            </w:r>
          </w:p>
        </w:tc>
        <w:tc>
          <w:tcPr>
            <w:tcW w:w="8632" w:type="dxa"/>
            <w:gridSpan w:val="6"/>
            <w:vAlign w:val="center"/>
          </w:tcPr>
          <w:p w14:paraId="18141F3B">
            <w:pPr>
              <w:widowControl/>
              <w:spacing w:line="400" w:lineRule="exact"/>
              <w:rPr>
                <w:rFonts w:hint="default" w:ascii="Times New Roman" w:hAnsi="Times New Roman" w:eastAsia="宋体" w:cs="Times New Roman"/>
                <w:szCs w:val="21"/>
                <w:u w:val="single"/>
              </w:rPr>
            </w:pP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rPr>
              <w:t>天（</w:t>
            </w:r>
            <w:r>
              <w:rPr>
                <w:rFonts w:hint="default" w:ascii="Times New Roman" w:hAnsi="Times New Roman" w:eastAsia="宋体" w:cs="Times New Roman"/>
                <w:b/>
                <w:szCs w:val="21"/>
              </w:rPr>
              <w:t>★</w:t>
            </w:r>
            <w:r>
              <w:rPr>
                <w:rFonts w:hint="default" w:ascii="Times New Roman" w:hAnsi="Times New Roman" w:eastAsia="宋体" w:cs="Times New Roman"/>
                <w:szCs w:val="21"/>
              </w:rPr>
              <w:t>不超过30天）</w:t>
            </w:r>
          </w:p>
        </w:tc>
      </w:tr>
      <w:tr w14:paraId="6B2D5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831" w:type="dxa"/>
            <w:vAlign w:val="center"/>
          </w:tcPr>
          <w:p w14:paraId="736775F1">
            <w:pPr>
              <w:spacing w:line="400" w:lineRule="exact"/>
              <w:jc w:val="center"/>
              <w:rPr>
                <w:rFonts w:hint="default" w:ascii="Times New Roman" w:hAnsi="Times New Roman" w:eastAsia="宋体" w:cs="Times New Roman"/>
                <w:color w:val="000000"/>
              </w:rPr>
            </w:pPr>
            <w:r>
              <w:rPr>
                <w:rFonts w:hint="default" w:ascii="Times New Roman" w:hAnsi="Times New Roman" w:eastAsia="宋体" w:cs="Times New Roman"/>
                <w:color w:val="000000"/>
              </w:rPr>
              <w:t>交货地点</w:t>
            </w:r>
          </w:p>
        </w:tc>
        <w:tc>
          <w:tcPr>
            <w:tcW w:w="8632" w:type="dxa"/>
            <w:gridSpan w:val="6"/>
            <w:vAlign w:val="center"/>
          </w:tcPr>
          <w:p w14:paraId="53F24448">
            <w:pPr>
              <w:widowControl/>
              <w:spacing w:line="400" w:lineRule="exact"/>
              <w:rPr>
                <w:rFonts w:hint="default" w:ascii="Times New Roman" w:hAnsi="Times New Roman" w:eastAsia="宋体" w:cs="Times New Roman"/>
                <w:szCs w:val="21"/>
              </w:rPr>
            </w:pPr>
            <w:r>
              <w:rPr>
                <w:rFonts w:hint="default" w:ascii="Times New Roman" w:hAnsi="Times New Roman" w:eastAsia="宋体" w:cs="Times New Roman"/>
                <w:szCs w:val="21"/>
              </w:rPr>
              <w:t>招标人指定地点</w:t>
            </w:r>
          </w:p>
        </w:tc>
      </w:tr>
      <w:tr w14:paraId="1D8E9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831" w:type="dxa"/>
            <w:vAlign w:val="center"/>
          </w:tcPr>
          <w:p w14:paraId="5A6C2F31">
            <w:pPr>
              <w:spacing w:line="400" w:lineRule="exact"/>
              <w:jc w:val="center"/>
              <w:rPr>
                <w:rFonts w:hint="default" w:ascii="Times New Roman" w:hAnsi="Times New Roman" w:eastAsia="宋体" w:cs="Times New Roman"/>
                <w:color w:val="000000"/>
              </w:rPr>
            </w:pPr>
            <w:r>
              <w:rPr>
                <w:rFonts w:hint="default" w:ascii="Times New Roman" w:hAnsi="Times New Roman" w:eastAsia="宋体" w:cs="Times New Roman"/>
                <w:color w:val="000000"/>
              </w:rPr>
              <w:t>免费包修期</w:t>
            </w:r>
          </w:p>
        </w:tc>
        <w:tc>
          <w:tcPr>
            <w:tcW w:w="8632" w:type="dxa"/>
            <w:gridSpan w:val="6"/>
            <w:vAlign w:val="center"/>
          </w:tcPr>
          <w:p w14:paraId="7C03A2F4">
            <w:pPr>
              <w:widowControl/>
              <w:spacing w:line="400" w:lineRule="exact"/>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自初验通过之日起</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rPr>
              <w:t>年（</w:t>
            </w:r>
            <w:r>
              <w:rPr>
                <w:rFonts w:hint="default" w:ascii="Times New Roman" w:hAnsi="Times New Roman" w:eastAsia="宋体" w:cs="Times New Roman"/>
                <w:b/>
                <w:szCs w:val="21"/>
              </w:rPr>
              <w:t>★</w:t>
            </w:r>
            <w:r>
              <w:rPr>
                <w:rFonts w:hint="default" w:ascii="Times New Roman" w:hAnsi="Times New Roman" w:eastAsia="宋体" w:cs="Times New Roman"/>
                <w:szCs w:val="21"/>
              </w:rPr>
              <w:t>不少于5年）</w:t>
            </w:r>
          </w:p>
        </w:tc>
      </w:tr>
      <w:tr w14:paraId="1536D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1831" w:type="dxa"/>
            <w:vAlign w:val="center"/>
          </w:tcPr>
          <w:p w14:paraId="565F38DB">
            <w:pPr>
              <w:spacing w:line="400" w:lineRule="exact"/>
              <w:jc w:val="center"/>
              <w:rPr>
                <w:rFonts w:hint="default" w:ascii="Times New Roman" w:hAnsi="Times New Roman" w:eastAsia="宋体" w:cs="Times New Roman"/>
                <w:color w:val="000000"/>
              </w:rPr>
            </w:pPr>
            <w:r>
              <w:rPr>
                <w:rFonts w:hint="default" w:ascii="Times New Roman" w:hAnsi="Times New Roman" w:eastAsia="宋体" w:cs="Times New Roman"/>
                <w:color w:val="000000"/>
              </w:rPr>
              <w:t>包修期内的服务内容</w:t>
            </w:r>
          </w:p>
        </w:tc>
        <w:tc>
          <w:tcPr>
            <w:tcW w:w="8632" w:type="dxa"/>
            <w:gridSpan w:val="6"/>
            <w:vAlign w:val="center"/>
          </w:tcPr>
          <w:p w14:paraId="1E15056C">
            <w:pPr>
              <w:widowControl/>
              <w:spacing w:line="400" w:lineRule="exact"/>
              <w:rPr>
                <w:rFonts w:hint="default" w:ascii="Times New Roman" w:hAnsi="Times New Roman" w:eastAsia="宋体" w:cs="Times New Roman"/>
                <w:color w:val="000000"/>
                <w:szCs w:val="21"/>
                <w:u w:val="single"/>
              </w:rPr>
            </w:pPr>
            <w:r>
              <w:rPr>
                <w:rFonts w:hint="default" w:ascii="Times New Roman" w:hAnsi="Times New Roman" w:eastAsia="宋体" w:cs="Times New Roman"/>
                <w:color w:val="000000"/>
              </w:rPr>
              <w:t>招标文件第五章《技术及服务要求》中所有要求的内容，</w:t>
            </w:r>
            <w:r>
              <w:rPr>
                <w:rFonts w:hint="default" w:ascii="Times New Roman" w:hAnsi="Times New Roman" w:eastAsia="宋体" w:cs="Times New Roman"/>
                <w:szCs w:val="21"/>
              </w:rPr>
              <w:t>以及：</w:t>
            </w:r>
            <w:r>
              <w:rPr>
                <w:rFonts w:hint="default" w:ascii="Times New Roman" w:hAnsi="Times New Roman" w:eastAsia="宋体" w:cs="Times New Roman"/>
                <w:color w:val="000000"/>
                <w:szCs w:val="21"/>
                <w:u w:val="single"/>
              </w:rPr>
              <w:t xml:space="preserve">       </w:t>
            </w:r>
          </w:p>
          <w:p w14:paraId="3E37D7E6">
            <w:pPr>
              <w:spacing w:line="400" w:lineRule="exact"/>
              <w:rPr>
                <w:rFonts w:hint="default" w:ascii="Times New Roman" w:hAnsi="Times New Roman" w:eastAsia="宋体" w:cs="Times New Roman"/>
                <w:color w:val="000000"/>
                <w:szCs w:val="21"/>
                <w:u w:val="single"/>
              </w:rPr>
            </w:pPr>
            <w:r>
              <w:rPr>
                <w:rFonts w:hint="default" w:ascii="Times New Roman" w:hAnsi="Times New Roman" w:eastAsia="宋体" w:cs="Times New Roman"/>
                <w:color w:val="000000"/>
                <w:szCs w:val="21"/>
                <w:u w:val="single"/>
              </w:rPr>
              <w:t xml:space="preserve">                                                               </w:t>
            </w:r>
          </w:p>
        </w:tc>
      </w:tr>
      <w:tr w14:paraId="0ECA8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831" w:type="dxa"/>
            <w:vAlign w:val="center"/>
          </w:tcPr>
          <w:p w14:paraId="455C7211">
            <w:pPr>
              <w:spacing w:line="400" w:lineRule="exact"/>
              <w:jc w:val="center"/>
              <w:rPr>
                <w:rFonts w:hint="default" w:ascii="Times New Roman" w:hAnsi="Times New Roman" w:eastAsia="宋体" w:cs="Times New Roman"/>
                <w:color w:val="000000"/>
              </w:rPr>
            </w:pPr>
            <w:r>
              <w:rPr>
                <w:rFonts w:hint="default" w:ascii="Times New Roman" w:hAnsi="Times New Roman" w:eastAsia="宋体" w:cs="Times New Roman"/>
                <w:color w:val="000000"/>
              </w:rPr>
              <w:t>包修期满后的服务价格</w:t>
            </w:r>
          </w:p>
        </w:tc>
        <w:tc>
          <w:tcPr>
            <w:tcW w:w="8632" w:type="dxa"/>
            <w:gridSpan w:val="6"/>
            <w:vAlign w:val="center"/>
          </w:tcPr>
          <w:p w14:paraId="0690D5F0">
            <w:pPr>
              <w:widowControl/>
              <w:spacing w:line="400" w:lineRule="exact"/>
              <w:rPr>
                <w:rFonts w:hint="default" w:ascii="Times New Roman" w:hAnsi="Times New Roman" w:eastAsia="宋体" w:cs="Times New Roman"/>
                <w:szCs w:val="21"/>
              </w:rPr>
            </w:pPr>
            <w:r>
              <w:rPr>
                <w:rFonts w:hint="default" w:ascii="Times New Roman" w:hAnsi="Times New Roman" w:eastAsia="宋体" w:cs="Times New Roman"/>
                <w:color w:val="000000" w:themeColor="text1"/>
                <w:szCs w:val="21"/>
                <w14:textFill>
                  <w14:solidFill>
                    <w14:schemeClr w14:val="tx1"/>
                  </w14:solidFill>
                </w14:textFill>
              </w:rPr>
              <w:t>维保价格：</w:t>
            </w:r>
            <w:r>
              <w:rPr>
                <w:rFonts w:hint="default" w:ascii="Times New Roman" w:hAnsi="Times New Roman" w:eastAsia="宋体" w:cs="Times New Roman"/>
                <w:color w:val="000000" w:themeColor="text1"/>
                <w:szCs w:val="21"/>
                <w:u w:val="single"/>
                <w14:textFill>
                  <w14:solidFill>
                    <w14:schemeClr w14:val="tx1"/>
                  </w14:solidFill>
                </w14:textFill>
              </w:rPr>
              <w:t xml:space="preserve">      </w:t>
            </w:r>
            <w:r>
              <w:rPr>
                <w:rFonts w:hint="default" w:ascii="Times New Roman" w:hAnsi="Times New Roman" w:eastAsia="宋体" w:cs="Times New Roman"/>
                <w:color w:val="000000" w:themeColor="text1"/>
                <w:szCs w:val="21"/>
                <w14:textFill>
                  <w14:solidFill>
                    <w14:schemeClr w14:val="tx1"/>
                  </w14:solidFill>
                </w14:textFill>
              </w:rPr>
              <w:t>%（</w:t>
            </w:r>
            <w:r>
              <w:rPr>
                <w:rFonts w:hint="default" w:ascii="Times New Roman" w:hAnsi="Times New Roman" w:eastAsia="宋体" w:cs="Times New Roman"/>
                <w:b/>
                <w:color w:val="000000" w:themeColor="text1"/>
                <w:szCs w:val="21"/>
                <w14:textFill>
                  <w14:solidFill>
                    <w14:schemeClr w14:val="tx1"/>
                  </w14:solidFill>
                </w14:textFill>
              </w:rPr>
              <w:t>★</w:t>
            </w:r>
            <w:r>
              <w:rPr>
                <w:rFonts w:hint="default" w:ascii="Times New Roman" w:hAnsi="Times New Roman" w:eastAsia="宋体" w:cs="Times New Roman"/>
                <w:color w:val="000000" w:themeColor="text1"/>
                <w:szCs w:val="21"/>
                <w14:textFill>
                  <w14:solidFill>
                    <w14:schemeClr w14:val="tx1"/>
                  </w14:solidFill>
                </w14:textFill>
              </w:rPr>
              <w:t>年</w:t>
            </w:r>
            <w:r>
              <w:rPr>
                <w:rFonts w:hint="default" w:ascii="Times New Roman" w:hAnsi="Times New Roman" w:eastAsia="宋体" w:cs="Times New Roman"/>
                <w:szCs w:val="21"/>
              </w:rPr>
              <w:t>维保费用不得高于合同价格的5%）</w:t>
            </w:r>
          </w:p>
          <w:p w14:paraId="140A82A9">
            <w:pPr>
              <w:spacing w:line="400" w:lineRule="exact"/>
              <w:rPr>
                <w:rFonts w:hint="default" w:ascii="Times New Roman" w:hAnsi="Times New Roman" w:eastAsia="宋体" w:cs="Times New Roman"/>
                <w:szCs w:val="21"/>
              </w:rPr>
            </w:pPr>
            <w:r>
              <w:rPr>
                <w:rFonts w:hint="default" w:ascii="Times New Roman" w:hAnsi="Times New Roman" w:eastAsia="宋体" w:cs="Times New Roman"/>
                <w:szCs w:val="21"/>
              </w:rPr>
              <w:t>包含内容：</w:t>
            </w:r>
            <w:r>
              <w:rPr>
                <w:rFonts w:hint="default" w:ascii="Times New Roman" w:hAnsi="Times New Roman" w:eastAsia="宋体" w:cs="Times New Roman"/>
                <w:szCs w:val="21"/>
                <w:u w:val="single"/>
              </w:rPr>
              <w:t xml:space="preserve">按照包修期内的服务内容   </w:t>
            </w:r>
          </w:p>
        </w:tc>
      </w:tr>
      <w:tr w14:paraId="7825D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831" w:type="dxa"/>
            <w:vAlign w:val="center"/>
          </w:tcPr>
          <w:p w14:paraId="415D2BB2">
            <w:pPr>
              <w:spacing w:line="400" w:lineRule="exact"/>
              <w:jc w:val="center"/>
              <w:rPr>
                <w:rFonts w:hint="default" w:ascii="Times New Roman" w:hAnsi="Times New Roman" w:eastAsia="宋体" w:cs="Times New Roman"/>
                <w:color w:val="000000"/>
                <w:u w:val="single"/>
              </w:rPr>
            </w:pPr>
            <w:r>
              <w:rPr>
                <w:rFonts w:hint="default" w:ascii="Times New Roman" w:hAnsi="Times New Roman" w:eastAsia="宋体" w:cs="Times New Roman"/>
                <w:color w:val="000000"/>
              </w:rPr>
              <w:t>备注</w:t>
            </w:r>
          </w:p>
        </w:tc>
        <w:tc>
          <w:tcPr>
            <w:tcW w:w="8632" w:type="dxa"/>
            <w:gridSpan w:val="6"/>
            <w:vAlign w:val="center"/>
          </w:tcPr>
          <w:p w14:paraId="1A237DE4">
            <w:pPr>
              <w:spacing w:line="400" w:lineRule="exact"/>
              <w:rPr>
                <w:rFonts w:hint="default" w:ascii="Times New Roman" w:hAnsi="Times New Roman" w:eastAsia="宋体" w:cs="Times New Roman"/>
                <w:color w:val="000000"/>
              </w:rPr>
            </w:pPr>
          </w:p>
        </w:tc>
      </w:tr>
    </w:tbl>
    <w:p w14:paraId="5F7A968A">
      <w:pPr>
        <w:pStyle w:val="2"/>
        <w:rPr>
          <w:rFonts w:hint="default" w:ascii="Times New Roman" w:hAnsi="Times New Roman" w:eastAsia="宋体" w:cs="Times New Roman"/>
        </w:rPr>
      </w:pPr>
      <w:r>
        <w:rPr>
          <w:rFonts w:hint="default" w:ascii="Times New Roman" w:hAnsi="Times New Roman" w:eastAsia="宋体" w:cs="Times New Roman"/>
        </w:rPr>
        <w:tab/>
      </w:r>
      <w:bookmarkStart w:id="27" w:name="_GoBack"/>
      <w:bookmarkEnd w:id="27"/>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40388E"/>
    <w:multiLevelType w:val="multilevel"/>
    <w:tmpl w:val="0440388E"/>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
    <w:nsid w:val="512D7E78"/>
    <w:multiLevelType w:val="multilevel"/>
    <w:tmpl w:val="512D7E78"/>
    <w:lvl w:ilvl="0" w:tentative="0">
      <w:start w:val="1"/>
      <w:numFmt w:val="bullet"/>
      <w:lvlText w:val=""/>
      <w:lvlJc w:val="left"/>
      <w:pPr>
        <w:ind w:left="1271" w:hanging="420"/>
      </w:pPr>
      <w:rPr>
        <w:rFonts w:hint="default" w:ascii="Wingdings" w:hAnsi="Wingdings"/>
      </w:rPr>
    </w:lvl>
    <w:lvl w:ilvl="1" w:tentative="0">
      <w:start w:val="1"/>
      <w:numFmt w:val="bullet"/>
      <w:lvlText w:val=""/>
      <w:lvlJc w:val="left"/>
      <w:pPr>
        <w:ind w:left="1691" w:hanging="420"/>
      </w:pPr>
      <w:rPr>
        <w:rFonts w:hint="default" w:ascii="Wingdings" w:hAnsi="Wingdings"/>
      </w:rPr>
    </w:lvl>
    <w:lvl w:ilvl="2" w:tentative="0">
      <w:start w:val="1"/>
      <w:numFmt w:val="bullet"/>
      <w:lvlText w:val=""/>
      <w:lvlJc w:val="left"/>
      <w:pPr>
        <w:ind w:left="2111" w:hanging="420"/>
      </w:pPr>
      <w:rPr>
        <w:rFonts w:hint="default" w:ascii="Wingdings" w:hAnsi="Wingdings"/>
      </w:rPr>
    </w:lvl>
    <w:lvl w:ilvl="3" w:tentative="0">
      <w:start w:val="1"/>
      <w:numFmt w:val="bullet"/>
      <w:lvlText w:val=""/>
      <w:lvlJc w:val="left"/>
      <w:pPr>
        <w:ind w:left="2531" w:hanging="420"/>
      </w:pPr>
      <w:rPr>
        <w:rFonts w:hint="default" w:ascii="Wingdings" w:hAnsi="Wingdings"/>
      </w:rPr>
    </w:lvl>
    <w:lvl w:ilvl="4" w:tentative="0">
      <w:start w:val="1"/>
      <w:numFmt w:val="bullet"/>
      <w:lvlText w:val=""/>
      <w:lvlJc w:val="left"/>
      <w:pPr>
        <w:ind w:left="2951" w:hanging="420"/>
      </w:pPr>
      <w:rPr>
        <w:rFonts w:hint="default" w:ascii="Wingdings" w:hAnsi="Wingdings"/>
      </w:rPr>
    </w:lvl>
    <w:lvl w:ilvl="5" w:tentative="0">
      <w:start w:val="1"/>
      <w:numFmt w:val="bullet"/>
      <w:lvlText w:val=""/>
      <w:lvlJc w:val="left"/>
      <w:pPr>
        <w:ind w:left="3371" w:hanging="420"/>
      </w:pPr>
      <w:rPr>
        <w:rFonts w:hint="default" w:ascii="Wingdings" w:hAnsi="Wingdings"/>
      </w:rPr>
    </w:lvl>
    <w:lvl w:ilvl="6" w:tentative="0">
      <w:start w:val="1"/>
      <w:numFmt w:val="bullet"/>
      <w:lvlText w:val=""/>
      <w:lvlJc w:val="left"/>
      <w:pPr>
        <w:ind w:left="3791" w:hanging="420"/>
      </w:pPr>
      <w:rPr>
        <w:rFonts w:hint="default" w:ascii="Wingdings" w:hAnsi="Wingdings"/>
      </w:rPr>
    </w:lvl>
    <w:lvl w:ilvl="7" w:tentative="0">
      <w:start w:val="1"/>
      <w:numFmt w:val="bullet"/>
      <w:lvlText w:val=""/>
      <w:lvlJc w:val="left"/>
      <w:pPr>
        <w:ind w:left="4211" w:hanging="420"/>
      </w:pPr>
      <w:rPr>
        <w:rFonts w:hint="default" w:ascii="Wingdings" w:hAnsi="Wingdings"/>
      </w:rPr>
    </w:lvl>
    <w:lvl w:ilvl="8" w:tentative="0">
      <w:start w:val="1"/>
      <w:numFmt w:val="bullet"/>
      <w:lvlText w:val=""/>
      <w:lvlJc w:val="left"/>
      <w:pPr>
        <w:ind w:left="4631" w:hanging="420"/>
      </w:pPr>
      <w:rPr>
        <w:rFonts w:hint="default" w:ascii="Wingdings" w:hAnsi="Wingdings"/>
      </w:rPr>
    </w:lvl>
  </w:abstractNum>
  <w:abstractNum w:abstractNumId="2">
    <w:nsid w:val="648F044E"/>
    <w:multiLevelType w:val="multilevel"/>
    <w:tmpl w:val="648F044E"/>
    <w:lvl w:ilvl="0" w:tentative="0">
      <w:start w:val="1"/>
      <w:numFmt w:val="decimal"/>
      <w:lvlText w:val="%1)"/>
      <w:lvlJc w:val="left"/>
      <w:pPr>
        <w:ind w:left="420" w:hanging="420"/>
      </w:pPr>
      <w:rPr>
        <w:rFonts w:hint="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8DE"/>
    <w:rsid w:val="000B6DE9"/>
    <w:rsid w:val="001D473C"/>
    <w:rsid w:val="001F284E"/>
    <w:rsid w:val="002838F9"/>
    <w:rsid w:val="002E38DE"/>
    <w:rsid w:val="00312D34"/>
    <w:rsid w:val="004313E1"/>
    <w:rsid w:val="004455B6"/>
    <w:rsid w:val="00522FB7"/>
    <w:rsid w:val="00525D04"/>
    <w:rsid w:val="005C0FAD"/>
    <w:rsid w:val="00742809"/>
    <w:rsid w:val="00762BA5"/>
    <w:rsid w:val="0089376C"/>
    <w:rsid w:val="00B36AFB"/>
    <w:rsid w:val="00BC637D"/>
    <w:rsid w:val="00D51F59"/>
    <w:rsid w:val="00D812D3"/>
    <w:rsid w:val="00E545BC"/>
    <w:rsid w:val="00F8661F"/>
    <w:rsid w:val="21354A25"/>
    <w:rsid w:val="25E22033"/>
    <w:rsid w:val="276D3E34"/>
    <w:rsid w:val="3FFF2A05"/>
    <w:rsid w:val="527E0713"/>
    <w:rsid w:val="5FEF7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heme="minorHAnsi" w:hAnsiTheme="minorHAnsi" w:eastAsiaTheme="minorEastAsia" w:cstheme="minorBidi"/>
      <w:kern w:val="2"/>
      <w:sz w:val="21"/>
      <w:szCs w:val="22"/>
      <w:lang w:val="en-US" w:eastAsia="zh-CN" w:bidi="ar-SA"/>
      <w14:ligatures w14:val="none"/>
    </w:rPr>
  </w:style>
  <w:style w:type="paragraph" w:styleId="3">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4">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5">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6">
    <w:name w:val="heading 4"/>
    <w:basedOn w:val="1"/>
    <w:next w:val="1"/>
    <w:link w:val="22"/>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7">
    <w:name w:val="heading 5"/>
    <w:basedOn w:val="1"/>
    <w:next w:val="1"/>
    <w:link w:val="23"/>
    <w:semiHidden/>
    <w:unhideWhenUsed/>
    <w:qFormat/>
    <w:uiPriority w:val="9"/>
    <w:pPr>
      <w:keepNext/>
      <w:keepLines/>
      <w:spacing w:before="80" w:after="40"/>
      <w:outlineLvl w:val="4"/>
    </w:pPr>
    <w:rPr>
      <w:rFonts w:cstheme="majorBidi"/>
      <w:color w:val="2F5597" w:themeColor="accent1" w:themeShade="BF"/>
      <w:sz w:val="24"/>
    </w:rPr>
  </w:style>
  <w:style w:type="paragraph" w:styleId="8">
    <w:name w:val="heading 6"/>
    <w:basedOn w:val="1"/>
    <w:next w:val="1"/>
    <w:link w:val="24"/>
    <w:semiHidden/>
    <w:unhideWhenUsed/>
    <w:qFormat/>
    <w:uiPriority w:val="9"/>
    <w:pPr>
      <w:keepNext/>
      <w:keepLines/>
      <w:spacing w:before="40"/>
      <w:outlineLvl w:val="5"/>
    </w:pPr>
    <w:rPr>
      <w:rFonts w:cstheme="majorBidi"/>
      <w:b/>
      <w:bCs/>
      <w:color w:val="2F5597" w:themeColor="accent1" w:themeShade="BF"/>
    </w:rPr>
  </w:style>
  <w:style w:type="paragraph" w:styleId="9">
    <w:name w:val="heading 7"/>
    <w:basedOn w:val="1"/>
    <w:next w:val="1"/>
    <w:link w:val="25"/>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26"/>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1">
    <w:name w:val="heading 9"/>
    <w:basedOn w:val="1"/>
    <w:next w:val="1"/>
    <w:link w:val="27"/>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39"/>
    <w:unhideWhenUsed/>
    <w:qFormat/>
    <w:uiPriority w:val="99"/>
    <w:pPr>
      <w:spacing w:after="120"/>
    </w:pPr>
  </w:style>
  <w:style w:type="paragraph" w:styleId="12">
    <w:name w:val="footer"/>
    <w:basedOn w:val="1"/>
    <w:link w:val="38"/>
    <w:unhideWhenUsed/>
    <w:qFormat/>
    <w:uiPriority w:val="99"/>
    <w:pPr>
      <w:tabs>
        <w:tab w:val="center" w:pos="4153"/>
        <w:tab w:val="right" w:pos="8306"/>
      </w:tabs>
      <w:snapToGrid w:val="0"/>
    </w:pPr>
    <w:rPr>
      <w:sz w:val="18"/>
      <w:szCs w:val="18"/>
    </w:rPr>
  </w:style>
  <w:style w:type="paragraph" w:styleId="13">
    <w:name w:val="header"/>
    <w:basedOn w:val="1"/>
    <w:link w:val="37"/>
    <w:unhideWhenUsed/>
    <w:qFormat/>
    <w:uiPriority w:val="99"/>
    <w:pPr>
      <w:tabs>
        <w:tab w:val="center" w:pos="4153"/>
        <w:tab w:val="right" w:pos="8306"/>
      </w:tabs>
      <w:snapToGrid w:val="0"/>
      <w:jc w:val="center"/>
    </w:pPr>
    <w:rPr>
      <w:sz w:val="18"/>
      <w:szCs w:val="18"/>
    </w:rPr>
  </w:style>
  <w:style w:type="paragraph" w:styleId="14">
    <w:name w:val="Subtitle"/>
    <w:basedOn w:val="1"/>
    <w:next w:val="1"/>
    <w:link w:val="29"/>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Body Text 2"/>
    <w:basedOn w:val="1"/>
    <w:link w:val="40"/>
    <w:unhideWhenUsed/>
    <w:qFormat/>
    <w:uiPriority w:val="99"/>
    <w:pPr>
      <w:spacing w:after="120" w:line="480" w:lineRule="auto"/>
    </w:pPr>
  </w:style>
  <w:style w:type="paragraph" w:styleId="16">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9">
    <w:name w:val="标题 1 字符"/>
    <w:basedOn w:val="18"/>
    <w:link w:val="3"/>
    <w:qFormat/>
    <w:uiPriority w:val="9"/>
    <w:rPr>
      <w:rFonts w:asciiTheme="majorHAnsi" w:hAnsiTheme="majorHAnsi" w:eastAsiaTheme="majorEastAsia" w:cstheme="majorBidi"/>
      <w:color w:val="2F5597" w:themeColor="accent1" w:themeShade="BF"/>
      <w:sz w:val="48"/>
      <w:szCs w:val="48"/>
    </w:rPr>
  </w:style>
  <w:style w:type="character" w:customStyle="1" w:styleId="20">
    <w:name w:val="标题 2 字符"/>
    <w:basedOn w:val="18"/>
    <w:link w:val="4"/>
    <w:semiHidden/>
    <w:qFormat/>
    <w:uiPriority w:val="9"/>
    <w:rPr>
      <w:rFonts w:asciiTheme="majorHAnsi" w:hAnsiTheme="majorHAnsi" w:eastAsiaTheme="majorEastAsia" w:cstheme="majorBidi"/>
      <w:color w:val="2F5597" w:themeColor="accent1" w:themeShade="BF"/>
      <w:sz w:val="40"/>
      <w:szCs w:val="40"/>
    </w:rPr>
  </w:style>
  <w:style w:type="character" w:customStyle="1" w:styleId="21">
    <w:name w:val="标题 3 字符"/>
    <w:basedOn w:val="18"/>
    <w:link w:val="5"/>
    <w:semiHidden/>
    <w:qFormat/>
    <w:uiPriority w:val="9"/>
    <w:rPr>
      <w:rFonts w:asciiTheme="majorHAnsi" w:hAnsiTheme="majorHAnsi" w:eastAsiaTheme="majorEastAsia" w:cstheme="majorBidi"/>
      <w:color w:val="2F5597" w:themeColor="accent1" w:themeShade="BF"/>
      <w:sz w:val="32"/>
      <w:szCs w:val="32"/>
    </w:rPr>
  </w:style>
  <w:style w:type="character" w:customStyle="1" w:styleId="22">
    <w:name w:val="标题 4 字符"/>
    <w:basedOn w:val="18"/>
    <w:link w:val="6"/>
    <w:semiHidden/>
    <w:uiPriority w:val="9"/>
    <w:rPr>
      <w:rFonts w:cstheme="majorBidi"/>
      <w:color w:val="2F5597" w:themeColor="accent1" w:themeShade="BF"/>
      <w:sz w:val="28"/>
      <w:szCs w:val="28"/>
    </w:rPr>
  </w:style>
  <w:style w:type="character" w:customStyle="1" w:styleId="23">
    <w:name w:val="标题 5 字符"/>
    <w:basedOn w:val="18"/>
    <w:link w:val="7"/>
    <w:semiHidden/>
    <w:qFormat/>
    <w:uiPriority w:val="9"/>
    <w:rPr>
      <w:rFonts w:cstheme="majorBidi"/>
      <w:color w:val="2F5597" w:themeColor="accent1" w:themeShade="BF"/>
      <w:sz w:val="24"/>
    </w:rPr>
  </w:style>
  <w:style w:type="character" w:customStyle="1" w:styleId="24">
    <w:name w:val="标题 6 字符"/>
    <w:basedOn w:val="18"/>
    <w:link w:val="8"/>
    <w:semiHidden/>
    <w:uiPriority w:val="9"/>
    <w:rPr>
      <w:rFonts w:cstheme="majorBidi"/>
      <w:b/>
      <w:bCs/>
      <w:color w:val="2F5597" w:themeColor="accent1" w:themeShade="BF"/>
    </w:rPr>
  </w:style>
  <w:style w:type="character" w:customStyle="1" w:styleId="25">
    <w:name w:val="标题 7 字符"/>
    <w:basedOn w:val="18"/>
    <w:link w:val="9"/>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8"/>
    <w:link w:val="10"/>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8"/>
    <w:link w:val="11"/>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8"/>
    <w:link w:val="16"/>
    <w:uiPriority w:val="10"/>
    <w:rPr>
      <w:rFonts w:asciiTheme="majorHAnsi" w:hAnsiTheme="majorHAnsi" w:eastAsiaTheme="majorEastAsia" w:cstheme="majorBidi"/>
      <w:spacing w:val="-10"/>
      <w:kern w:val="28"/>
      <w:sz w:val="56"/>
      <w:szCs w:val="56"/>
    </w:rPr>
  </w:style>
  <w:style w:type="character" w:customStyle="1" w:styleId="29">
    <w:name w:val="副标题 字符"/>
    <w:basedOn w:val="18"/>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字符"/>
    <w:basedOn w:val="18"/>
    <w:link w:val="30"/>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link w:val="41"/>
    <w:qFormat/>
    <w:uiPriority w:val="34"/>
    <w:pPr>
      <w:ind w:left="720"/>
      <w:contextualSpacing/>
    </w:pPr>
  </w:style>
  <w:style w:type="character" w:customStyle="1" w:styleId="33">
    <w:name w:val="Intense Emphasis"/>
    <w:basedOn w:val="18"/>
    <w:qFormat/>
    <w:uiPriority w:val="21"/>
    <w:rPr>
      <w:i/>
      <w:iCs/>
      <w:color w:val="2F5597" w:themeColor="accent1" w:themeShade="BF"/>
    </w:rPr>
  </w:style>
  <w:style w:type="paragraph" w:styleId="34">
    <w:name w:val="Intense Quote"/>
    <w:basedOn w:val="1"/>
    <w:next w:val="1"/>
    <w:link w:val="35"/>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5">
    <w:name w:val="明显引用 字符"/>
    <w:basedOn w:val="18"/>
    <w:link w:val="34"/>
    <w:qFormat/>
    <w:uiPriority w:val="30"/>
    <w:rPr>
      <w:i/>
      <w:iCs/>
      <w:color w:val="2F5597" w:themeColor="accent1" w:themeShade="BF"/>
    </w:rPr>
  </w:style>
  <w:style w:type="character" w:customStyle="1" w:styleId="36">
    <w:name w:val="Intense Reference"/>
    <w:basedOn w:val="18"/>
    <w:qFormat/>
    <w:uiPriority w:val="32"/>
    <w:rPr>
      <w:b/>
      <w:bCs/>
      <w:smallCaps/>
      <w:color w:val="2F5597" w:themeColor="accent1" w:themeShade="BF"/>
      <w:spacing w:val="5"/>
    </w:rPr>
  </w:style>
  <w:style w:type="character" w:customStyle="1" w:styleId="37">
    <w:name w:val="页眉 字符"/>
    <w:basedOn w:val="18"/>
    <w:link w:val="13"/>
    <w:qFormat/>
    <w:uiPriority w:val="99"/>
    <w:rPr>
      <w:sz w:val="18"/>
      <w:szCs w:val="18"/>
    </w:rPr>
  </w:style>
  <w:style w:type="character" w:customStyle="1" w:styleId="38">
    <w:name w:val="页脚 字符"/>
    <w:basedOn w:val="18"/>
    <w:link w:val="12"/>
    <w:uiPriority w:val="99"/>
    <w:rPr>
      <w:sz w:val="18"/>
      <w:szCs w:val="18"/>
    </w:rPr>
  </w:style>
  <w:style w:type="character" w:customStyle="1" w:styleId="39">
    <w:name w:val="正文文本 字符"/>
    <w:basedOn w:val="18"/>
    <w:link w:val="2"/>
    <w:qFormat/>
    <w:uiPriority w:val="99"/>
    <w:rPr>
      <w:sz w:val="21"/>
      <w:szCs w:val="22"/>
      <w14:ligatures w14:val="none"/>
    </w:rPr>
  </w:style>
  <w:style w:type="character" w:customStyle="1" w:styleId="40">
    <w:name w:val="正文文本 2 字符"/>
    <w:basedOn w:val="18"/>
    <w:link w:val="15"/>
    <w:qFormat/>
    <w:uiPriority w:val="99"/>
    <w:rPr>
      <w:sz w:val="21"/>
      <w:szCs w:val="22"/>
      <w14:ligatures w14:val="none"/>
    </w:rPr>
  </w:style>
  <w:style w:type="character" w:customStyle="1" w:styleId="41">
    <w:name w:val="列表段落 字符"/>
    <w:link w:val="32"/>
    <w:qFormat/>
    <w:uiPriority w:val="34"/>
  </w:style>
  <w:style w:type="paragraph" w:customStyle="1" w:styleId="42">
    <w:name w:val="列出段落1"/>
    <w:basedOn w:val="1"/>
    <w:qFormat/>
    <w:uiPriority w:val="34"/>
    <w:pPr>
      <w:ind w:firstLine="420" w:firstLineChars="200"/>
    </w:pPr>
    <w:rPr>
      <w:rFonts w:ascii="楷体" w:hAnsi="楷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3E7F5-F827-473E-A05F-3B5E660B211A}">
  <ds:schemaRefs/>
</ds:datastoreItem>
</file>

<file path=docProps/app.xml><?xml version="1.0" encoding="utf-8"?>
<Properties xmlns="http://schemas.openxmlformats.org/officeDocument/2006/extended-properties" xmlns:vt="http://schemas.openxmlformats.org/officeDocument/2006/docPropsVTypes">
  <Template>Normal</Template>
  <Pages>7</Pages>
  <Words>4618</Words>
  <Characters>5346</Characters>
  <Lines>230</Lines>
  <Paragraphs>189</Paragraphs>
  <TotalTime>1</TotalTime>
  <ScaleCrop>false</ScaleCrop>
  <LinksUpToDate>false</LinksUpToDate>
  <CharactersWithSpaces>5510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2025-09-16T08:08:00Z</dcterms:created>
  <dc:creator>康 葛</dc:creator>
  <cp:lastModifiedBy>氨基酸</cp:lastModifiedBy>
  <dcterms:modified xsi:type="dcterms:W3CDTF">2025-09-17T09:05:06Z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eyJoZGlkIjoiNDZhOGFjZmY4ZmRkMTM2MWFiOGQ0NDM5NzgwMjc3M2UiLCJ1c2VySWQiOiI0NTA3NjkxOTYifQ==</vt:lpwstr>
  </property>
  <property fmtid="{D5CDD505-2E9C-101B-9397-08002B2CF9AE}" pid="3" name="KSOProductBuildVer">
    <vt:lpwstr>2052-12.1.0.22529</vt:lpwstr>
  </property>
  <property fmtid="{D5CDD505-2E9C-101B-9397-08002B2CF9AE}" pid="4" name="ICV">
    <vt:lpwstr>E455589ED5034FA78D1E8374A4F1ADF3_13</vt:lpwstr>
  </property>
</Properties>
</file>