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0F0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宋体" w:cs="Times New Roman"/>
          <w:b/>
          <w:bCs/>
          <w:kern w:val="44"/>
          <w:sz w:val="36"/>
          <w:szCs w:val="36"/>
          <w:u w:color="000000"/>
          <w:lang w:val="zh-TW"/>
        </w:rPr>
      </w:pPr>
      <w:r>
        <w:rPr>
          <w:rFonts w:hint="default" w:ascii="Times New Roman" w:hAnsi="Times New Roman" w:eastAsia="宋体" w:cs="Times New Roman"/>
          <w:b/>
          <w:bCs/>
          <w:kern w:val="44"/>
          <w:sz w:val="36"/>
          <w:szCs w:val="36"/>
          <w:u w:color="000000"/>
          <w:lang w:val="zh-TW"/>
        </w:rPr>
        <w:t>技术需求书</w:t>
      </w:r>
    </w:p>
    <w:p w14:paraId="2DE2ED6E">
      <w:pPr>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说明：技术需求书中带“★”部分为必须保证满足要求的条款。</w:t>
      </w:r>
    </w:p>
    <w:p w14:paraId="3A6349B5">
      <w:pPr>
        <w:keepNext w:val="0"/>
        <w:keepLines w:val="0"/>
        <w:pageBreakBefore w:val="0"/>
        <w:numPr>
          <w:ilvl w:val="0"/>
          <w:numId w:val="1"/>
        </w:numPr>
        <w:kinsoku/>
        <w:wordWrap/>
        <w:overflowPunct/>
        <w:topLinePunct w:val="0"/>
        <w:bidi w:val="0"/>
        <w:spacing w:line="360" w:lineRule="auto"/>
        <w:outlineLvl w:val="1"/>
        <w:rPr>
          <w:rFonts w:hint="default" w:ascii="Times New Roman" w:hAnsi="Times New Roman" w:eastAsia="黑体" w:cs="Times New Roman"/>
          <w:color w:val="000000" w:themeColor="text1"/>
          <w14:textFill>
            <w14:solidFill>
              <w14:schemeClr w14:val="tx1"/>
            </w14:solidFill>
          </w14:textFill>
        </w:rPr>
      </w:pPr>
      <w:bookmarkStart w:id="0" w:name="_Toc30846"/>
      <w:r>
        <w:rPr>
          <w:rFonts w:hint="default" w:ascii="Times New Roman" w:hAnsi="Times New Roman" w:eastAsia="黑体" w:cs="Times New Roman"/>
          <w:color w:val="000000" w:themeColor="text1"/>
          <w14:textFill>
            <w14:solidFill>
              <w14:schemeClr w14:val="tx1"/>
            </w14:solidFill>
          </w14:textFill>
        </w:rPr>
        <w:t>项目背景</w:t>
      </w:r>
      <w:bookmarkEnd w:id="0"/>
    </w:p>
    <w:p w14:paraId="05D3BB04">
      <w:pPr>
        <w:keepNext w:val="0"/>
        <w:keepLines w:val="0"/>
        <w:pageBreakBefore w:val="0"/>
        <w:widowControl/>
        <w:kinsoku/>
        <w:wordWrap/>
        <w:overflowPunct/>
        <w:topLinePunct w:val="0"/>
        <w:bidi w:val="0"/>
        <w:spacing w:line="360" w:lineRule="auto"/>
        <w:ind w:left="-2" w:leftChars="-1" w:firstLine="420" w:firstLineChars="200"/>
        <w:rPr>
          <w:rFonts w:hint="default" w:ascii="Times New Roman" w:hAnsi="Times New Roman" w:cs="Times New Roman"/>
          <w:bCs/>
          <w:szCs w:val="21"/>
        </w:rPr>
      </w:pPr>
      <w:r>
        <w:rPr>
          <w:rFonts w:hint="default" w:ascii="Times New Roman" w:hAnsi="Times New Roman" w:cs="Times New Roman"/>
          <w:bCs/>
          <w:szCs w:val="21"/>
        </w:rPr>
        <w:t>2009年江苏有线省市县三级播控平台建设启动，系统设备运行至今已超过15年。2020年曾开展全省包括30个区县在内的设备更新，但并未覆盖全省全量前端设备，仍有大量前端设备超期服役。</w:t>
      </w:r>
    </w:p>
    <w:p w14:paraId="056EAE28">
      <w:pPr>
        <w:keepNext w:val="0"/>
        <w:keepLines w:val="0"/>
        <w:pageBreakBefore w:val="0"/>
        <w:widowControl/>
        <w:kinsoku/>
        <w:wordWrap/>
        <w:overflowPunct/>
        <w:topLinePunct w:val="0"/>
        <w:bidi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bCs/>
          <w:szCs w:val="21"/>
        </w:rPr>
        <w:t>为配合公司各项业务高质量发展，保障安全播出，综合评估，计划更新地市区县目前在线使用、性能状态相对较差的16台复用设备机箱及部分板卡、20台射频调制设备。</w:t>
      </w:r>
    </w:p>
    <w:p w14:paraId="2DE97D26">
      <w:pPr>
        <w:keepNext w:val="0"/>
        <w:keepLines w:val="0"/>
        <w:pageBreakBefore w:val="0"/>
        <w:numPr>
          <w:ilvl w:val="0"/>
          <w:numId w:val="1"/>
        </w:numPr>
        <w:kinsoku/>
        <w:wordWrap/>
        <w:overflowPunct/>
        <w:topLinePunct w:val="0"/>
        <w:bidi w:val="0"/>
        <w:spacing w:line="360" w:lineRule="auto"/>
        <w:outlineLvl w:val="1"/>
        <w:rPr>
          <w:rFonts w:hint="default" w:ascii="Times New Roman" w:hAnsi="Times New Roman" w:eastAsia="黑体" w:cs="Times New Roman"/>
          <w:color w:val="000000" w:themeColor="text1"/>
          <w14:textFill>
            <w14:solidFill>
              <w14:schemeClr w14:val="tx1"/>
            </w14:solidFill>
          </w14:textFill>
        </w:rPr>
      </w:pPr>
      <w:bookmarkStart w:id="1" w:name="_Toc5060"/>
      <w:r>
        <w:rPr>
          <w:rFonts w:hint="default" w:ascii="Times New Roman" w:hAnsi="Times New Roman" w:eastAsia="黑体" w:cs="Times New Roman"/>
          <w:color w:val="000000" w:themeColor="text1"/>
          <w14:textFill>
            <w14:solidFill>
              <w14:schemeClr w14:val="tx1"/>
            </w14:solidFill>
          </w14:textFill>
        </w:rPr>
        <w:t>招标内容</w:t>
      </w:r>
      <w:bookmarkEnd w:id="1"/>
    </w:p>
    <w:p w14:paraId="454AAC9F">
      <w:pPr>
        <w:keepNext w:val="0"/>
        <w:keepLines w:val="0"/>
        <w:pageBreakBefore w:val="0"/>
        <w:kinsoku/>
        <w:wordWrap/>
        <w:overflowPunct/>
        <w:topLinePunct w:val="0"/>
        <w:bidi w:val="0"/>
        <w:adjustRightInd w:val="0"/>
        <w:snapToGrid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数字电视前端设备更新项目</w:t>
      </w:r>
      <w:r>
        <w:rPr>
          <w:rFonts w:hint="default" w:ascii="Times New Roman" w:hAnsi="Times New Roman" w:cs="Times New Roman"/>
          <w:color w:val="000000" w:themeColor="text1"/>
          <w:szCs w:val="21"/>
          <w14:textFill>
            <w14:solidFill>
              <w14:schemeClr w14:val="tx1"/>
            </w14:solidFill>
          </w14:textFill>
        </w:rPr>
        <w:t>采购内容包括：</w:t>
      </w:r>
    </w:p>
    <w:tbl>
      <w:tblPr>
        <w:tblStyle w:val="5"/>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3402"/>
        <w:gridCol w:w="709"/>
        <w:gridCol w:w="709"/>
        <w:gridCol w:w="2126"/>
      </w:tblGrid>
      <w:tr w14:paraId="3C64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1C628EC">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序号</w:t>
            </w:r>
          </w:p>
        </w:tc>
        <w:tc>
          <w:tcPr>
            <w:tcW w:w="1701" w:type="dxa"/>
            <w:vAlign w:val="center"/>
          </w:tcPr>
          <w:p w14:paraId="377CE18A">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采购内容</w:t>
            </w:r>
          </w:p>
        </w:tc>
        <w:tc>
          <w:tcPr>
            <w:tcW w:w="3402" w:type="dxa"/>
            <w:vAlign w:val="center"/>
          </w:tcPr>
          <w:p w14:paraId="6BA0A404">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用途描述</w:t>
            </w:r>
          </w:p>
        </w:tc>
        <w:tc>
          <w:tcPr>
            <w:tcW w:w="709" w:type="dxa"/>
            <w:vAlign w:val="center"/>
          </w:tcPr>
          <w:p w14:paraId="5E9B1E7A">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数量</w:t>
            </w:r>
          </w:p>
        </w:tc>
        <w:tc>
          <w:tcPr>
            <w:tcW w:w="709" w:type="dxa"/>
            <w:vAlign w:val="center"/>
          </w:tcPr>
          <w:p w14:paraId="1869F43C">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单位</w:t>
            </w:r>
          </w:p>
        </w:tc>
        <w:tc>
          <w:tcPr>
            <w:tcW w:w="2126" w:type="dxa"/>
            <w:vAlign w:val="center"/>
          </w:tcPr>
          <w:p w14:paraId="05A6BA39">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规格及备注</w:t>
            </w:r>
          </w:p>
        </w:tc>
      </w:tr>
      <w:tr w14:paraId="40B9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A1FDAC4">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1</w:t>
            </w:r>
          </w:p>
        </w:tc>
        <w:tc>
          <w:tcPr>
            <w:tcW w:w="1701" w:type="dxa"/>
            <w:vAlign w:val="center"/>
          </w:tcPr>
          <w:p w14:paraId="1EB0679D">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复用设备机箱</w:t>
            </w:r>
          </w:p>
        </w:tc>
        <w:tc>
          <w:tcPr>
            <w:tcW w:w="3402" w:type="dxa"/>
            <w:vMerge w:val="restart"/>
            <w:vAlign w:val="center"/>
          </w:tcPr>
          <w:p w14:paraId="1D458859">
            <w:pPr>
              <w:pStyle w:val="8"/>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市县直播系统节目核心复用加扰</w:t>
            </w:r>
          </w:p>
        </w:tc>
        <w:tc>
          <w:tcPr>
            <w:tcW w:w="709" w:type="dxa"/>
            <w:vAlign w:val="center"/>
          </w:tcPr>
          <w:p w14:paraId="12510DE9">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16</w:t>
            </w:r>
          </w:p>
        </w:tc>
        <w:tc>
          <w:tcPr>
            <w:tcW w:w="709" w:type="dxa"/>
            <w:vAlign w:val="center"/>
          </w:tcPr>
          <w:p w14:paraId="517DCB20">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台</w:t>
            </w:r>
          </w:p>
        </w:tc>
        <w:tc>
          <w:tcPr>
            <w:tcW w:w="2126" w:type="dxa"/>
            <w:vAlign w:val="center"/>
          </w:tcPr>
          <w:p w14:paraId="39EF9C59">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详见技术需求书</w:t>
            </w:r>
          </w:p>
        </w:tc>
      </w:tr>
      <w:tr w14:paraId="297F9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38B56EB">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2</w:t>
            </w:r>
          </w:p>
        </w:tc>
        <w:tc>
          <w:tcPr>
            <w:tcW w:w="1701" w:type="dxa"/>
            <w:vAlign w:val="center"/>
          </w:tcPr>
          <w:p w14:paraId="3ED74FDA">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10GE板卡</w:t>
            </w:r>
          </w:p>
        </w:tc>
        <w:tc>
          <w:tcPr>
            <w:tcW w:w="3402" w:type="dxa"/>
            <w:vMerge w:val="continue"/>
            <w:vAlign w:val="center"/>
          </w:tcPr>
          <w:p w14:paraId="23212E1D">
            <w:pPr>
              <w:pStyle w:val="8"/>
              <w:keepNext w:val="0"/>
              <w:keepLines w:val="0"/>
              <w:pageBreakBefore w:val="0"/>
              <w:kinsoku/>
              <w:wordWrap/>
              <w:overflowPunct/>
              <w:topLinePunct w:val="0"/>
              <w:bidi w:val="0"/>
              <w:spacing w:line="360" w:lineRule="auto"/>
              <w:rPr>
                <w:rFonts w:hint="default" w:ascii="Times New Roman" w:hAnsi="Times New Roman" w:cs="Times New Roman"/>
              </w:rPr>
            </w:pPr>
          </w:p>
        </w:tc>
        <w:tc>
          <w:tcPr>
            <w:tcW w:w="709" w:type="dxa"/>
            <w:vAlign w:val="center"/>
          </w:tcPr>
          <w:p w14:paraId="6AFD3171">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11</w:t>
            </w:r>
          </w:p>
        </w:tc>
        <w:tc>
          <w:tcPr>
            <w:tcW w:w="709" w:type="dxa"/>
            <w:vAlign w:val="center"/>
          </w:tcPr>
          <w:p w14:paraId="411AC4E5">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块</w:t>
            </w:r>
          </w:p>
        </w:tc>
        <w:tc>
          <w:tcPr>
            <w:tcW w:w="2126" w:type="dxa"/>
            <w:vAlign w:val="center"/>
          </w:tcPr>
          <w:p w14:paraId="27DA6615">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详见技术需求书</w:t>
            </w:r>
          </w:p>
        </w:tc>
      </w:tr>
      <w:tr w14:paraId="6CF8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05992DC">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3</w:t>
            </w:r>
          </w:p>
        </w:tc>
        <w:tc>
          <w:tcPr>
            <w:tcW w:w="1701" w:type="dxa"/>
            <w:vAlign w:val="center"/>
          </w:tcPr>
          <w:p w14:paraId="4317CD99">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射频调制设备</w:t>
            </w:r>
          </w:p>
        </w:tc>
        <w:tc>
          <w:tcPr>
            <w:tcW w:w="3402" w:type="dxa"/>
            <w:vAlign w:val="center"/>
          </w:tcPr>
          <w:p w14:paraId="2214E5F8">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市县直播系统节目射频调制传输</w:t>
            </w:r>
          </w:p>
        </w:tc>
        <w:tc>
          <w:tcPr>
            <w:tcW w:w="709" w:type="dxa"/>
            <w:vAlign w:val="center"/>
          </w:tcPr>
          <w:p w14:paraId="4E5AF9D5">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20</w:t>
            </w:r>
          </w:p>
        </w:tc>
        <w:tc>
          <w:tcPr>
            <w:tcW w:w="709" w:type="dxa"/>
            <w:vAlign w:val="center"/>
          </w:tcPr>
          <w:p w14:paraId="4619C047">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台</w:t>
            </w:r>
          </w:p>
        </w:tc>
        <w:tc>
          <w:tcPr>
            <w:tcW w:w="2126" w:type="dxa"/>
            <w:vAlign w:val="center"/>
          </w:tcPr>
          <w:p w14:paraId="191436E3">
            <w:pPr>
              <w:pStyle w:val="8"/>
              <w:keepNext w:val="0"/>
              <w:keepLines w:val="0"/>
              <w:pageBreakBefore w:val="0"/>
              <w:kinsoku/>
              <w:wordWrap/>
              <w:overflowPunct/>
              <w:topLinePunct w:val="0"/>
              <w:bidi w:val="0"/>
              <w:spacing w:line="360" w:lineRule="auto"/>
              <w:rPr>
                <w:rFonts w:hint="default" w:ascii="Times New Roman" w:hAnsi="Times New Roman" w:cs="Times New Roman"/>
              </w:rPr>
            </w:pPr>
            <w:r>
              <w:rPr>
                <w:rFonts w:hint="default" w:ascii="Times New Roman" w:hAnsi="Times New Roman" w:cs="Times New Roman"/>
              </w:rPr>
              <w:t>详见技术需求书</w:t>
            </w:r>
          </w:p>
        </w:tc>
      </w:tr>
    </w:tbl>
    <w:p w14:paraId="0A8CE8F5">
      <w:pPr>
        <w:keepNext w:val="0"/>
        <w:keepLines w:val="0"/>
        <w:pageBreakBefore w:val="0"/>
        <w:numPr>
          <w:ilvl w:val="0"/>
          <w:numId w:val="1"/>
        </w:numPr>
        <w:kinsoku/>
        <w:wordWrap/>
        <w:overflowPunct/>
        <w:topLinePunct w:val="0"/>
        <w:bidi w:val="0"/>
        <w:spacing w:line="360" w:lineRule="auto"/>
        <w:outlineLvl w:val="1"/>
        <w:rPr>
          <w:rFonts w:hint="default" w:ascii="Times New Roman" w:hAnsi="Times New Roman" w:eastAsia="黑体" w:cs="Times New Roman"/>
          <w:color w:val="000000" w:themeColor="text1"/>
          <w14:textFill>
            <w14:solidFill>
              <w14:schemeClr w14:val="tx1"/>
            </w14:solidFill>
          </w14:textFill>
        </w:rPr>
      </w:pPr>
      <w:bookmarkStart w:id="2" w:name="_Toc29507"/>
      <w:r>
        <w:rPr>
          <w:rFonts w:hint="default" w:ascii="Times New Roman" w:hAnsi="Times New Roman" w:eastAsia="黑体" w:cs="Times New Roman"/>
          <w:color w:val="000000" w:themeColor="text1"/>
          <w14:textFill>
            <w14:solidFill>
              <w14:schemeClr w14:val="tx1"/>
            </w14:solidFill>
          </w14:textFill>
        </w:rPr>
        <w:t>总体要求</w:t>
      </w:r>
      <w:bookmarkEnd w:id="2"/>
    </w:p>
    <w:p w14:paraId="685C2C8E">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 技术要求中明确“具备”的功能必须是实际交付产品确实具备的功能，明确“可支持”的功能是通过额外板卡、授权、升级等可实现的拓展功能。</w:t>
      </w:r>
    </w:p>
    <w:p w14:paraId="460697E5">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3.2 外观要求</w:t>
      </w:r>
    </w:p>
    <w:p w14:paraId="1A1E16D0">
      <w:pPr>
        <w:keepNext w:val="0"/>
        <w:keepLines w:val="0"/>
        <w:pageBreakBefore w:val="0"/>
        <w:numPr>
          <w:ilvl w:val="0"/>
          <w:numId w:val="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外观应整洁，表面不应有明显凹痕、划伤、裂纹、毛刺、变形、霉斑等现象；表面镀涂层不应起泡、龟裂和脱落；金属件不应有锈蚀和机械损伤；灌注物不应外溢出;</w:t>
      </w:r>
    </w:p>
    <w:p w14:paraId="43470495">
      <w:pPr>
        <w:keepNext w:val="0"/>
        <w:keepLines w:val="0"/>
        <w:pageBreakBefore w:val="0"/>
        <w:numPr>
          <w:ilvl w:val="0"/>
          <w:numId w:val="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具有明显的电源指示；开关、按键、旋钮的操作应灵活可靠，整机结构及零部件应紧固无松动。说明功能的文字符号和图形符号标志应完整、正确、清晰、牢固，图形符号应符合GB 5465.2-1985的规定;</w:t>
      </w:r>
    </w:p>
    <w:p w14:paraId="41AC75AD">
      <w:pPr>
        <w:keepNext w:val="0"/>
        <w:keepLines w:val="0"/>
        <w:pageBreakBefore w:val="0"/>
        <w:numPr>
          <w:ilvl w:val="0"/>
          <w:numId w:val="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设备上应有接地引脚。</w:t>
      </w:r>
    </w:p>
    <w:p w14:paraId="7B1C1C9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3.3 可靠性</w:t>
      </w:r>
    </w:p>
    <w:p w14:paraId="638F3775">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可靠性指标要求：平均无故障工作</w:t>
      </w:r>
      <w:bookmarkStart w:id="4" w:name="_GoBack"/>
      <w:bookmarkEnd w:id="4"/>
      <w:r>
        <w:rPr>
          <w:rFonts w:hint="default" w:ascii="Times New Roman" w:hAnsi="Times New Roman" w:cs="Times New Roman"/>
          <w:color w:val="000000" w:themeColor="text1"/>
          <w14:textFill>
            <w14:solidFill>
              <w14:schemeClr w14:val="tx1"/>
            </w14:solidFill>
          </w14:textFill>
        </w:rPr>
        <w:t>时间（MTBF）的下限值θ1应不低于40000小时。</w:t>
      </w:r>
    </w:p>
    <w:p w14:paraId="1A97C9E7">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3.4 安全性</w:t>
      </w:r>
    </w:p>
    <w:p w14:paraId="3595937D">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安全要求应符合GB/T 11318.1-1996中4.5的有关规定。</w:t>
      </w:r>
    </w:p>
    <w:p w14:paraId="4A5FF238">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3.5 电磁兼容性</w:t>
      </w:r>
    </w:p>
    <w:p w14:paraId="2CBD0FAA">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电磁兼容性要求应符合GB/T 11318.1-1996中4.6的有关规定。</w:t>
      </w:r>
    </w:p>
    <w:p w14:paraId="62E01339">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3.6 网管系统要求</w:t>
      </w:r>
    </w:p>
    <w:p w14:paraId="25A28467">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3.6.1 设备应具备网络状态监控功能。网管通讯协议应遵循国标“GB/T20030-2005 HFC网络设备管理系统规范”并兼容ANSI/SCTE  HMS系列规范以及IEC60728－7-1、IEC60728－7-2国际标准。设备网管接口应支持RJ－45，支持RS-485或RS232接口，管理信息库（MIB）应采用SCTE规范定义的相应管理信息库。网管系统建议支持WEB浏览器，便于网管操作。</w:t>
      </w:r>
    </w:p>
    <w:p w14:paraId="0656593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★3.6.2 目前全省已部署节目状态、核心复用设备及射频调制设备状态监测系统，通过snmp/snmptrap方式，可对核心复用设备节目（含视/音频、PMT）带宽、切换状态等进行监测；对核心复用设备机箱电源、告警信息、端口带宽、运行时长、在线状态等进行监测；对射频调制设备机箱电源、风扇、告警信息、输入输出端口带宽、运行时长、在线状态等进行监测。</w:t>
      </w:r>
    </w:p>
    <w:p w14:paraId="1911B6F3">
      <w:pPr>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本次采购的复用设备、射频调制设备，中标人需就上述监测内容30个工作日内完成对接工作。若                                                                                                                                                                                                                                                                                                                                                                                                                                                                                                                                                                                                                                                                                                                                                                                                                                                                                                                                      设备不能满足上述要求，中标人须提供相应技术支持、提供必要代码数据、向江苏有线安播中心完整开放管理信息库（MIB）或其他通用标准协议的所有功能，以保证江苏有线广电网络可以通过第三方进行监测系统集成，顺利对设备实施统一管理。</w:t>
      </w:r>
    </w:p>
    <w:p w14:paraId="2977CE4F">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3.6.3 网管应包括以下功能：</w:t>
      </w:r>
    </w:p>
    <w:p w14:paraId="434352FC">
      <w:pPr>
        <w:keepNext w:val="0"/>
        <w:keepLines w:val="0"/>
        <w:pageBreakBefore w:val="0"/>
        <w:numPr>
          <w:ilvl w:val="0"/>
          <w:numId w:val="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网管系统应具有配置用户识别符、口令、访问控制级别和范围的功能；</w:t>
      </w:r>
    </w:p>
    <w:p w14:paraId="2173D4D4">
      <w:pPr>
        <w:keepNext w:val="0"/>
        <w:keepLines w:val="0"/>
        <w:pageBreakBefore w:val="0"/>
        <w:numPr>
          <w:ilvl w:val="0"/>
          <w:numId w:val="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对用户权限进行鉴定，防止非法访问；</w:t>
      </w:r>
    </w:p>
    <w:p w14:paraId="48B3CB63">
      <w:pPr>
        <w:keepNext w:val="0"/>
        <w:keepLines w:val="0"/>
        <w:pageBreakBefore w:val="0"/>
        <w:numPr>
          <w:ilvl w:val="0"/>
          <w:numId w:val="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提供安全日志，提供超时管理，安全注销等安全管理功能。</w:t>
      </w:r>
    </w:p>
    <w:p w14:paraId="56582B7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★3.7设备尺寸要求</w:t>
      </w:r>
    </w:p>
    <w:p w14:paraId="70B7D0A4">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19</w:t>
      </w:r>
      <w:r>
        <w:rPr>
          <w:rFonts w:hint="default" w:ascii="Times New Roman" w:hAnsi="Times New Roman" w:cs="Times New Roman"/>
          <w:color w:val="000000" w:themeColor="text1"/>
          <w14:textFill>
            <w14:solidFill>
              <w14:schemeClr w14:val="tx1"/>
            </w14:solidFill>
          </w14:textFill>
        </w:rPr>
        <w:sym w:font="Symbol" w:char="F0B2"/>
      </w:r>
      <w:r>
        <w:rPr>
          <w:rFonts w:hint="default" w:ascii="Times New Roman" w:hAnsi="Times New Roman" w:cs="Times New Roman"/>
          <w:color w:val="000000" w:themeColor="text1"/>
          <w14:textFill>
            <w14:solidFill>
              <w14:schemeClr w14:val="tx1"/>
            </w14:solidFill>
          </w14:textFill>
        </w:rPr>
        <w:t xml:space="preserve"> EIA 标准机架。</w:t>
      </w:r>
    </w:p>
    <w:p w14:paraId="571A6F15">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★3.8设备数量要求</w:t>
      </w:r>
    </w:p>
    <w:p w14:paraId="4D06747D">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此次参与投标设备数量必须与招标文件中列出的需求数量一致，不接受不满足招标数量的投标。</w:t>
      </w:r>
    </w:p>
    <w:p w14:paraId="0A11F263">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3.8.1复用设备机箱：</w:t>
      </w:r>
    </w:p>
    <w:p w14:paraId="5829C515">
      <w:pPr>
        <w:keepNext w:val="0"/>
        <w:keepLines w:val="0"/>
        <w:pageBreakBefore w:val="0"/>
        <w:kinsoku/>
        <w:wordWrap/>
        <w:overflowPunct/>
        <w:topLinePunct w:val="0"/>
        <w:autoSpaceDE w:val="0"/>
        <w:autoSpaceDN w:val="0"/>
        <w:bidi w:val="0"/>
        <w:adjustRightInd w:val="0"/>
        <w:spacing w:line="360" w:lineRule="auto"/>
        <w:ind w:left="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(1)至少提供16台机框（每台含双电源、网管模块）。</w:t>
      </w:r>
    </w:p>
    <w:p w14:paraId="0C195158">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3.8.2 10GE板卡：</w:t>
      </w:r>
    </w:p>
    <w:p w14:paraId="557A9E11">
      <w:pPr>
        <w:keepNext w:val="0"/>
        <w:keepLines w:val="0"/>
        <w:pageBreakBefore w:val="0"/>
        <w:kinsoku/>
        <w:wordWrap/>
        <w:overflowPunct/>
        <w:topLinePunct w:val="0"/>
        <w:autoSpaceDE w:val="0"/>
        <w:autoSpaceDN w:val="0"/>
        <w:bidi w:val="0"/>
        <w:adjustRightInd w:val="0"/>
        <w:spacing w:line="360" w:lineRule="auto"/>
        <w:ind w:left="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(1)至少提供11块10GE板卡；</w:t>
      </w:r>
    </w:p>
    <w:p w14:paraId="5C0ED5D4">
      <w:pPr>
        <w:keepNext w:val="0"/>
        <w:keepLines w:val="0"/>
        <w:pageBreakBefore w:val="0"/>
        <w:kinsoku/>
        <w:wordWrap/>
        <w:overflowPunct/>
        <w:topLinePunct w:val="0"/>
        <w:autoSpaceDE w:val="0"/>
        <w:autoSpaceDN w:val="0"/>
        <w:bidi w:val="0"/>
        <w:adjustRightInd w:val="0"/>
        <w:spacing w:line="360" w:lineRule="auto"/>
        <w:ind w:left="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(2)每块10GE板卡具备4个GbE输入和4个GbE输出能力或者具备1个10GE信号输入和1个10GE信号输出能力。</w:t>
      </w:r>
    </w:p>
    <w:p w14:paraId="3EF3039E">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3.8.3射频调制设备：</w:t>
      </w:r>
    </w:p>
    <w:p w14:paraId="233091AF">
      <w:pPr>
        <w:keepNext w:val="0"/>
        <w:keepLines w:val="0"/>
        <w:pageBreakBefore w:val="0"/>
        <w:kinsoku/>
        <w:wordWrap/>
        <w:overflowPunct/>
        <w:topLinePunct w:val="0"/>
        <w:autoSpaceDE w:val="0"/>
        <w:autoSpaceDN w:val="0"/>
        <w:bidi w:val="0"/>
        <w:adjustRightInd w:val="0"/>
        <w:spacing w:line="360" w:lineRule="auto"/>
        <w:ind w:left="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(1)至少提供20台设备；</w:t>
      </w:r>
    </w:p>
    <w:p w14:paraId="7C4EA32D">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每台设备实际可使用频点不低于96个；</w:t>
      </w:r>
    </w:p>
    <w:p w14:paraId="666B8042">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(3)每个物理端口实际可使用频点不低于8个；</w:t>
      </w:r>
    </w:p>
    <w:p w14:paraId="55B64F06">
      <w:pPr>
        <w:keepNext w:val="0"/>
        <w:keepLines w:val="0"/>
        <w:pageBreakBefore w:val="0"/>
        <w:kinsoku/>
        <w:wordWrap/>
        <w:overflowPunct/>
        <w:topLinePunct w:val="0"/>
        <w:bidi w:val="0"/>
        <w:spacing w:line="360" w:lineRule="auto"/>
        <w:ind w:left="420" w:left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(4)每台设备至少具备4个独立的GbE输入端口，输入信号可以调度到机框内所有板卡上的任意端口的任意频点。</w:t>
      </w:r>
    </w:p>
    <w:p w14:paraId="70C9DCA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3.9 环境适应性</w:t>
      </w:r>
    </w:p>
    <w:p w14:paraId="598DFAA9">
      <w:pPr>
        <w:keepNext w:val="0"/>
        <w:keepLines w:val="0"/>
        <w:pageBreakBefore w:val="0"/>
        <w:numPr>
          <w:ilvl w:val="0"/>
          <w:numId w:val="4"/>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工作温度范围要求为-10ºC~+60ºC；</w:t>
      </w:r>
    </w:p>
    <w:p w14:paraId="74E50002">
      <w:pPr>
        <w:keepNext w:val="0"/>
        <w:keepLines w:val="0"/>
        <w:pageBreakBefore w:val="0"/>
        <w:numPr>
          <w:ilvl w:val="0"/>
          <w:numId w:val="4"/>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工作湿度范围要求为0%~95%；</w:t>
      </w:r>
    </w:p>
    <w:p w14:paraId="548BC487">
      <w:pPr>
        <w:keepNext w:val="0"/>
        <w:keepLines w:val="0"/>
        <w:pageBreakBefore w:val="0"/>
        <w:numPr>
          <w:ilvl w:val="0"/>
          <w:numId w:val="4"/>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工作电压要求为100-240V；</w:t>
      </w:r>
    </w:p>
    <w:p w14:paraId="029F57F9">
      <w:pPr>
        <w:keepNext w:val="0"/>
        <w:keepLines w:val="0"/>
        <w:pageBreakBefore w:val="0"/>
        <w:numPr>
          <w:ilvl w:val="0"/>
          <w:numId w:val="4"/>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支持双电源冗余备份；电源采用AC90-250V，50-60Hz。请说明设备的最大功耗。</w:t>
      </w:r>
    </w:p>
    <w:p w14:paraId="161A517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 其他要求</w:t>
      </w:r>
    </w:p>
    <w:p w14:paraId="3BAA18E2">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3.10.1 标准的兼容性</w:t>
      </w:r>
    </w:p>
    <w:p w14:paraId="0C402AC5">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所提供设备应符合有关标准(国家标准、广电总局行业标准、国际标准)。卖方应说明设备所遵循的技术标准和版本。对于目前尚无可参照标准的部分，卖方要加以特别说明，并书面承诺在相关标准出台后，无偿对本次投标设备进行升级以符合新标准。</w:t>
      </w:r>
    </w:p>
    <w:p w14:paraId="6B05CE3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3.10.2 设备的可配置性</w:t>
      </w:r>
    </w:p>
    <w:p w14:paraId="1D13A302">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对卖方所提供的数字电视设备应当可以根据业务需要进行多种配置。实现方式可以是硬件实现或是软件实现方式。卖方必须提供有关其设备的可配置程度的书面报告。</w:t>
      </w:r>
    </w:p>
    <w:p w14:paraId="0A8A10A4">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3.10.3 设备的可靠性</w:t>
      </w:r>
    </w:p>
    <w:p w14:paraId="487352A2">
      <w:pPr>
        <w:keepNext w:val="0"/>
        <w:keepLines w:val="0"/>
        <w:pageBreakBefore w:val="0"/>
        <w:numPr>
          <w:ilvl w:val="0"/>
          <w:numId w:val="5"/>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对于机架式设备，卖方设备的公用模块，如对控制管理模块、电源模块、风扇等应当进行热冗余备份。卖方应说明相应的冗余备份情况。卖方应提供故障倒换时间的具体数据。卖方应提供无故障周期时间值、整机及模块寿命值；</w:t>
      </w:r>
    </w:p>
    <w:p w14:paraId="7598CA5D">
      <w:pPr>
        <w:keepNext w:val="0"/>
        <w:keepLines w:val="0"/>
        <w:pageBreakBefore w:val="0"/>
        <w:numPr>
          <w:ilvl w:val="0"/>
          <w:numId w:val="5"/>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卖方应保证所供设备有高度可靠性和足够的容错能力并保证不妨碍其它系统软硬件的正常运行，并承诺对因设备缺陷而造成买方的一切损失进行赔偿。</w:t>
      </w:r>
    </w:p>
    <w:p w14:paraId="63E40FC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3.10.4 系统的可扩展性</w:t>
      </w:r>
    </w:p>
    <w:p w14:paraId="1B3D700C">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买方所提供的设备组建的系统在升级过程中，同时必须保证原模块能正常使用，保护原有投资。卖方必须提供有关其设备的可扩展能力的书面报告，详细说明其产品扩展方面的计划和方案。</w:t>
      </w:r>
    </w:p>
    <w:p w14:paraId="7D1CC8D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3.10.5 可管理性</w:t>
      </w:r>
    </w:p>
    <w:p w14:paraId="04ED9858">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在提供设备同时，必须提供相应的直观的统一的网管系统。在前端系统中，如采用第三方设备，网管系统必须在最大程度上管理到这些设备，如无法管理第三方设备，卖方必须提交可以实现统一管理的方案与计划。</w:t>
      </w:r>
    </w:p>
    <w:p w14:paraId="46A1AC7A">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3.10.6 系统可用度</w:t>
      </w:r>
    </w:p>
    <w:p w14:paraId="75667967">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单机的系统可用度优于99.9999%。</w:t>
      </w:r>
    </w:p>
    <w:p w14:paraId="644F452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3.10.7 专用协议的声明</w:t>
      </w:r>
    </w:p>
    <w:p w14:paraId="7C1A52A7">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卖方如有专用控制协议或管理协议，应对其进行详细说明。</w:t>
      </w:r>
    </w:p>
    <w:p w14:paraId="3BC86DA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3.10.8 实用性和经济性</w:t>
      </w:r>
    </w:p>
    <w:p w14:paraId="6FA0D49F">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卖方所提供的系统方案应在满足系统各项需求的前提下，尽可能降低买方成本，实现高性价比。</w:t>
      </w:r>
    </w:p>
    <w:p w14:paraId="17C62EC4">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3.10.9 系统安全性</w:t>
      </w:r>
    </w:p>
    <w:p w14:paraId="54230A8B">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卖方所提供的系统必须具有先进、完善的系统管理、操作员管理等功能，以确保系统的安全。</w:t>
      </w:r>
    </w:p>
    <w:p w14:paraId="32086ED8">
      <w:pPr>
        <w:keepNext w:val="0"/>
        <w:keepLines w:val="0"/>
        <w:pageBreakBefore w:val="0"/>
        <w:numPr>
          <w:ilvl w:val="0"/>
          <w:numId w:val="1"/>
        </w:numPr>
        <w:kinsoku/>
        <w:wordWrap/>
        <w:overflowPunct/>
        <w:topLinePunct w:val="0"/>
        <w:bidi w:val="0"/>
        <w:spacing w:line="360" w:lineRule="auto"/>
        <w:outlineLvl w:val="1"/>
        <w:rPr>
          <w:rFonts w:hint="default" w:ascii="Times New Roman" w:hAnsi="Times New Roman" w:eastAsia="黑体" w:cs="Times New Roman"/>
          <w:color w:val="000000" w:themeColor="text1"/>
          <w14:textFill>
            <w14:solidFill>
              <w14:schemeClr w14:val="tx1"/>
            </w14:solidFill>
          </w14:textFill>
        </w:rPr>
      </w:pPr>
      <w:bookmarkStart w:id="3" w:name="_Toc3585"/>
      <w:r>
        <w:rPr>
          <w:rFonts w:hint="default" w:ascii="Times New Roman" w:hAnsi="Times New Roman" w:eastAsia="黑体" w:cs="Times New Roman"/>
          <w:color w:val="000000" w:themeColor="text1"/>
          <w14:textFill>
            <w14:solidFill>
              <w14:schemeClr w14:val="tx1"/>
            </w14:solidFill>
          </w14:textFill>
        </w:rPr>
        <w:t>复用设备技术要求</w:t>
      </w:r>
      <w:bookmarkEnd w:id="3"/>
    </w:p>
    <w:p w14:paraId="5AEAD552">
      <w:pPr>
        <w:keepNext w:val="0"/>
        <w:keepLines w:val="0"/>
        <w:pageBreakBefore w:val="0"/>
        <w:tabs>
          <w:tab w:val="left" w:pos="0"/>
        </w:tabs>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4.1</w:t>
      </w:r>
      <w:r>
        <w:rPr>
          <w:rFonts w:hint="default" w:ascii="Times New Roman" w:hAnsi="Times New Roman" w:cs="Times New Roman"/>
          <w:color w:val="000000" w:themeColor="text1"/>
          <w:szCs w:val="21"/>
          <w14:textFill>
            <w14:solidFill>
              <w14:schemeClr w14:val="tx1"/>
            </w14:solidFill>
          </w14:textFill>
        </w:rPr>
        <w:t>复用单元技术要求</w:t>
      </w:r>
    </w:p>
    <w:p w14:paraId="4633CD1F">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4.1.1适用标准与要求</w:t>
      </w:r>
    </w:p>
    <w:p w14:paraId="72E2AB8E">
      <w:pPr>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复用过程必须遵循DVB关于PSI/SI处理的标准，与传输流有关的所有参数要求必须以DVB-C和MPEG-2标准为准。必须符合DVB数据广播的规范和要求。</w:t>
      </w:r>
    </w:p>
    <w:p w14:paraId="6E14C7F4">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《ISO_IEC_13818》</w:t>
      </w:r>
    </w:p>
    <w:p w14:paraId="65EF3F20">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170-2001 有线数字电视广播信道编码与调制规范》</w:t>
      </w:r>
    </w:p>
    <w:p w14:paraId="7B5947C6">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221-2006 有线数字电视系统技术要求和测量方法》</w:t>
      </w:r>
    </w:p>
    <w:p w14:paraId="61D7E038">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《GY/T257.1-2012 广播电视先进视频编解码第一部分视频》</w:t>
      </w:r>
    </w:p>
    <w:p w14:paraId="3E39915E">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28161-2011 数字电视广播业务信息规范》</w:t>
      </w:r>
    </w:p>
    <w:p w14:paraId="457FCEB6">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28160-2011 数字电视广播电子节目指南规范》</w:t>
      </w:r>
    </w:p>
    <w:p w14:paraId="42E6E5E4">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17975.1-2010 信息技术 运动图像及其伴音信息的通用编码 第1部分：系统》</w:t>
      </w:r>
    </w:p>
    <w:p w14:paraId="4D7C36B8">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33475.2-2024 信息技术 高效多媒体编码 第2部分：视频》</w:t>
      </w:r>
    </w:p>
    <w:p w14:paraId="1BAB3DBB">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226-2007 数字电视复用器技术要求和测量方法》</w:t>
      </w:r>
    </w:p>
    <w:p w14:paraId="1C11888A">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308-2017 单向可下载条件接收系统技术规范》</w:t>
      </w:r>
    </w:p>
    <w:p w14:paraId="623618D8">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277-2019 视音频内容分发数字版权管理技术规范》</w:t>
      </w:r>
    </w:p>
    <w:p w14:paraId="4A1CFE8B">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365-2023 4K超高清晰度电视节目文件格式规范》</w:t>
      </w:r>
    </w:p>
    <w:p w14:paraId="61035100">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375-2023 有线数字电视音视频技术质量要求和测量方法》</w:t>
      </w:r>
    </w:p>
    <w:p w14:paraId="33FC1FEF">
      <w:pPr>
        <w:keepNext w:val="0"/>
        <w:keepLines w:val="0"/>
        <w:pageBreakBefore w:val="0"/>
        <w:numPr>
          <w:ilvl w:val="0"/>
          <w:numId w:val="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《GY/T 420-2025 超高清音视频编码码流网络传输封装技术要求》</w:t>
      </w:r>
    </w:p>
    <w:p w14:paraId="53F5B174">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4.1.2接口要求</w:t>
      </w:r>
    </w:p>
    <w:p w14:paraId="1054F889">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卖方复用设备必须支持MPTS与SPTS输入。</w:t>
      </w:r>
    </w:p>
    <w:p w14:paraId="04ED24B9">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4.1.3功能要求</w:t>
      </w:r>
    </w:p>
    <w:p w14:paraId="242E8C59">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卖方复用单元必须支持传输流的再次复用；</w:t>
      </w:r>
    </w:p>
    <w:p w14:paraId="4C0C3610">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卖方复用单元必须支持各种PSI/SI生成，必须支持PSI/SI的替换；</w:t>
      </w:r>
    </w:p>
    <w:p w14:paraId="596B144D">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卖方复用单元必须支持PID的重新映射，必须支持手动和自动映射；</w:t>
      </w:r>
    </w:p>
    <w:p w14:paraId="3E2FA11B">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卖方复用单元必须支持数字音频广播；</w:t>
      </w:r>
    </w:p>
    <w:p w14:paraId="6230A1E4">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卖方复用单元必须支持高清数字电视和杜比AC-3系统；</w:t>
      </w:r>
    </w:p>
    <w:p w14:paraId="2B412C27">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卖方复用单元必须支持IP到TS的转换；</w:t>
      </w:r>
    </w:p>
    <w:p w14:paraId="4B238DF4">
      <w:pPr>
        <w:keepNext w:val="0"/>
        <w:keepLines w:val="0"/>
        <w:pageBreakBefore w:val="0"/>
        <w:numPr>
          <w:ilvl w:val="0"/>
          <w:numId w:val="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卖方复用单元必须能解析DVB所定义的所有SI信息，例如NIT表、SDT表、EIT表、TOT表等。</w:t>
      </w:r>
    </w:p>
    <w:p w14:paraId="70093063">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4.1.4扩展性要求</w:t>
      </w:r>
    </w:p>
    <w:p w14:paraId="1627AD80">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卖方复用单元必须可以以多种方式进行规模扩展，扩展过程必须简单易行、平滑无缝，且不影响系统正常播出。</w:t>
      </w:r>
    </w:p>
    <w:p w14:paraId="37DFF1D3">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4.1.5可靠性要求</w:t>
      </w:r>
    </w:p>
    <w:p w14:paraId="2306260C">
      <w:pPr>
        <w:keepNext w:val="0"/>
        <w:keepLines w:val="0"/>
        <w:pageBreakBefore w:val="0"/>
        <w:numPr>
          <w:ilvl w:val="0"/>
          <w:numId w:val="8"/>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卖方复用单元必须可以进行冗余备份，必须采取1:1备份方式。备份切换过程由系统自动和手动完成，同时，系统应当提供提示；</w:t>
      </w:r>
    </w:p>
    <w:p w14:paraId="53EE1479">
      <w:pPr>
        <w:keepNext w:val="0"/>
        <w:keepLines w:val="0"/>
        <w:pageBreakBefore w:val="0"/>
        <w:numPr>
          <w:ilvl w:val="0"/>
          <w:numId w:val="8"/>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必须做到单TS流和单个节目自动备份。</w:t>
      </w:r>
    </w:p>
    <w:p w14:paraId="2D26B20E">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 10GE板卡</w:t>
      </w:r>
      <w:r>
        <w:rPr>
          <w:rFonts w:hint="default" w:ascii="Times New Roman" w:hAnsi="Times New Roman" w:cs="Times New Roman"/>
          <w:color w:val="000000" w:themeColor="text1"/>
          <w:szCs w:val="21"/>
          <w14:textFill>
            <w14:solidFill>
              <w14:schemeClr w14:val="tx1"/>
            </w14:solidFill>
          </w14:textFill>
        </w:rPr>
        <w:t>技术要求</w:t>
      </w:r>
    </w:p>
    <w:p w14:paraId="680B1461">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4.2.1千兆GBE接口功能要求（加扰）</w:t>
      </w:r>
    </w:p>
    <w:p w14:paraId="33F3B5AF">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★4.2.1.1再复用</w:t>
      </w:r>
    </w:p>
    <w:p w14:paraId="2BAE9791">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在每个通道PID过滤/重映射；</w:t>
      </w:r>
    </w:p>
    <w:p w14:paraId="30486F84">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PID跟踪；</w:t>
      </w:r>
    </w:p>
    <w:p w14:paraId="7DBC7504">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额外的PID与视频的同步；</w:t>
      </w:r>
    </w:p>
    <w:p w14:paraId="0836137F">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再复用节目；</w:t>
      </w:r>
    </w:p>
    <w:p w14:paraId="1B591A03">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内容路由（任何输入至任何输出）；</w:t>
      </w:r>
    </w:p>
    <w:p w14:paraId="38E77C01">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基于PSI/SI/PID的包过滤和再映射，及PSI/SI信息表更换；</w:t>
      </w:r>
    </w:p>
    <w:p w14:paraId="3AED4183">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GbE接口的端口级备份，手动或自动切换，切换时间要求毫秒级；</w:t>
      </w:r>
    </w:p>
    <w:p w14:paraId="1F601722">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多层节目级备份功能，至少2级以上节目备份（本地主设备输出信源、本地备设备输出信源、应急垫播节目信源），手动或自动切换，切换时间要求毫秒级；同时说明最多具备几级备份；</w:t>
      </w:r>
    </w:p>
    <w:p w14:paraId="127D9F25">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节目级备份功能要求在ASI端口与GbE端口之间互为备份，切换触发条件需按照TR 101 290 中的一、二级监测标准设置，至少具备同步头丢失、音视频PID丢失、节目加扰；</w:t>
      </w:r>
    </w:p>
    <w:p w14:paraId="131E18EC">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基于WEB的图像用户界面（GUI）的设备管理和业务配置；提供SNMP网管接口，可通过专业网管系统和第三方管控系统实现统一监控管理；同时要求免费提供MIB库；</w:t>
      </w:r>
    </w:p>
    <w:p w14:paraId="62207921">
      <w:pPr>
        <w:keepNext w:val="0"/>
        <w:keepLines w:val="0"/>
        <w:pageBreakBefore w:val="0"/>
        <w:numPr>
          <w:ilvl w:val="0"/>
          <w:numId w:val="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为提高信息安全等级保护，通过WEB或网管系统访问登陆设备时，具备设置多个不同账户，同时针对每个账户可以分配不同权限来管理，比如管理员权限、查询权限等。</w:t>
      </w:r>
    </w:p>
    <w:p w14:paraId="238D4CA9">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4.2.1.2监视</w:t>
      </w:r>
    </w:p>
    <w:p w14:paraId="72030413">
      <w:pPr>
        <w:keepNext w:val="0"/>
        <w:keepLines w:val="0"/>
        <w:pageBreakBefore w:val="0"/>
        <w:numPr>
          <w:ilvl w:val="0"/>
          <w:numId w:val="10"/>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在每个端口错误监测；</w:t>
      </w:r>
    </w:p>
    <w:p w14:paraId="0812B9C1">
      <w:pPr>
        <w:keepNext w:val="0"/>
        <w:keepLines w:val="0"/>
        <w:pageBreakBefore w:val="0"/>
        <w:numPr>
          <w:ilvl w:val="0"/>
          <w:numId w:val="10"/>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输入与输出比特率测量。</w:t>
      </w:r>
    </w:p>
    <w:p w14:paraId="4F3D7B80">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4.2.1.3备份</w:t>
      </w:r>
    </w:p>
    <w:p w14:paraId="5A9FB39F">
      <w:pPr>
        <w:keepNext w:val="0"/>
        <w:keepLines w:val="0"/>
        <w:pageBreakBefore w:val="0"/>
        <w:numPr>
          <w:ilvl w:val="0"/>
          <w:numId w:val="1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输入单套节目备份；</w:t>
      </w:r>
    </w:p>
    <w:p w14:paraId="46C6D1C5">
      <w:pPr>
        <w:keepNext w:val="0"/>
        <w:keepLines w:val="0"/>
        <w:pageBreakBefore w:val="0"/>
        <w:numPr>
          <w:ilvl w:val="0"/>
          <w:numId w:val="1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输入单个传输流备份。</w:t>
      </w:r>
    </w:p>
    <w:p w14:paraId="36EF167E">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4.2.1.4接口要求</w:t>
      </w:r>
    </w:p>
    <w:p w14:paraId="1596A84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★4.2.1.4.1具备光纤输入输出通道</w:t>
      </w:r>
    </w:p>
    <w:p w14:paraId="5CB02BE7">
      <w:pPr>
        <w:keepNext w:val="0"/>
        <w:keepLines w:val="0"/>
        <w:pageBreakBefore w:val="0"/>
        <w:numPr>
          <w:ilvl w:val="0"/>
          <w:numId w:val="1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单通道具备SPTS与MPTS模式；</w:t>
      </w:r>
    </w:p>
    <w:p w14:paraId="4EE2F8B0">
      <w:pPr>
        <w:keepNext w:val="0"/>
        <w:keepLines w:val="0"/>
        <w:pageBreakBefore w:val="0"/>
        <w:numPr>
          <w:ilvl w:val="0"/>
          <w:numId w:val="1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具备单播与多播功能； </w:t>
      </w:r>
    </w:p>
    <w:p w14:paraId="26A8B428">
      <w:pPr>
        <w:keepNext w:val="0"/>
        <w:keepLines w:val="0"/>
        <w:pageBreakBefore w:val="0"/>
        <w:numPr>
          <w:ilvl w:val="0"/>
          <w:numId w:val="1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具备协议:802.3,Ethernet,IP,UDP,IP,ARP,ICMP,IGMPv2/v3；</w:t>
      </w:r>
    </w:p>
    <w:p w14:paraId="5F085605">
      <w:pPr>
        <w:keepNext w:val="0"/>
        <w:keepLines w:val="0"/>
        <w:pageBreakBefore w:val="0"/>
        <w:numPr>
          <w:ilvl w:val="0"/>
          <w:numId w:val="1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单通道具备独立使用或备份使用功能；</w:t>
      </w:r>
    </w:p>
    <w:p w14:paraId="1B99814E">
      <w:pPr>
        <w:keepNext w:val="0"/>
        <w:keepLines w:val="0"/>
        <w:pageBreakBefore w:val="0"/>
        <w:numPr>
          <w:ilvl w:val="0"/>
          <w:numId w:val="1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接头类型:SFP接头；</w:t>
      </w:r>
    </w:p>
    <w:p w14:paraId="7DAA74F1">
      <w:pPr>
        <w:keepNext w:val="0"/>
        <w:keepLines w:val="0"/>
        <w:pageBreakBefore w:val="0"/>
        <w:numPr>
          <w:ilvl w:val="0"/>
          <w:numId w:val="1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单个GbE通道具备950Mbps输入输出能力。</w:t>
      </w:r>
    </w:p>
    <w:p w14:paraId="4A398032">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4.2.2万兆接口功能要求</w:t>
      </w:r>
    </w:p>
    <w:p w14:paraId="0301357A">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★4.2.2.1再复用</w:t>
      </w:r>
    </w:p>
    <w:p w14:paraId="67A82DE0">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支持1000个service备份，每个service按一个视频两个音频PID测算；</w:t>
      </w:r>
    </w:p>
    <w:p w14:paraId="5F4A9611">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在每个通道PID过滤/重映射；</w:t>
      </w:r>
    </w:p>
    <w:p w14:paraId="66B41AE9">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多层节目级备份功能，至少2级以上节目备份（本地主设备输出信源、本地备设备输出信源、应急垫播节目信源），手动或自动切换，切换时间要求毫秒级；同时说明最多具备几级备份；</w:t>
      </w:r>
    </w:p>
    <w:p w14:paraId="64170A67">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PID跟踪；</w:t>
      </w:r>
    </w:p>
    <w:p w14:paraId="34984D4C">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额外的PID与视频的同步；</w:t>
      </w:r>
    </w:p>
    <w:p w14:paraId="1D176506">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再复用节目；</w:t>
      </w:r>
    </w:p>
    <w:p w14:paraId="58FCBCF7">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内容路由（任何输入至任何输出）；</w:t>
      </w:r>
    </w:p>
    <w:p w14:paraId="5F434680">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基于PSI/SI/PID的包过滤和再映射，及PSI/SI信息表更换；</w:t>
      </w:r>
    </w:p>
    <w:p w14:paraId="0A427219">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节目级备份功能要求在ASI端口与10G端口之间互为备份，切换触发条件需按照TR 101 290 中的一、二级监测标准设置，至少具备同步头丢失、音视频PID丢失、节目加扰；</w:t>
      </w:r>
    </w:p>
    <w:p w14:paraId="04B1127A">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基于WEB的图像用户界面（GUI）的设备管理和业务配置；提供SNMP网管接口，可通过专业网管系统和第三方管控系统实现统一监控管理；同时要求免费提供MIB库；</w:t>
      </w:r>
    </w:p>
    <w:p w14:paraId="1E452A87">
      <w:pPr>
        <w:keepNext w:val="0"/>
        <w:keepLines w:val="0"/>
        <w:pageBreakBefore w:val="0"/>
        <w:numPr>
          <w:ilvl w:val="0"/>
          <w:numId w:val="13"/>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为提高信息安全等级保护，通过WEB或网管系统访问登陆设备时，具备设置多个不同账户，同时针对每个账户可以分配不同权限来管理，比如管理员权限、查询权限等。</w:t>
      </w:r>
    </w:p>
    <w:p w14:paraId="03620286">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4.2.2.2监视</w:t>
      </w:r>
    </w:p>
    <w:p w14:paraId="696BC656">
      <w:pPr>
        <w:keepNext w:val="0"/>
        <w:keepLines w:val="0"/>
        <w:pageBreakBefore w:val="0"/>
        <w:numPr>
          <w:ilvl w:val="0"/>
          <w:numId w:val="14"/>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在每个端口错误监测；</w:t>
      </w:r>
    </w:p>
    <w:p w14:paraId="1E1221C8">
      <w:pPr>
        <w:keepNext w:val="0"/>
        <w:keepLines w:val="0"/>
        <w:pageBreakBefore w:val="0"/>
        <w:numPr>
          <w:ilvl w:val="0"/>
          <w:numId w:val="14"/>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输入与输出比特率测量。</w:t>
      </w:r>
    </w:p>
    <w:p w14:paraId="26A9A009">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4.2.2.3备份</w:t>
      </w:r>
    </w:p>
    <w:p w14:paraId="08C3CFE8">
      <w:pPr>
        <w:keepNext w:val="0"/>
        <w:keepLines w:val="0"/>
        <w:pageBreakBefore w:val="0"/>
        <w:numPr>
          <w:ilvl w:val="0"/>
          <w:numId w:val="15"/>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输入单套节目备份；</w:t>
      </w:r>
    </w:p>
    <w:p w14:paraId="5F15367D">
      <w:pPr>
        <w:keepNext w:val="0"/>
        <w:keepLines w:val="0"/>
        <w:pageBreakBefore w:val="0"/>
        <w:numPr>
          <w:ilvl w:val="0"/>
          <w:numId w:val="15"/>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输入单个传输流备份。</w:t>
      </w:r>
    </w:p>
    <w:p w14:paraId="3FAC2065">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★4.2.2.4接口要求</w:t>
      </w:r>
    </w:p>
    <w:p w14:paraId="588B16FA">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4.2.2.4.1具备光纤输入输出通道</w:t>
      </w:r>
    </w:p>
    <w:p w14:paraId="17F0D274">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单通道具备SPTS与MPTS模式；</w:t>
      </w:r>
    </w:p>
    <w:p w14:paraId="19960DB9">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具备单播与多播功能；</w:t>
      </w:r>
    </w:p>
    <w:p w14:paraId="35CF4C91">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具备协议:802.3,Ethernet,IP,UDP,IP,ARP,ICMP,IGMPv2/v3；</w:t>
      </w:r>
    </w:p>
    <w:p w14:paraId="69602F3F">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单通道具备独立使用或备份使用功能；</w:t>
      </w:r>
    </w:p>
    <w:p w14:paraId="1DCF6E1E">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接头类型:SFP+接头；</w:t>
      </w:r>
    </w:p>
    <w:p w14:paraId="4AA49D25">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每块万兆板卡应为输入、输出端口各配备1个单模1550nm万兆光模块；</w:t>
      </w:r>
    </w:p>
    <w:p w14:paraId="01ACCCD2">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单个10GE通道具备不少于7000Mbps输入输出能力；</w:t>
      </w:r>
    </w:p>
    <w:p w14:paraId="5DECC73A">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单个10GE通道具备不少于2000个sevice输出能力和不少于2000个service输入能力；</w:t>
      </w:r>
    </w:p>
    <w:p w14:paraId="5F4E34CC">
      <w:pPr>
        <w:keepNext w:val="0"/>
        <w:keepLines w:val="0"/>
        <w:pageBreakBefore w:val="0"/>
        <w:numPr>
          <w:ilvl w:val="0"/>
          <w:numId w:val="16"/>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万兆接口可以支持千兆输入输出能力。</w:t>
      </w:r>
    </w:p>
    <w:p w14:paraId="232D90A0">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★4.3板卡满配情况下，单台机箱可同时实现40Gbps输入和40Gbps输出功能，任意输入端的业务可调度至任意输出端。</w:t>
      </w:r>
    </w:p>
    <w:p w14:paraId="7B4E65F0">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★4.4单台机箱固态硬盘容量不小于480G；预安装目前省、市、县前端播控平台正在使用的核心复用设备系统软件；通过硬盘检测软件能获取硬盘剩余寿命等指标，且剩余寿命的初始值不低于85个月。</w:t>
      </w:r>
    </w:p>
    <w:p w14:paraId="16C75195">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★4.5加扰功能要求</w:t>
      </w:r>
    </w:p>
    <w:p w14:paraId="67472A97">
      <w:pPr>
        <w:keepNext w:val="0"/>
        <w:keepLines w:val="0"/>
        <w:pageBreakBefore w:val="0"/>
        <w:numPr>
          <w:ilvl w:val="0"/>
          <w:numId w:val="1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可支持加扰功能，必须采用DVB通用加扰算法对节目进行加扰，节目加扰应能按Event在Component级实现；</w:t>
      </w:r>
    </w:p>
    <w:p w14:paraId="341BA19D">
      <w:pPr>
        <w:keepNext w:val="0"/>
        <w:keepLines w:val="0"/>
        <w:pageBreakBefore w:val="0"/>
        <w:numPr>
          <w:ilvl w:val="0"/>
          <w:numId w:val="1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可支持对指定的节目、基本传输流或多种节目组合进行DVB加扰；</w:t>
      </w:r>
    </w:p>
    <w:p w14:paraId="452B065F">
      <w:pPr>
        <w:keepNext w:val="0"/>
        <w:keepLines w:val="0"/>
        <w:pageBreakBefore w:val="0"/>
        <w:numPr>
          <w:ilvl w:val="0"/>
          <w:numId w:val="1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有与国内外主流CA系统之间集成并运行的成功案例；</w:t>
      </w:r>
    </w:p>
    <w:p w14:paraId="090BD9B8">
      <w:pPr>
        <w:keepNext w:val="0"/>
        <w:keepLines w:val="0"/>
        <w:pageBreakBefore w:val="0"/>
        <w:numPr>
          <w:ilvl w:val="0"/>
          <w:numId w:val="1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可支持4家以上的CA系统，提供具备同密的解决方案；</w:t>
      </w:r>
    </w:p>
    <w:p w14:paraId="77C82E9C">
      <w:pPr>
        <w:keepNext w:val="0"/>
        <w:keepLines w:val="0"/>
        <w:pageBreakBefore w:val="0"/>
        <w:numPr>
          <w:ilvl w:val="0"/>
          <w:numId w:val="17"/>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加扰器与CAS之间通过同密同步器交换CW和ECM信息，EMM直接通过ASI或Ethernet插入到复用器。当CAS与加扰器的通信中断后，加扰器须保持最后一个控制字对节目加扰。</w:t>
      </w:r>
    </w:p>
    <w:p w14:paraId="4906711C">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4.6 BISS加/解扰功能要求</w:t>
      </w:r>
    </w:p>
    <w:p w14:paraId="635AC946">
      <w:pPr>
        <w:keepNext w:val="0"/>
        <w:keepLines w:val="0"/>
        <w:pageBreakBefore w:val="0"/>
        <w:numPr>
          <w:ilvl w:val="0"/>
          <w:numId w:val="18"/>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★能够对TS流/节目进行加密、解密处理，确保内容在传输过程中的安全，防止未授权访问；</w:t>
      </w:r>
    </w:p>
    <w:p w14:paraId="70462203">
      <w:pPr>
        <w:keepNext w:val="0"/>
        <w:keepLines w:val="0"/>
        <w:pageBreakBefore w:val="0"/>
        <w:numPr>
          <w:ilvl w:val="0"/>
          <w:numId w:val="18"/>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支持BISS1 Mode1；</w:t>
      </w:r>
    </w:p>
    <w:p w14:paraId="046C3507">
      <w:pPr>
        <w:keepNext w:val="0"/>
        <w:keepLines w:val="0"/>
        <w:pageBreakBefore w:val="0"/>
        <w:numPr>
          <w:ilvl w:val="0"/>
          <w:numId w:val="18"/>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支持12位字符串；</w:t>
      </w:r>
    </w:p>
    <w:p w14:paraId="2D8114B4">
      <w:pPr>
        <w:keepNext w:val="0"/>
        <w:keepLines w:val="0"/>
        <w:pageBreakBefore w:val="0"/>
        <w:numPr>
          <w:ilvl w:val="0"/>
          <w:numId w:val="18"/>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在加扰过程中，能根据加扰奇ODD/偶Even设置，对数据进行加密处理。</w:t>
      </w:r>
    </w:p>
    <w:p w14:paraId="04863214">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4.7网络管理系统的要求</w:t>
      </w:r>
    </w:p>
    <w:p w14:paraId="57877D9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★4.7.1概述</w:t>
      </w:r>
    </w:p>
    <w:p w14:paraId="6F1D99D6">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卖方必须描述设备所采用及支持的网管协议，必须提供所有的接口协议规范；</w:t>
      </w:r>
    </w:p>
    <w:p w14:paraId="1DC2C469">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卖方必须保证网管软件的可升级性和不同版本之间的兼容性，并予以说明；</w:t>
      </w:r>
    </w:p>
    <w:p w14:paraId="3417DD36">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卖方必须说明网管的软硬件配置及操作系统平台；</w:t>
      </w:r>
    </w:p>
    <w:p w14:paraId="663075FD">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卖方必须对网管系统的工作流程进行说明；</w:t>
      </w:r>
    </w:p>
    <w:p w14:paraId="548B258F">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卖方必须提供网管系统的可管理的最大节点数；</w:t>
      </w:r>
    </w:p>
    <w:p w14:paraId="21B59C14">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网管系统必须有友好的GUI用户界面，操作简便直观，是否支持WEB方式；</w:t>
      </w:r>
    </w:p>
    <w:p w14:paraId="4EE461A7">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网管应该具备简单的码流分析功能；</w:t>
      </w:r>
    </w:p>
    <w:p w14:paraId="45B06348">
      <w:pPr>
        <w:keepNext w:val="0"/>
        <w:keepLines w:val="0"/>
        <w:pageBreakBefore w:val="0"/>
        <w:numPr>
          <w:ilvl w:val="0"/>
          <w:numId w:val="1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如果有多个网管系统，请提供集成方案。</w:t>
      </w:r>
    </w:p>
    <w:p w14:paraId="149CCA4C">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4.7.2网管的功能</w:t>
      </w:r>
    </w:p>
    <w:p w14:paraId="0C031DE2">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网管应包括以下功能：配置管理、性能管理、安全管理、故障管理。</w:t>
      </w:r>
    </w:p>
    <w:p w14:paraId="2BCFCA56">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4.7.3性能管理</w:t>
      </w:r>
    </w:p>
    <w:p w14:paraId="54506294">
      <w:pPr>
        <w:keepNext w:val="0"/>
        <w:keepLines w:val="0"/>
        <w:pageBreakBefore w:val="0"/>
        <w:kinsoku/>
        <w:wordWrap/>
        <w:overflowPunct/>
        <w:topLinePunct w:val="0"/>
        <w:autoSpaceDE w:val="0"/>
        <w:autoSpaceDN w:val="0"/>
        <w:bidi w:val="0"/>
        <w:adjustRightInd w:val="0"/>
        <w:spacing w:line="360" w:lineRule="auto"/>
        <w:ind w:left="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性能管理主要包括：</w:t>
      </w:r>
    </w:p>
    <w:p w14:paraId="74ED5D99">
      <w:pPr>
        <w:keepNext w:val="0"/>
        <w:keepLines w:val="0"/>
        <w:pageBreakBefore w:val="0"/>
        <w:numPr>
          <w:ilvl w:val="0"/>
          <w:numId w:val="20"/>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记录、统计并报告系统资源利用情况，并形成性能管理日志文件；</w:t>
      </w:r>
    </w:p>
    <w:p w14:paraId="76398493">
      <w:pPr>
        <w:keepNext w:val="0"/>
        <w:keepLines w:val="0"/>
        <w:pageBreakBefore w:val="0"/>
        <w:numPr>
          <w:ilvl w:val="0"/>
          <w:numId w:val="20"/>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应能够对资源监测的门限值、告警的门限值进行设置；</w:t>
      </w:r>
    </w:p>
    <w:p w14:paraId="77375FEA">
      <w:pPr>
        <w:keepNext w:val="0"/>
        <w:keepLines w:val="0"/>
        <w:pageBreakBefore w:val="0"/>
        <w:numPr>
          <w:ilvl w:val="0"/>
          <w:numId w:val="20"/>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网管系统应能将配置好的设置以文件方式存盘，同时也可以快速导入。</w:t>
      </w:r>
    </w:p>
    <w:p w14:paraId="318FE825">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★4.7.4安全管理</w:t>
      </w:r>
    </w:p>
    <w:p w14:paraId="716FB7C2">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网管系统应具有配置用户识别符、口令、访问控制级别和范围的功能，对用户权限进行鉴定，防止非法访问，记录全部登录过程和操作过程，提供安全日志，提供超时管理，安全注销等安全管理功能。</w:t>
      </w:r>
    </w:p>
    <w:p w14:paraId="050516CA">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4.7.5故障管理</w:t>
      </w:r>
    </w:p>
    <w:p w14:paraId="2BFE0A8B">
      <w:pPr>
        <w:keepNext w:val="0"/>
        <w:keepLines w:val="0"/>
        <w:pageBreakBefore w:val="0"/>
        <w:numPr>
          <w:ilvl w:val="0"/>
          <w:numId w:val="2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卖方应说明网管系统如何保证故障信息的可靠传送；</w:t>
      </w:r>
    </w:p>
    <w:p w14:paraId="5D6C0CEF">
      <w:pPr>
        <w:keepNext w:val="0"/>
        <w:keepLines w:val="0"/>
        <w:pageBreakBefore w:val="0"/>
        <w:numPr>
          <w:ilvl w:val="0"/>
          <w:numId w:val="2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网管系统应该能在设备失效、指标劣化到一定程度时发出告警声音和错误提示；</w:t>
      </w:r>
    </w:p>
    <w:p w14:paraId="7A73707A">
      <w:pPr>
        <w:keepNext w:val="0"/>
        <w:keepLines w:val="0"/>
        <w:pageBreakBefore w:val="0"/>
        <w:numPr>
          <w:ilvl w:val="0"/>
          <w:numId w:val="2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网管系统应该能够以图形方式显示网络的故障位置，并有声光电告警；</w:t>
      </w:r>
    </w:p>
    <w:p w14:paraId="285217D1">
      <w:pPr>
        <w:keepNext w:val="0"/>
        <w:keepLines w:val="0"/>
        <w:pageBreakBefore w:val="0"/>
        <w:numPr>
          <w:ilvl w:val="0"/>
          <w:numId w:val="2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网管系统应该保存一定阶段的告警历史记录，以便对告警报告进行检索并详细分析，同时可人工或自动地删除告警报告；</w:t>
      </w:r>
    </w:p>
    <w:p w14:paraId="21CAD16B">
      <w:pPr>
        <w:keepNext w:val="0"/>
        <w:keepLines w:val="0"/>
        <w:pageBreakBefore w:val="0"/>
        <w:numPr>
          <w:ilvl w:val="0"/>
          <w:numId w:val="21"/>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由于网络故障会出现大量相关的故障信息，卖方应说明网管系统是否支持故障信息的过滤，关联等智能处理。</w:t>
      </w:r>
    </w:p>
    <w:p w14:paraId="6BABF57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★4.8设备冗余的要求</w:t>
      </w:r>
    </w:p>
    <w:p w14:paraId="116A843F">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4.8.1冗余切换部件</w:t>
      </w:r>
    </w:p>
    <w:p w14:paraId="779A2CD3">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卖方提供设备中，电源模块、风扇、控制管理模块、引擎等模块应该具备冗余切换部件，设备配置必须是具备1：1或者N：M冗余备份的配置。</w:t>
      </w:r>
    </w:p>
    <w:p w14:paraId="7069FFE5">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4.8.2热插拔切换部件</w:t>
      </w:r>
    </w:p>
    <w:p w14:paraId="38CC3B57">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卖方所有硬件模块都可以热插拨而不影响业务。</w:t>
      </w:r>
    </w:p>
    <w:p w14:paraId="23D571EB">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4.8.3设备是否具备其他特点</w:t>
      </w:r>
    </w:p>
    <w:p w14:paraId="1A2C63A6">
      <w:pPr>
        <w:keepNext w:val="0"/>
        <w:keepLines w:val="0"/>
        <w:pageBreakBefore w:val="0"/>
        <w:kinsoku/>
        <w:wordWrap/>
        <w:overflowPunct/>
        <w:topLinePunct w:val="0"/>
        <w:bidi w:val="0"/>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系统必须具备设备、板卡、端口、节目自动和手动备份功能；提供实现机理、系统方案图。</w:t>
      </w:r>
    </w:p>
    <w:p w14:paraId="67D322AE">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4.9软硬件结构</w:t>
      </w:r>
    </w:p>
    <w:p w14:paraId="34A3EA4C">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4.9.1软件要求</w:t>
      </w:r>
    </w:p>
    <w:p w14:paraId="66394854">
      <w:pPr>
        <w:keepNext w:val="0"/>
        <w:keepLines w:val="0"/>
        <w:pageBreakBefore w:val="0"/>
        <w:numPr>
          <w:ilvl w:val="0"/>
          <w:numId w:val="2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软件设计应为分层的模块结构，模块之间的通信应按国际标准规定的接口，任一软件模块的维护更新将不影响其它软件模块；</w:t>
      </w:r>
    </w:p>
    <w:p w14:paraId="2A0BEBAA">
      <w:pPr>
        <w:keepNext w:val="0"/>
        <w:keepLines w:val="0"/>
        <w:pageBreakBefore w:val="0"/>
        <w:numPr>
          <w:ilvl w:val="0"/>
          <w:numId w:val="2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卖方提供的软件要齐全，应支持软件的在线升级。软件升级中断业务的时间不超过5秒。网管可以指定升级时间。若版本升级没有成功，系统应有能力切换回原软件版本继续工作；</w:t>
      </w:r>
    </w:p>
    <w:p w14:paraId="7A6EEFDF">
      <w:pPr>
        <w:keepNext w:val="0"/>
        <w:keepLines w:val="0"/>
        <w:pageBreakBefore w:val="0"/>
        <w:numPr>
          <w:ilvl w:val="0"/>
          <w:numId w:val="22"/>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所有软件必须是原版正版，卖方必须拥有版权，或拥有版权商的正式授权书。</w:t>
      </w:r>
    </w:p>
    <w:p w14:paraId="106C307C">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4.9.2硬件要求</w:t>
      </w:r>
    </w:p>
    <w:p w14:paraId="19F0792B">
      <w:pPr>
        <w:keepNext w:val="0"/>
        <w:keepLines w:val="0"/>
        <w:pageBreakBefore w:val="0"/>
        <w:kinsoku/>
        <w:wordWrap/>
        <w:overflowPunct/>
        <w:topLinePunct w:val="0"/>
        <w:autoSpaceDE w:val="0"/>
        <w:autoSpaceDN w:val="0"/>
        <w:bidi w:val="0"/>
        <w:adjustRightInd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(1)所提供设备的机架应采用国际标准且符合买方要求的结构。为便于买方扩容，卖方应提供设备的最大容量及网管管理系统最大可监控的设备数量及容量；</w:t>
      </w:r>
    </w:p>
    <w:p w14:paraId="597A3A28">
      <w:pPr>
        <w:keepNext w:val="0"/>
        <w:keepLines w:val="0"/>
        <w:pageBreakBefore w:val="0"/>
        <w:numPr>
          <w:ilvl w:val="1"/>
          <w:numId w:val="0"/>
        </w:numPr>
        <w:kinsoku/>
        <w:wordWrap/>
        <w:overflowPunct/>
        <w:topLinePunct w:val="0"/>
        <w:bidi w:val="0"/>
        <w:snapToGrid w:val="0"/>
        <w:spacing w:line="360" w:lineRule="auto"/>
        <w:ind w:left="210" w:leftChars="100"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(2)卖方应提供设备向外辐射电磁场强度和承受外界电磁干扰的电磁兼容的指标和测试方法。</w:t>
      </w:r>
    </w:p>
    <w:p w14:paraId="501253D4">
      <w:pPr>
        <w:keepNext w:val="0"/>
        <w:keepLines w:val="0"/>
        <w:pageBreakBefore w:val="0"/>
        <w:numPr>
          <w:ilvl w:val="0"/>
          <w:numId w:val="1"/>
        </w:numPr>
        <w:kinsoku/>
        <w:wordWrap/>
        <w:overflowPunct/>
        <w:topLinePunct w:val="0"/>
        <w:bidi w:val="0"/>
        <w:spacing w:line="360" w:lineRule="auto"/>
        <w:outlineLvl w:val="1"/>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射频调制设备技术要求</w:t>
      </w:r>
    </w:p>
    <w:p w14:paraId="60CF8AAD">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5.1参考依据</w:t>
      </w:r>
    </w:p>
    <w:p w14:paraId="1507F534">
      <w:pPr>
        <w:keepNext w:val="0"/>
        <w:keepLines w:val="0"/>
        <w:pageBreakBefore w:val="0"/>
        <w:numPr>
          <w:ilvl w:val="1"/>
          <w:numId w:val="0"/>
        </w:numPr>
        <w:kinsoku/>
        <w:wordWrap/>
        <w:overflowPunct/>
        <w:topLinePunct w:val="0"/>
        <w:bidi w:val="0"/>
        <w:snapToGrid w:val="0"/>
        <w:spacing w:line="360" w:lineRule="auto"/>
        <w:ind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w:t>
      </w:r>
      <w:r>
        <w:rPr>
          <w:rFonts w:hint="default" w:ascii="Times New Roman" w:hAnsi="Times New Roman" w:cs="Times New Roman"/>
          <w:color w:val="000000" w:themeColor="text1"/>
          <w14:textFill>
            <w14:solidFill>
              <w14:schemeClr w14:val="tx1"/>
            </w14:solidFill>
          </w14:textFill>
        </w:rPr>
        <w:t>《ISO_IEC_13818》</w:t>
      </w:r>
    </w:p>
    <w:p w14:paraId="6D568402">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《GY/T 170-2001 有线数字电视广播信道编码与调制规范》</w:t>
      </w:r>
    </w:p>
    <w:p w14:paraId="2B1342CE">
      <w:pPr>
        <w:keepNext w:val="0"/>
        <w:keepLines w:val="0"/>
        <w:pageBreakBefore w:val="0"/>
        <w:numPr>
          <w:ilvl w:val="1"/>
          <w:numId w:val="0"/>
        </w:numPr>
        <w:kinsoku/>
        <w:wordWrap/>
        <w:overflowPunct/>
        <w:topLinePunct w:val="0"/>
        <w:bidi w:val="0"/>
        <w:snapToGrid w:val="0"/>
        <w:spacing w:line="360" w:lineRule="auto"/>
        <w:ind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r>
        <w:rPr>
          <w:rFonts w:hint="default" w:ascii="Times New Roman" w:hAnsi="Times New Roman" w:cs="Times New Roman"/>
          <w:color w:val="000000" w:themeColor="text1"/>
          <w14:textFill>
            <w14:solidFill>
              <w14:schemeClr w14:val="tx1"/>
            </w14:solidFill>
          </w14:textFill>
        </w:rPr>
        <w:t>《GY/T 221-2006 有线数字电视系统技术要求和测量方法》</w:t>
      </w:r>
    </w:p>
    <w:p w14:paraId="1CF698E7">
      <w:pPr>
        <w:keepNext w:val="0"/>
        <w:keepLines w:val="0"/>
        <w:pageBreakBefore w:val="0"/>
        <w:numPr>
          <w:ilvl w:val="1"/>
          <w:numId w:val="0"/>
        </w:numPr>
        <w:kinsoku/>
        <w:wordWrap/>
        <w:overflowPunct/>
        <w:topLinePunct w:val="0"/>
        <w:bidi w:val="0"/>
        <w:snapToGrid w:val="0"/>
        <w:spacing w:line="360" w:lineRule="auto"/>
        <w:ind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w:t>
      </w:r>
      <w:r>
        <w:rPr>
          <w:rFonts w:hint="default" w:ascii="Times New Roman" w:hAnsi="Times New Roman" w:cs="Times New Roman"/>
          <w:color w:val="000000" w:themeColor="text1"/>
          <w14:textFill>
            <w14:solidFill>
              <w14:schemeClr w14:val="tx1"/>
            </w14:solidFill>
          </w14:textFill>
        </w:rPr>
        <w:t>《GY/T257.1-2012 广播电视先进视频编解码第一部分视频》</w:t>
      </w:r>
    </w:p>
    <w:p w14:paraId="3B549502">
      <w:pPr>
        <w:keepNext w:val="0"/>
        <w:keepLines w:val="0"/>
        <w:pageBreakBefore w:val="0"/>
        <w:numPr>
          <w:ilvl w:val="1"/>
          <w:numId w:val="0"/>
        </w:numPr>
        <w:kinsoku/>
        <w:wordWrap/>
        <w:overflowPunct/>
        <w:topLinePunct w:val="0"/>
        <w:bidi w:val="0"/>
        <w:snapToGrid w:val="0"/>
        <w:spacing w:line="360" w:lineRule="auto"/>
        <w:ind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《GB/T 28161-2011 数字电视广播业务信息规范》</w:t>
      </w:r>
    </w:p>
    <w:p w14:paraId="36E54552">
      <w:pPr>
        <w:keepNext w:val="0"/>
        <w:keepLines w:val="0"/>
        <w:pageBreakBefore w:val="0"/>
        <w:numPr>
          <w:ilvl w:val="1"/>
          <w:numId w:val="0"/>
        </w:numPr>
        <w:kinsoku/>
        <w:wordWrap/>
        <w:overflowPunct/>
        <w:topLinePunct w:val="0"/>
        <w:bidi w:val="0"/>
        <w:snapToGrid w:val="0"/>
        <w:spacing w:line="360" w:lineRule="auto"/>
        <w:ind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w:t>
      </w:r>
      <w:r>
        <w:rPr>
          <w:rFonts w:hint="default" w:ascii="Times New Roman" w:hAnsi="Times New Roman" w:cs="Times New Roman"/>
          <w:color w:val="000000" w:themeColor="text1"/>
          <w14:textFill>
            <w14:solidFill>
              <w14:schemeClr w14:val="tx1"/>
            </w14:solidFill>
          </w14:textFill>
        </w:rPr>
        <w:t>《GB/T 28160-2011 数字电视广播电子节目指南规范》</w:t>
      </w:r>
    </w:p>
    <w:p w14:paraId="14A11B3B">
      <w:pPr>
        <w:keepNext w:val="0"/>
        <w:keepLines w:val="0"/>
        <w:pageBreakBefore w:val="0"/>
        <w:numPr>
          <w:ilvl w:val="1"/>
          <w:numId w:val="0"/>
        </w:numPr>
        <w:kinsoku/>
        <w:wordWrap/>
        <w:overflowPunct/>
        <w:topLinePunct w:val="0"/>
        <w:bidi w:val="0"/>
        <w:snapToGrid w:val="0"/>
        <w:spacing w:line="360" w:lineRule="auto"/>
        <w:ind w:left="210" w:left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w:t>
      </w:r>
      <w:r>
        <w:rPr>
          <w:rFonts w:hint="default" w:ascii="Times New Roman" w:hAnsi="Times New Roman" w:cs="Times New Roman"/>
          <w:color w:val="000000" w:themeColor="text1"/>
          <w14:textFill>
            <w14:solidFill>
              <w14:schemeClr w14:val="tx1"/>
            </w14:solidFill>
          </w14:textFill>
        </w:rPr>
        <w:t>《GB/T 17975.1-2010 信息技术 运动图像及其伴音信息的通用编码 第1部分：系统》</w:t>
      </w:r>
    </w:p>
    <w:p w14:paraId="65FFCB63">
      <w:pPr>
        <w:keepNext w:val="0"/>
        <w:keepLines w:val="0"/>
        <w:pageBreakBefore w:val="0"/>
        <w:numPr>
          <w:ilvl w:val="1"/>
          <w:numId w:val="0"/>
        </w:numPr>
        <w:kinsoku/>
        <w:wordWrap/>
        <w:overflowPunct/>
        <w:topLinePunct w:val="0"/>
        <w:bidi w:val="0"/>
        <w:snapToGrid w:val="0"/>
        <w:spacing w:line="360" w:lineRule="auto"/>
        <w:ind w:left="210" w:left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(8)</w:t>
      </w:r>
      <w:r>
        <w:rPr>
          <w:rFonts w:hint="default" w:ascii="Times New Roman" w:hAnsi="Times New Roman" w:cs="Times New Roman"/>
          <w:color w:val="000000" w:themeColor="text1"/>
          <w14:textFill>
            <w14:solidFill>
              <w14:schemeClr w14:val="tx1"/>
            </w14:solidFill>
          </w14:textFill>
        </w:rPr>
        <w:t>《GY/T 198-2003 有线数字电视广播QAM调制器技术要求和测量方法》</w:t>
      </w:r>
    </w:p>
    <w:p w14:paraId="46570C67">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5.2高密度性能技术要求</w:t>
      </w:r>
    </w:p>
    <w:p w14:paraId="1483AE07">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5.2.1前端射频调制设备的输入信号可以调度到机框内所有板卡上的任意端口的任意频点；</w:t>
      </w:r>
    </w:p>
    <w:p w14:paraId="1AB7F785">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5.2.2输出频率范围需满足45-1000MHz，调谐频率步进≦200KHz，滚降系数0.15；</w:t>
      </w:r>
    </w:p>
    <w:p w14:paraId="2E5FFE05">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5.2.3前端射频调制设备在单频点模式下最大输出不小于62dBmV,4频点模式下最大输出不小于54dBmV，8</w:t>
      </w:r>
    </w:p>
    <w:p w14:paraId="1E9F6CE7">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频点模式下最大输出不小于52dBmV；</w:t>
      </w:r>
    </w:p>
    <w:p w14:paraId="3A472905">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5.2.4前端射频调制设备的输出电平必须≥100dBμV，投标人须说明射频最大输出电平、射频电平可调范围、</w:t>
      </w:r>
    </w:p>
    <w:p w14:paraId="6521AD9C">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带外抑制及邻频指标；</w:t>
      </w:r>
    </w:p>
    <w:p w14:paraId="580E35C1">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5.2.5设备单个射频口输出必须具备频点数≥8频点；</w:t>
      </w:r>
    </w:p>
    <w:p w14:paraId="3430FF29">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5.2.6设备整机（满配情况）输出必须具备频点数≥96个频点；</w:t>
      </w:r>
    </w:p>
    <w:p w14:paraId="56B99DC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5.2.7单个射频口输出口在45-1000MHz范围内任意2个频点可调，且能满足江苏省网各地区频谱要求；</w:t>
      </w:r>
    </w:p>
    <w:p w14:paraId="29E621D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5.2.8前端射频调制设备具备节目再复用功能，具备PID过滤功能。</w:t>
      </w:r>
    </w:p>
    <w:p w14:paraId="3C753CCA">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5.3输入单元技术要求</w:t>
      </w:r>
    </w:p>
    <w:p w14:paraId="5E037362">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5.3.1输入单元物理端口具备4路以上标准SFP接口，支持第三方的以太网光模块和电模块，而且每个输入</w:t>
      </w:r>
    </w:p>
    <w:p w14:paraId="78A9E9CC">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单元物理端口必须满足同时使用功能；</w:t>
      </w:r>
    </w:p>
    <w:p w14:paraId="297B1DD6">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5.3.2输入单元必须具备单路千兆GE输入流量大于≥950Mbps，不会出现丢包、误码的情况；</w:t>
      </w:r>
    </w:p>
    <w:p w14:paraId="733475C7">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5.3.3输入单元的输入端口的IP抗抖动能力；</w:t>
      </w:r>
    </w:p>
    <w:p w14:paraId="3E9747BB">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5.3.4输入单元端口必须具备所投标设备满配情况下1:1的端口备份能力；</w:t>
      </w:r>
    </w:p>
    <w:p w14:paraId="4CA7B54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5.3.5输入单元端口可以具备节目再复用能力，以及切换保护能力；</w:t>
      </w:r>
    </w:p>
    <w:p w14:paraId="58E1AD7F">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5.3.6输入单元端口可以具备自动切换和手动切换两种模式；</w:t>
      </w:r>
    </w:p>
    <w:p w14:paraId="64C9B907">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5.3.7输入单元必须具备能输入SPTS和MPTS，具备UDP单播和组播方式；</w:t>
      </w:r>
    </w:p>
    <w:p w14:paraId="29CC1DDB">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5.3.8输入单元必须具备对MPEG-2、H.264和MPEG-4的编码格式的支持。</w:t>
      </w:r>
    </w:p>
    <w:p w14:paraId="577EFCF1">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5.4调制单元技术要求</w:t>
      </w:r>
    </w:p>
    <w:p w14:paraId="3DBA8018">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5.4.1调制单元必须具备64、256QAM调制方式；</w:t>
      </w:r>
    </w:p>
    <w:p w14:paraId="36D0EAB1">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5.4.2调制单元可以具备3.6～6.95MS/s可调符号率；</w:t>
      </w:r>
    </w:p>
    <w:p w14:paraId="07C85734">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5.4.3调制单元具备110～1000MHz频率捷变可调；</w:t>
      </w:r>
    </w:p>
    <w:p w14:paraId="2BC623A2">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5.4.4调制单元可以具备载波频率偏差≤500Hz；</w:t>
      </w:r>
    </w:p>
    <w:p w14:paraId="6B51CB1A">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5.4.5调制单元必须具备单个物理端口4/8个频点情况下可调的输出电平不低于52/48dBmV；</w:t>
      </w:r>
    </w:p>
    <w:p w14:paraId="3BE988B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5.4.6调制单元必须具备单个物理端口只打开单个频点情况下可调的输出电平不低于60dBmV；</w:t>
      </w:r>
    </w:p>
    <w:p w14:paraId="092E165E">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5.4.7调制单元端口的反射损耗不低于12dB；</w:t>
      </w:r>
    </w:p>
    <w:p w14:paraId="481CD7BC">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5.4.8调制单元调制误码率不低于40dB；</w:t>
      </w:r>
    </w:p>
    <w:p w14:paraId="158D1AFF">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5.4.9调制单元单频点、单端口、单板卡的带外寄生产物不低于50dB（频段范围110～1000MHz）；</w:t>
      </w:r>
    </w:p>
    <w:p w14:paraId="615157FD">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5.4.10调制单元可以支持单频点、单端口、单板卡的带外寄生产物大于55dB（频段范围110～1000MHz）；</w:t>
      </w:r>
    </w:p>
    <w:p w14:paraId="08A97D5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5.4.11调制单元110～860MHz范围内的幅频特性≤4.2dB；</w:t>
      </w:r>
    </w:p>
    <w:p w14:paraId="693988A8">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5.4.12调制单元的调制方式必须为数字调制或上变频调制，投标人必须对调制原理进行说明；</w:t>
      </w:r>
    </w:p>
    <w:p w14:paraId="5F3C750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5.4.13调制单元具备单个频点关闭功能（关闭指定某个端口的某个频点的信号输出）；</w:t>
      </w:r>
    </w:p>
    <w:p w14:paraId="2D61E815">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5.4.14调制单元具备标清和高清节目等不同编码各式的节目流在同一通道内同时混合调制传输；</w:t>
      </w:r>
    </w:p>
    <w:p w14:paraId="20112800">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5.4.15调制单元单路频道在64QAM调制时，输出流量大于38Mbps，不会出现丢包、误码的情况；</w:t>
      </w:r>
    </w:p>
    <w:p w14:paraId="4D384E95">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5.4.16调制单元单路频道在256QAM调制时，输出流量大于50Mbps，不会出现丢包、误码的情况。</w:t>
      </w:r>
    </w:p>
    <w:p w14:paraId="7FCA313E">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5.5系统功能要求</w:t>
      </w:r>
    </w:p>
    <w:p w14:paraId="6A39C2C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★5.5.1投标人提供的前端射频调制设备单端口满足两个以上不连续的频点输出要求；</w:t>
      </w:r>
    </w:p>
    <w:p w14:paraId="1E1F5208">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★5.5.2前端射频调制设备需具备复用功能（可将不同组播路由的EPG流，节目流复用后进行频点调制），</w:t>
      </w:r>
    </w:p>
    <w:p w14:paraId="44F1B092">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及特定PID过滤的功能。</w:t>
      </w:r>
    </w:p>
    <w:p w14:paraId="78063816">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5.6网管</w:t>
      </w:r>
    </w:p>
    <w:p w14:paraId="21A29B5B">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5.6.1具备设备管理、告警集中等功能；</w:t>
      </w:r>
    </w:p>
    <w:p w14:paraId="762EB32B">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5.6.2必须能在网管上对所有参数进行配置，对软硬件进行检查；</w:t>
      </w:r>
    </w:p>
    <w:p w14:paraId="789C72E7">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5.6.3网管系统必须能在设备失效、指标劣化到一定程度时发出告警和错误提示；</w:t>
      </w:r>
    </w:p>
    <w:p w14:paraId="43154BD4">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5.6.4设备网管可以提供简单的码流分析功能，即通过网管界面，观察到整机、单个GE端口、输出端口及</w:t>
      </w:r>
    </w:p>
    <w:p w14:paraId="24F0F28B">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输入输出单个频道的信息和带宽等数据；</w:t>
      </w:r>
    </w:p>
    <w:p w14:paraId="4A958441">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5.6.5网管系统必须支持设备配置从设备导出到本地，以及从本地导入到设备；</w:t>
      </w:r>
    </w:p>
    <w:p w14:paraId="64FF8F92">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5.6.6记录、统计并报告系统资源利用情况，并形成性能管理日志文件；</w:t>
      </w:r>
    </w:p>
    <w:p w14:paraId="3B33CBB3">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5.6.7网管系统应具有配置用户识别符、口令、访问控制级别和范围的功能；</w:t>
      </w:r>
    </w:p>
    <w:p w14:paraId="4D1A6EF0">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5.6.8对用户权限进行鉴定，防止非法访问；</w:t>
      </w:r>
    </w:p>
    <w:p w14:paraId="0D7DF6CE">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5.6.9提供安全日志，提供超时管理，安全注销等安全管理功能。</w:t>
      </w:r>
    </w:p>
    <w:p w14:paraId="124DDC8A">
      <w:pPr>
        <w:keepNext w:val="0"/>
        <w:keepLines w:val="0"/>
        <w:pageBreakBefore w:val="0"/>
        <w:numPr>
          <w:ilvl w:val="0"/>
          <w:numId w:val="1"/>
        </w:numPr>
        <w:kinsoku/>
        <w:wordWrap/>
        <w:overflowPunct/>
        <w:topLinePunct w:val="0"/>
        <w:bidi w:val="0"/>
        <w:spacing w:line="360" w:lineRule="auto"/>
        <w:ind w:left="567" w:hanging="567"/>
        <w:outlineLvl w:val="1"/>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技术服务要求</w:t>
      </w:r>
    </w:p>
    <w:p w14:paraId="66C94382">
      <w:pPr>
        <w:keepNext w:val="0"/>
        <w:keepLines w:val="0"/>
        <w:pageBreakBefore w:val="0"/>
        <w:numPr>
          <w:ilvl w:val="1"/>
          <w:numId w:val="0"/>
        </w:numPr>
        <w:kinsoku/>
        <w:wordWrap/>
        <w:overflowPunct/>
        <w:topLinePunct w:val="0"/>
        <w:bidi w:val="0"/>
        <w:snapToGrid w:val="0"/>
        <w:spacing w:line="360" w:lineRule="auto"/>
        <w:ind w:left="567" w:hanging="56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6.1服务安装要求</w:t>
      </w:r>
    </w:p>
    <w:p w14:paraId="6C144657">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kern w:val="0"/>
          <w:szCs w:val="21"/>
          <w:lang w:val="en-GB"/>
          <w14:textFill>
            <w14:solidFill>
              <w14:schemeClr w14:val="tx1"/>
            </w14:solidFill>
          </w14:textFill>
        </w:rPr>
        <w:t>6.1.1投标人须提供设备辅材有：网线、水晶头、</w:t>
      </w:r>
      <w:r>
        <w:rPr>
          <w:rFonts w:hint="default" w:ascii="Times New Roman" w:hAnsi="Times New Roman" w:cs="Times New Roman"/>
          <w:color w:val="000000" w:themeColor="text1"/>
          <w:szCs w:val="21"/>
          <w14:textFill>
            <w14:solidFill>
              <w14:schemeClr w14:val="tx1"/>
            </w14:solidFill>
          </w14:textFill>
        </w:rPr>
        <w:t>线扎、尾纤、光模块、电源线等。性能参数如下：</w:t>
      </w:r>
    </w:p>
    <w:p w14:paraId="0E37797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kern w:val="0"/>
          <w:szCs w:val="21"/>
          <w:lang w:val="en-GB"/>
          <w14:textFill>
            <w14:solidFill>
              <w14:schemeClr w14:val="tx1"/>
            </w14:solidFill>
          </w14:textFill>
        </w:rPr>
      </w:pPr>
      <w:r>
        <w:rPr>
          <w:rFonts w:hint="default" w:ascii="Times New Roman" w:hAnsi="Times New Roman" w:cs="Times New Roman"/>
          <w:color w:val="000000" w:themeColor="text1"/>
          <w:kern w:val="0"/>
          <w:szCs w:val="21"/>
          <w:lang w:val="en-GB"/>
          <w14:textFill>
            <w14:solidFill>
              <w14:schemeClr w14:val="tx1"/>
            </w14:solidFill>
          </w14:textFill>
        </w:rPr>
        <w:t>6.1.1.1网线</w:t>
      </w:r>
    </w:p>
    <w:p w14:paraId="4AD2348E">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支持1000Base-TX标准，性能超过TIA/EIA 568B和ISO超五类/D级标准；</w:t>
      </w:r>
    </w:p>
    <w:p w14:paraId="1E66805B">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阻抗：100ohms±15﹪，1- 600MHz；</w:t>
      </w:r>
    </w:p>
    <w:p w14:paraId="01041D3D">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传输延迟：&lt;536ns/100m@250MHz；</w:t>
      </w:r>
    </w:p>
    <w:p w14:paraId="5ECA7F80">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延迟偏移：&lt;45ns；</w:t>
      </w:r>
    </w:p>
    <w:p w14:paraId="06D38627">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导体电阻：66.58 ohms max/km；</w:t>
      </w:r>
    </w:p>
    <w:p w14:paraId="5FAFA064">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直流电阻：≤7.55Ω；</w:t>
      </w:r>
    </w:p>
    <w:p w14:paraId="60A4FCC6">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导线：</w:t>
      </w:r>
      <w:r>
        <w:rPr>
          <w:rFonts w:hint="default" w:ascii="Times New Roman" w:hAnsi="Times New Roman" w:cs="Times New Roman"/>
          <w:bCs/>
          <w:color w:val="000000" w:themeColor="text1"/>
          <w:szCs w:val="21"/>
          <w14:textFill>
            <w14:solidFill>
              <w14:schemeClr w14:val="tx1"/>
            </w14:solidFill>
          </w14:textFill>
        </w:rPr>
        <w:t>实心裸铜导体；</w:t>
      </w:r>
    </w:p>
    <w:p w14:paraId="066541D7">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外皮：FR PVC；</w:t>
      </w:r>
    </w:p>
    <w:p w14:paraId="17A77C25">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支持1G的传输速率；</w:t>
      </w:r>
    </w:p>
    <w:p w14:paraId="0A0AE86C">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提供至少三种可选颜色；</w:t>
      </w:r>
    </w:p>
    <w:p w14:paraId="5731975E">
      <w:pPr>
        <w:pStyle w:val="9"/>
        <w:keepNext w:val="0"/>
        <w:keepLines w:val="0"/>
        <w:pageBreakBefore w:val="0"/>
        <w:numPr>
          <w:ilvl w:val="0"/>
          <w:numId w:val="23"/>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规格型号满足招标人要求。</w:t>
      </w:r>
    </w:p>
    <w:p w14:paraId="3C4B3C70">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kern w:val="0"/>
          <w:szCs w:val="21"/>
          <w:lang w:val="en-GB"/>
          <w14:textFill>
            <w14:solidFill>
              <w14:schemeClr w14:val="tx1"/>
            </w14:solidFill>
          </w14:textFill>
        </w:rPr>
      </w:pPr>
      <w:r>
        <w:rPr>
          <w:rFonts w:hint="default" w:ascii="Times New Roman" w:hAnsi="Times New Roman" w:cs="Times New Roman"/>
          <w:color w:val="000000" w:themeColor="text1"/>
          <w:kern w:val="0"/>
          <w:szCs w:val="21"/>
          <w:lang w:val="en-GB"/>
          <w14:textFill>
            <w14:solidFill>
              <w14:schemeClr w14:val="tx1"/>
            </w14:solidFill>
          </w14:textFill>
        </w:rPr>
        <w:t>6.1.1.2水晶头</w:t>
      </w:r>
    </w:p>
    <w:p w14:paraId="3FED0561">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导体类型：实芯/绞式；</w:t>
      </w:r>
    </w:p>
    <w:p w14:paraId="107D2434">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针数：8；</w:t>
      </w:r>
    </w:p>
    <w:p w14:paraId="0A343921">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触点基础材质：磷青铜；</w:t>
      </w:r>
    </w:p>
    <w:p w14:paraId="73755CC1">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触点啮合区域镀层材质：金；</w:t>
      </w:r>
    </w:p>
    <w:p w14:paraId="1E047274">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触点啮合区域镀层厚度：50.00 µin|1.27 µm；</w:t>
      </w:r>
    </w:p>
    <w:p w14:paraId="0CE58BED">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加载触点数：8；</w:t>
      </w:r>
    </w:p>
    <w:p w14:paraId="407B01F1">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外壳材质：玻璃填充聚碳酸酯；</w:t>
      </w:r>
    </w:p>
    <w:p w14:paraId="783AE077">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线缆/电缆端接方式：绝缘置换压接（IDC）；</w:t>
      </w:r>
    </w:p>
    <w:p w14:paraId="2ADB397A">
      <w:pPr>
        <w:pStyle w:val="9"/>
        <w:keepNext w:val="0"/>
        <w:keepLines w:val="0"/>
        <w:pageBreakBefore w:val="0"/>
        <w:numPr>
          <w:ilvl w:val="0"/>
          <w:numId w:val="24"/>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规格型号满足招标人要求。</w:t>
      </w:r>
    </w:p>
    <w:p w14:paraId="41906A5D">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kern w:val="0"/>
          <w:szCs w:val="21"/>
          <w:lang w:val="en-GB"/>
          <w14:textFill>
            <w14:solidFill>
              <w14:schemeClr w14:val="tx1"/>
            </w14:solidFill>
          </w14:textFill>
        </w:rPr>
      </w:pPr>
      <w:r>
        <w:rPr>
          <w:rFonts w:hint="default" w:ascii="Times New Roman" w:hAnsi="Times New Roman" w:cs="Times New Roman"/>
          <w:color w:val="000000" w:themeColor="text1"/>
          <w:kern w:val="0"/>
          <w:szCs w:val="21"/>
          <w:lang w:val="en-GB"/>
          <w14:textFill>
            <w14:solidFill>
              <w14:schemeClr w14:val="tx1"/>
            </w14:solidFill>
          </w14:textFill>
        </w:rPr>
        <w:t>6.1.1.3尾纤</w:t>
      </w:r>
    </w:p>
    <w:p w14:paraId="3A100EC0">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外观：平滑、洁净、无油污、无伤痕和裂纹，零件组合平正，插头与转接器的接合平顺，易于插拨；</w:t>
      </w:r>
    </w:p>
    <w:p w14:paraId="36BDDAFC">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插入损耗≤0.3dB，回波损耗≥50dB；</w:t>
      </w:r>
    </w:p>
    <w:p w14:paraId="48269861">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插拔次数＞1000次；</w:t>
      </w:r>
    </w:p>
    <w:p w14:paraId="214811CB">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抗拉力强，重复性好，稳定性高；</w:t>
      </w:r>
    </w:p>
    <w:p w14:paraId="45B62DB4">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支持SC/PC-SC/PC、SC/PC-LC/PC、LC/PC-LC/PC等各类型接头；</w:t>
      </w:r>
    </w:p>
    <w:p w14:paraId="56168EB6">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无损伤的机械互换性，保证插头和适配器之间精确互接；</w:t>
      </w:r>
    </w:p>
    <w:p w14:paraId="2F57557C">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光跳线满足 ITU-T G.657A2弯曲不敏感单模光纤和光缆特性的标准建议；</w:t>
      </w:r>
    </w:p>
    <w:p w14:paraId="567A54B8">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光纤参考型号：</w:t>
      </w:r>
    </w:p>
    <w:p w14:paraId="538C9E80">
      <w:pPr>
        <w:keepNext w:val="0"/>
        <w:keepLines w:val="0"/>
        <w:pageBreakBefore w:val="0"/>
        <w:shd w:val="clear" w:color="auto" w:fill="FFFFFF"/>
        <w:kinsoku/>
        <w:wordWrap/>
        <w:overflowPunct/>
        <w:topLinePunct w:val="0"/>
        <w:bidi w:val="0"/>
        <w:spacing w:line="360" w:lineRule="auto"/>
        <w:ind w:firstLine="630" w:firstLineChars="300"/>
        <w:rPr>
          <w:rFonts w:hint="default"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-LC/UPC-LC/UPC-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-10m-G.657A2-2mm-42mm LC</w:t>
      </w:r>
    </w:p>
    <w:p w14:paraId="54A9784E">
      <w:pPr>
        <w:pStyle w:val="9"/>
        <w:keepNext w:val="0"/>
        <w:keepLines w:val="0"/>
        <w:pageBreakBefore w:val="0"/>
        <w:shd w:val="clear" w:color="auto" w:fill="FFFFFF"/>
        <w:kinsoku/>
        <w:wordWrap/>
        <w:overflowPunct/>
        <w:topLinePunct w:val="0"/>
        <w:bidi w:val="0"/>
        <w:spacing w:line="360" w:lineRule="auto"/>
        <w:ind w:left="442"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-LC/UPC-LC/UPC-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-1.5m-G.657A2-2mm-42mm LC</w:t>
      </w:r>
    </w:p>
    <w:p w14:paraId="04792015">
      <w:pPr>
        <w:pStyle w:val="9"/>
        <w:keepNext w:val="0"/>
        <w:keepLines w:val="0"/>
        <w:pageBreakBefore w:val="0"/>
        <w:shd w:val="clear" w:color="auto" w:fill="FFFFFF"/>
        <w:kinsoku/>
        <w:wordWrap/>
        <w:overflowPunct/>
        <w:topLinePunct w:val="0"/>
        <w:bidi w:val="0"/>
        <w:spacing w:line="360" w:lineRule="auto"/>
        <w:ind w:left="442"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-LC/UPC-LC/UPC-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-3m-G.657A2-2mm-42mm LC</w:t>
      </w:r>
    </w:p>
    <w:p w14:paraId="35D06DA4">
      <w:pPr>
        <w:pStyle w:val="9"/>
        <w:keepNext w:val="0"/>
        <w:keepLines w:val="0"/>
        <w:pageBreakBefore w:val="0"/>
        <w:shd w:val="clear" w:color="auto" w:fill="FFFFFF"/>
        <w:kinsoku/>
        <w:wordWrap/>
        <w:overflowPunct/>
        <w:topLinePunct w:val="0"/>
        <w:bidi w:val="0"/>
        <w:spacing w:line="360" w:lineRule="auto"/>
        <w:ind w:left="442"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-LC/UPC-LC/UPC-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-10m-G.657A2-2mm-42mm LC</w:t>
      </w:r>
    </w:p>
    <w:p w14:paraId="180B0645">
      <w:pPr>
        <w:pStyle w:val="9"/>
        <w:keepNext w:val="0"/>
        <w:keepLines w:val="0"/>
        <w:pageBreakBefore w:val="0"/>
        <w:shd w:val="clear" w:color="auto" w:fill="FFFFFF"/>
        <w:kinsoku/>
        <w:wordWrap/>
        <w:overflowPunct/>
        <w:topLinePunct w:val="0"/>
        <w:bidi w:val="0"/>
        <w:spacing w:line="360" w:lineRule="auto"/>
        <w:ind w:left="442" w:firstLine="210" w:firstLineChars="1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-LC/UPC-LC/UPC-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-15m-G.657A2-2mm-42mm LC</w:t>
      </w:r>
    </w:p>
    <w:p w14:paraId="79FC48CC">
      <w:pPr>
        <w:pStyle w:val="9"/>
        <w:keepNext w:val="0"/>
        <w:keepLines w:val="0"/>
        <w:pageBreakBefore w:val="0"/>
        <w:shd w:val="clear" w:color="auto" w:fill="FFFFFF"/>
        <w:kinsoku/>
        <w:wordWrap/>
        <w:overflowPunct/>
        <w:topLinePunct w:val="0"/>
        <w:bidi w:val="0"/>
        <w:spacing w:line="360" w:lineRule="auto"/>
        <w:ind w:left="442"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-LC/UPC-FC/UPC-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-30m-G.657A2-2mm-42mm LC</w:t>
      </w:r>
    </w:p>
    <w:p w14:paraId="3661234F">
      <w:pPr>
        <w:pStyle w:val="9"/>
        <w:keepNext w:val="0"/>
        <w:keepLines w:val="0"/>
        <w:pageBreakBefore w:val="0"/>
        <w:shd w:val="clear" w:color="auto" w:fill="FFFFFF"/>
        <w:kinsoku/>
        <w:wordWrap/>
        <w:overflowPunct/>
        <w:topLinePunct w:val="0"/>
        <w:bidi w:val="0"/>
        <w:spacing w:line="360" w:lineRule="auto"/>
        <w:ind w:left="442"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光跳线</w:t>
      </w:r>
      <w:r>
        <w:rPr>
          <w:rFonts w:hint="default" w:ascii="Times New Roman" w:hAnsi="Times New Roman" w:cs="Times New Roman"/>
          <w:color w:val="000000" w:themeColor="text1"/>
          <w:szCs w:val="21"/>
          <w14:textFill>
            <w14:solidFill>
              <w14:schemeClr w14:val="tx1"/>
            </w14:solidFill>
          </w14:textFill>
        </w:rPr>
        <w:t>-LC/UPC-SC/UPC-</w:t>
      </w:r>
      <w:r>
        <w:rPr>
          <w:rFonts w:hint="default" w:ascii="Times New Roman" w:hAnsi="Times New Roman" w:cs="Times New Roman"/>
          <w:color w:val="000000" w:themeColor="text1"/>
          <w14:textFill>
            <w14:solidFill>
              <w14:schemeClr w14:val="tx1"/>
            </w14:solidFill>
          </w14:textFill>
        </w:rPr>
        <w:t>单模</w:t>
      </w:r>
      <w:r>
        <w:rPr>
          <w:rFonts w:hint="default" w:ascii="Times New Roman" w:hAnsi="Times New Roman" w:cs="Times New Roman"/>
          <w:color w:val="000000" w:themeColor="text1"/>
          <w:szCs w:val="21"/>
          <w14:textFill>
            <w14:solidFill>
              <w14:schemeClr w14:val="tx1"/>
            </w14:solidFill>
          </w14:textFill>
        </w:rPr>
        <w:t>-20m-G.657A2-2mm-42mm LC</w:t>
      </w:r>
    </w:p>
    <w:p w14:paraId="45B419B4">
      <w:pPr>
        <w:pStyle w:val="9"/>
        <w:keepNext w:val="0"/>
        <w:keepLines w:val="0"/>
        <w:pageBreakBefore w:val="0"/>
        <w:numPr>
          <w:ilvl w:val="0"/>
          <w:numId w:val="25"/>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规格型号满足招标人要求。</w:t>
      </w:r>
    </w:p>
    <w:p w14:paraId="7A1E3999">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kern w:val="0"/>
          <w:szCs w:val="21"/>
          <w:lang w:val="en-GB"/>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kern w:val="0"/>
          <w:szCs w:val="21"/>
          <w:lang w:val="en-GB"/>
          <w14:textFill>
            <w14:solidFill>
              <w14:schemeClr w14:val="tx1"/>
            </w14:solidFill>
          </w14:textFill>
        </w:rPr>
        <w:t>6.1.1.4 SFP光模块(1310nm，输出光功率大于-10dB)</w:t>
      </w:r>
    </w:p>
    <w:p w14:paraId="07CCCF12">
      <w:pPr>
        <w:pStyle w:val="9"/>
        <w:keepNext w:val="0"/>
        <w:keepLines w:val="0"/>
        <w:pageBreakBefore w:val="0"/>
        <w:numPr>
          <w:ilvl w:val="0"/>
          <w:numId w:val="26"/>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能够支持机房前端设备；</w:t>
      </w:r>
    </w:p>
    <w:p w14:paraId="09BA2E61">
      <w:pPr>
        <w:pStyle w:val="9"/>
        <w:keepNext w:val="0"/>
        <w:keepLines w:val="0"/>
        <w:pageBreakBefore w:val="0"/>
        <w:numPr>
          <w:ilvl w:val="0"/>
          <w:numId w:val="26"/>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输出光功率大于-10dB；</w:t>
      </w:r>
    </w:p>
    <w:p w14:paraId="1895A7AA">
      <w:pPr>
        <w:pStyle w:val="9"/>
        <w:keepNext w:val="0"/>
        <w:keepLines w:val="0"/>
        <w:pageBreakBefore w:val="0"/>
        <w:numPr>
          <w:ilvl w:val="0"/>
          <w:numId w:val="26"/>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高达1.25Gbps的双向数据链路；</w:t>
      </w:r>
    </w:p>
    <w:p w14:paraId="6F619C68">
      <w:pPr>
        <w:pStyle w:val="9"/>
        <w:keepNext w:val="0"/>
        <w:keepLines w:val="0"/>
        <w:pageBreakBefore w:val="0"/>
        <w:numPr>
          <w:ilvl w:val="0"/>
          <w:numId w:val="26"/>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兼容千兆光纤以太网，符合 1x光纤通道标准，符合 2x光纤通道标准，兼容无线CPRI；</w:t>
      </w:r>
    </w:p>
    <w:p w14:paraId="682AD4E9">
      <w:pPr>
        <w:pStyle w:val="9"/>
        <w:keepNext w:val="0"/>
        <w:keepLines w:val="0"/>
        <w:pageBreakBefore w:val="0"/>
        <w:numPr>
          <w:ilvl w:val="0"/>
          <w:numId w:val="26"/>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规格型号满足招标人要求。</w:t>
      </w:r>
    </w:p>
    <w:p w14:paraId="794DEAFC">
      <w:pPr>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★6.1.1.5 SFP+光模块(输出光功率大于2dB)</w:t>
      </w:r>
    </w:p>
    <w:p w14:paraId="5C549001">
      <w:pPr>
        <w:pStyle w:val="9"/>
        <w:keepNext w:val="0"/>
        <w:keepLines w:val="0"/>
        <w:pageBreakBefore w:val="0"/>
        <w:numPr>
          <w:ilvl w:val="0"/>
          <w:numId w:val="27"/>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能够支持机房前端设备；</w:t>
      </w:r>
    </w:p>
    <w:p w14:paraId="2DC72DCB">
      <w:pPr>
        <w:pStyle w:val="9"/>
        <w:keepNext w:val="0"/>
        <w:keepLines w:val="0"/>
        <w:pageBreakBefore w:val="0"/>
        <w:numPr>
          <w:ilvl w:val="0"/>
          <w:numId w:val="27"/>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输出光功率大于2dB；</w:t>
      </w:r>
    </w:p>
    <w:p w14:paraId="7CDF708A">
      <w:pPr>
        <w:pStyle w:val="9"/>
        <w:keepNext w:val="0"/>
        <w:keepLines w:val="0"/>
        <w:pageBreakBefore w:val="0"/>
        <w:numPr>
          <w:ilvl w:val="0"/>
          <w:numId w:val="27"/>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高达10.31Gbps的双向数据链路；</w:t>
      </w:r>
    </w:p>
    <w:p w14:paraId="673BFC3A">
      <w:pPr>
        <w:pStyle w:val="9"/>
        <w:keepNext w:val="0"/>
        <w:keepLines w:val="0"/>
        <w:pageBreakBefore w:val="0"/>
        <w:numPr>
          <w:ilvl w:val="0"/>
          <w:numId w:val="27"/>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兼容千兆光纤以太网，符合 4x、8x、10光纤通道标准，兼容无线CPRI；</w:t>
      </w:r>
    </w:p>
    <w:p w14:paraId="2153D6EF">
      <w:pPr>
        <w:pStyle w:val="9"/>
        <w:keepNext w:val="0"/>
        <w:keepLines w:val="0"/>
        <w:pageBreakBefore w:val="0"/>
        <w:numPr>
          <w:ilvl w:val="0"/>
          <w:numId w:val="27"/>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规格型号满足招标人要求。</w:t>
      </w:r>
    </w:p>
    <w:p w14:paraId="01E273B2">
      <w:pPr>
        <w:keepNext w:val="0"/>
        <w:keepLines w:val="0"/>
        <w:pageBreakBefore w:val="0"/>
        <w:kinsoku/>
        <w:wordWrap/>
        <w:overflowPunct/>
        <w:topLinePunct w:val="0"/>
        <w:bidi w:val="0"/>
        <w:spacing w:after="120" w:line="360" w:lineRule="auto"/>
        <w:contextualSpacing/>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6.1.2项目包含完成设备上线所有需要的辅材与系统集成工作，具体辅材以项目实施现场需求为准。</w:t>
      </w:r>
    </w:p>
    <w:p w14:paraId="2C50588C">
      <w:pPr>
        <w:pStyle w:val="9"/>
        <w:keepNext w:val="0"/>
        <w:keepLines w:val="0"/>
        <w:pageBreakBefore w:val="0"/>
        <w:numPr>
          <w:ilvl w:val="0"/>
          <w:numId w:val="28"/>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应根据本技术需求书的要求，基于自己的货物及/或服务提供具体、完整的配置方案，投标人在投标文件中给出的集成服务，必须保证投标文件中各项性能和功能承诺指标的实现，在各种承诺业务功能同时启用时，不应影响性能和稳定性；</w:t>
      </w:r>
    </w:p>
    <w:p w14:paraId="63831DFC">
      <w:pPr>
        <w:pStyle w:val="9"/>
        <w:keepNext w:val="0"/>
        <w:keepLines w:val="0"/>
        <w:pageBreakBefore w:val="0"/>
        <w:numPr>
          <w:ilvl w:val="0"/>
          <w:numId w:val="28"/>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投标人应根据招标人的业务需求及系统集成技术规范要求，在中标后合同签署前提出完整的项目管理、系统设计、工程培训、项目施工、项目验收、技术支持方案以及投标人人力资源供给方案并经招标人确认；</w:t>
      </w:r>
    </w:p>
    <w:p w14:paraId="318BCED0">
      <w:pPr>
        <w:pStyle w:val="9"/>
        <w:keepNext w:val="0"/>
        <w:keepLines w:val="0"/>
        <w:pageBreakBefore w:val="0"/>
        <w:numPr>
          <w:ilvl w:val="0"/>
          <w:numId w:val="28"/>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设备安装由投标人负责，系统内所有电缆及接头均由投标人提供并施工； </w:t>
      </w:r>
    </w:p>
    <w:p w14:paraId="13E0D241">
      <w:pPr>
        <w:pStyle w:val="9"/>
        <w:keepNext w:val="0"/>
        <w:keepLines w:val="0"/>
        <w:pageBreakBefore w:val="0"/>
        <w:numPr>
          <w:ilvl w:val="0"/>
          <w:numId w:val="28"/>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投标人负责对施工地点进行现场勘察，提供工程施工和相关安装资料，并负责指导招标人员掌握和使用这些技术资料。投标人应提供下列各种详细资料：</w:t>
      </w:r>
    </w:p>
    <w:p w14:paraId="521E1387">
      <w:pPr>
        <w:pStyle w:val="9"/>
        <w:keepNext w:val="0"/>
        <w:keepLines w:val="0"/>
        <w:pageBreakBefore w:val="0"/>
        <w:numPr>
          <w:ilvl w:val="255"/>
          <w:numId w:val="0"/>
        </w:numPr>
        <w:kinsoku/>
        <w:wordWrap/>
        <w:overflowPunct/>
        <w:topLinePunct w:val="0"/>
        <w:bidi w:val="0"/>
        <w:spacing w:line="360" w:lineRule="auto"/>
        <w:ind w:left="420" w:leftChars="200"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A）各种设备机架（柜）外型尺寸、重量、面板布置、进出线方式</w:t>
      </w:r>
    </w:p>
    <w:p w14:paraId="7106295D">
      <w:pPr>
        <w:pStyle w:val="9"/>
        <w:keepNext w:val="0"/>
        <w:keepLines w:val="0"/>
        <w:pageBreakBefore w:val="0"/>
        <w:numPr>
          <w:ilvl w:val="255"/>
          <w:numId w:val="0"/>
        </w:numPr>
        <w:kinsoku/>
        <w:wordWrap/>
        <w:overflowPunct/>
        <w:topLinePunct w:val="0"/>
        <w:bidi w:val="0"/>
        <w:spacing w:line="360" w:lineRule="auto"/>
        <w:ind w:left="420" w:leftChars="200"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B）所需电源种类、功耗、电压、地线要求</w:t>
      </w:r>
    </w:p>
    <w:p w14:paraId="1BA1A4F5">
      <w:pPr>
        <w:pStyle w:val="9"/>
        <w:keepNext w:val="0"/>
        <w:keepLines w:val="0"/>
        <w:pageBreakBefore w:val="0"/>
        <w:numPr>
          <w:ilvl w:val="255"/>
          <w:numId w:val="0"/>
        </w:numPr>
        <w:kinsoku/>
        <w:wordWrap/>
        <w:overflowPunct/>
        <w:topLinePunct w:val="0"/>
        <w:bidi w:val="0"/>
        <w:spacing w:line="360" w:lineRule="auto"/>
        <w:ind w:left="420" w:leftChars="200"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C）机房荷重、环境要求</w:t>
      </w:r>
    </w:p>
    <w:p w14:paraId="531E67DD">
      <w:pPr>
        <w:pStyle w:val="9"/>
        <w:keepNext w:val="0"/>
        <w:keepLines w:val="0"/>
        <w:pageBreakBefore w:val="0"/>
        <w:numPr>
          <w:ilvl w:val="255"/>
          <w:numId w:val="0"/>
        </w:numPr>
        <w:kinsoku/>
        <w:wordWrap/>
        <w:overflowPunct/>
        <w:topLinePunct w:val="0"/>
        <w:bidi w:val="0"/>
        <w:spacing w:line="360" w:lineRule="auto"/>
        <w:ind w:left="420" w:leftChars="200"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D）设备安装方式</w:t>
      </w:r>
    </w:p>
    <w:p w14:paraId="628A777E">
      <w:pPr>
        <w:pStyle w:val="9"/>
        <w:keepNext w:val="0"/>
        <w:keepLines w:val="0"/>
        <w:pageBreakBefore w:val="0"/>
        <w:numPr>
          <w:ilvl w:val="255"/>
          <w:numId w:val="0"/>
        </w:numPr>
        <w:kinsoku/>
        <w:wordWrap/>
        <w:overflowPunct/>
        <w:topLinePunct w:val="0"/>
        <w:bidi w:val="0"/>
        <w:spacing w:line="360" w:lineRule="auto"/>
        <w:ind w:left="420" w:leftChars="200" w:firstLine="210" w:firstLineChars="1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E）设备、线缆、端口等的实施维护标识办法</w:t>
      </w:r>
    </w:p>
    <w:p w14:paraId="5783A78F">
      <w:pPr>
        <w:pStyle w:val="9"/>
        <w:keepNext w:val="0"/>
        <w:keepLines w:val="0"/>
        <w:pageBreakBefore w:val="0"/>
        <w:numPr>
          <w:ilvl w:val="0"/>
          <w:numId w:val="28"/>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安装调测时使用的工具、设备由投标人提供。双方应协商制定工程进度表，投标人负责按工程进度表进行施工；</w:t>
      </w:r>
    </w:p>
    <w:p w14:paraId="1BE43FDB">
      <w:pPr>
        <w:pStyle w:val="9"/>
        <w:keepNext w:val="0"/>
        <w:keepLines w:val="0"/>
        <w:pageBreakBefore w:val="0"/>
        <w:numPr>
          <w:ilvl w:val="0"/>
          <w:numId w:val="28"/>
        </w:numPr>
        <w:kinsoku/>
        <w:wordWrap/>
        <w:overflowPunct/>
        <w:topLinePunct w:val="0"/>
        <w:bidi w:val="0"/>
        <w:spacing w:line="360" w:lineRule="auto"/>
        <w:ind w:lef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设备调试由投标人负责，投标人调试前应提出完整的调试计划并经招标人确认，包括设备调试的内容、项目、指标、方法和进度，并提供相应的仪器和工具。投标人有责任对招标人的技术人员提出的问题做出解答。调试应进行详细记录，系统调试结束后，由投标人技术人员签字后交给招标人验收。</w:t>
      </w:r>
    </w:p>
    <w:p w14:paraId="51AC97E8">
      <w:pPr>
        <w:pStyle w:val="9"/>
        <w:keepNext w:val="0"/>
        <w:keepLines w:val="0"/>
        <w:pageBreakBefore w:val="0"/>
        <w:widowControl/>
        <w:numPr>
          <w:ilvl w:val="1"/>
          <w:numId w:val="0"/>
        </w:numPr>
        <w:kinsoku/>
        <w:wordWrap/>
        <w:overflowPunct/>
        <w:topLinePunct w:val="0"/>
        <w:bidi w:val="0"/>
        <w:spacing w:after="120" w:line="360" w:lineRule="auto"/>
        <w:ind w:left="360" w:hanging="360"/>
        <w:contextualSpacing/>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6.2维护保障要求</w:t>
      </w:r>
    </w:p>
    <w:p w14:paraId="1A18C1F9">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★6.2.1设备故障修复服务总体要求</w:t>
      </w:r>
    </w:p>
    <w:p w14:paraId="77F7D23E">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应根据招标人申告的故障级别，采取必要的服务措施(包括调整)，尽快修复故障，恢复设备正常运行。投标人可通过电话指导、远程登陆或现场服务等方式进行故障修复，并保证满足双方约定的服务等级中相应故障级别的处理时限。根据故障的严重程度和影响程度的不同，故障级别由低到高分为三级故障、二级故障和一级故障。当故障没有在规定时限内恢复或解决时，故障级别将自动升级(如双方协商一致认为没有必要，也可不做升级处理)。</w:t>
      </w:r>
    </w:p>
    <w:tbl>
      <w:tblPr>
        <w:tblStyle w:val="6"/>
        <w:tblW w:w="8777" w:type="dxa"/>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655"/>
      </w:tblGrid>
      <w:tr w14:paraId="7D3F1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0B35F247">
            <w:pPr>
              <w:pStyle w:val="4"/>
              <w:keepNext w:val="0"/>
              <w:keepLines w:val="0"/>
              <w:pageBreakBefore w:val="0"/>
              <w:kinsoku/>
              <w:wordWrap/>
              <w:overflowPunct/>
              <w:topLinePunct w:val="0"/>
              <w:bidi w:val="0"/>
              <w:spacing w:line="360" w:lineRule="auto"/>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一级故障(重大故障)</w:t>
            </w:r>
          </w:p>
        </w:tc>
        <w:tc>
          <w:tcPr>
            <w:tcW w:w="6655" w:type="dxa"/>
            <w:vAlign w:val="center"/>
          </w:tcPr>
          <w:p w14:paraId="49BE5295">
            <w:pPr>
              <w:pStyle w:val="4"/>
              <w:keepNext w:val="0"/>
              <w:keepLines w:val="0"/>
              <w:pageBreakBefore w:val="0"/>
              <w:kinsoku/>
              <w:wordWrap/>
              <w:overflowPunct/>
              <w:topLinePunct w:val="0"/>
              <w:bidi w:val="0"/>
              <w:spacing w:line="360" w:lineRule="auto"/>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指设备在运行中出现系统瘫痪或服务中断，导致设备的基本功能不能实现或全面退化的故障；其他造成业务中断1个小时以上或导致关键业务数据丢失的故障。</w:t>
            </w:r>
          </w:p>
        </w:tc>
      </w:tr>
      <w:tr w14:paraId="728F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1A2C03FD">
            <w:pPr>
              <w:pStyle w:val="4"/>
              <w:keepNext w:val="0"/>
              <w:keepLines w:val="0"/>
              <w:pageBreakBefore w:val="0"/>
              <w:kinsoku/>
              <w:wordWrap/>
              <w:overflowPunct/>
              <w:topLinePunct w:val="0"/>
              <w:bidi w:val="0"/>
              <w:spacing w:line="360" w:lineRule="auto"/>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二级故障(主要故障)</w:t>
            </w:r>
          </w:p>
        </w:tc>
        <w:tc>
          <w:tcPr>
            <w:tcW w:w="6655" w:type="dxa"/>
            <w:vAlign w:val="center"/>
          </w:tcPr>
          <w:p w14:paraId="00F32AA8">
            <w:pPr>
              <w:pStyle w:val="4"/>
              <w:keepNext w:val="0"/>
              <w:keepLines w:val="0"/>
              <w:pageBreakBefore w:val="0"/>
              <w:kinsoku/>
              <w:wordWrap/>
              <w:overflowPunct/>
              <w:topLinePunct w:val="0"/>
              <w:bidi w:val="0"/>
              <w:spacing w:line="360" w:lineRule="auto"/>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指设备在运行中出现的直接影响业务、并导致系统性能或业务部分退化的故障；设备在运行中出现的故障具有潜在的系统瘫痪或服务中断的危险，并可能导致设备的基本功能不能实现或全面退化，如冗余设备单侧故障、监控终端故障等；系统设备或操作系统故障，造成业务中断但不满1小时的，如系统复位等。</w:t>
            </w:r>
          </w:p>
        </w:tc>
      </w:tr>
      <w:tr w14:paraId="2699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4D13CB6C">
            <w:pPr>
              <w:pStyle w:val="4"/>
              <w:keepNext w:val="0"/>
              <w:keepLines w:val="0"/>
              <w:pageBreakBefore w:val="0"/>
              <w:kinsoku/>
              <w:wordWrap/>
              <w:overflowPunct/>
              <w:topLinePunct w:val="0"/>
              <w:bidi w:val="0"/>
              <w:spacing w:line="360" w:lineRule="auto"/>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三级故障(次要故障)</w:t>
            </w:r>
          </w:p>
        </w:tc>
        <w:tc>
          <w:tcPr>
            <w:tcW w:w="6655" w:type="dxa"/>
            <w:vAlign w:val="center"/>
          </w:tcPr>
          <w:p w14:paraId="5FFBC8BE">
            <w:pPr>
              <w:pStyle w:val="4"/>
              <w:keepNext w:val="0"/>
              <w:keepLines w:val="0"/>
              <w:pageBreakBefore w:val="0"/>
              <w:kinsoku/>
              <w:wordWrap/>
              <w:overflowPunct/>
              <w:topLinePunct w:val="0"/>
              <w:bidi w:val="0"/>
              <w:spacing w:line="360" w:lineRule="auto"/>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指设备在运行中出现的，影响系统功能和性能，但关键业务不受影响的故障。</w:t>
            </w:r>
          </w:p>
        </w:tc>
      </w:tr>
    </w:tbl>
    <w:p w14:paraId="5C3F1267">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6.2.2电话响应</w:t>
      </w:r>
    </w:p>
    <w:p w14:paraId="5B61C83D">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设立7×24或5×9小时(根据服务等级)的值班响应电话，并安排有经验的工程师接受申告。当设备出现故障时，招标人通过投标人指定的值班响应电话进行报障。投标人应保证服务时间内，95%以上的呼叫接通时间小于60秒；当投标人需要查阅相关资料再对招标人的问题进行回复时，应确保在60分钟内回复。</w:t>
      </w:r>
    </w:p>
    <w:p w14:paraId="118D8FF1">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6.2.3远程支持服务</w:t>
      </w:r>
    </w:p>
    <w:p w14:paraId="491AC20A">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对于通过电话指导不能解决的故障，投标人在征得招标人同意后，应通过远程接入手段，登录到故障设备，进行故障诊断，查找故障出现的原因，指导现场维护人员处理故障。</w:t>
      </w:r>
    </w:p>
    <w:p w14:paraId="670AC0F3">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要求：招标人应提供(或向投标人购买)必要的远程技术支援的设备。如果远程技术支援的设备由投标人提供，应保证该设备具备安全管理功能，能防止非法登录以保证设备和交换网络安全；投标人服务人员登录到故障设备，通过诊断，分析故障产生的原因，制定故障解决技术方案后，应电话通知招标人，待技术方案经招标人批准后，才能进行故障解决方案的具体实施；在远程登录过程中，投标人技术人员通过远程登录手段向设备发送的任何指令、报告回显必须形成命令日志文件；故障处理完毕或告一段落，应形成故障处理报告，与命令日志文件一同发送给招标人；对于不同级别的故障，远程支持服务的响应时限要求（从投标人向招标人确认电话指导不能排除故障，要求远程技术支持到投标人技术人员远程登录到设备的时间）见下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2"/>
        <w:gridCol w:w="2453"/>
      </w:tblGrid>
      <w:tr w14:paraId="5EFB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82" w:type="dxa"/>
            <w:vAlign w:val="center"/>
          </w:tcPr>
          <w:p w14:paraId="152A6F31">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故障级别</w:t>
            </w:r>
          </w:p>
        </w:tc>
        <w:tc>
          <w:tcPr>
            <w:tcW w:w="2453" w:type="dxa"/>
            <w:vAlign w:val="center"/>
          </w:tcPr>
          <w:p w14:paraId="6C74BA23">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响应时限</w:t>
            </w:r>
          </w:p>
        </w:tc>
      </w:tr>
      <w:tr w14:paraId="353E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dxa"/>
            <w:vAlign w:val="center"/>
          </w:tcPr>
          <w:p w14:paraId="446DA483">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一级故障</w:t>
            </w:r>
          </w:p>
        </w:tc>
        <w:tc>
          <w:tcPr>
            <w:tcW w:w="2453" w:type="dxa"/>
            <w:vAlign w:val="center"/>
          </w:tcPr>
          <w:p w14:paraId="010F182E">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小于30分钟</w:t>
            </w:r>
          </w:p>
        </w:tc>
      </w:tr>
      <w:tr w14:paraId="5D38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dxa"/>
            <w:vAlign w:val="center"/>
          </w:tcPr>
          <w:p w14:paraId="15EFADF9">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二级故障</w:t>
            </w:r>
          </w:p>
        </w:tc>
        <w:tc>
          <w:tcPr>
            <w:tcW w:w="2453" w:type="dxa"/>
            <w:vAlign w:val="center"/>
          </w:tcPr>
          <w:p w14:paraId="733EC11B">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小于30分钟</w:t>
            </w:r>
          </w:p>
        </w:tc>
      </w:tr>
      <w:tr w14:paraId="1B709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dxa"/>
            <w:vAlign w:val="center"/>
          </w:tcPr>
          <w:p w14:paraId="37CEA97C">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三级故障</w:t>
            </w:r>
          </w:p>
        </w:tc>
        <w:tc>
          <w:tcPr>
            <w:tcW w:w="2453" w:type="dxa"/>
            <w:vAlign w:val="center"/>
          </w:tcPr>
          <w:p w14:paraId="42B9EF70">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小于2小时</w:t>
            </w:r>
          </w:p>
        </w:tc>
      </w:tr>
    </w:tbl>
    <w:p w14:paraId="76EC8187">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p>
    <w:p w14:paraId="264F7760">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6.2.4现场服务</w:t>
      </w:r>
    </w:p>
    <w:p w14:paraId="1E8399D2">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对于通过电话支持和远程支持都不能解决的设备故障，投标人应迅速提供现场支持服务，安排经验丰富的技术支持工程师赴现场分析故障原因，制定故障解决方案，并最终排除故障。要求投标人服务人员在进行现场支持服务前应作好以下准备：</w:t>
      </w:r>
    </w:p>
    <w:p w14:paraId="2B7066B7">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投标人须配备不少于5名经验丰富的技术支持人员；</w:t>
      </w:r>
    </w:p>
    <w:p w14:paraId="2738C0A8">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查阅招标人用户档案，了解用户设备运行情况及设备以往所发生过的问题及处理办法；</w:t>
      </w:r>
    </w:p>
    <w:p w14:paraId="46569E9E">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准备技术服务工具、技术服务资料、交通工具、必要的备板备件及软件；</w:t>
      </w:r>
    </w:p>
    <w:p w14:paraId="31835B48">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投标人服务人员抵达招标人用户现场，首先提交《技术服务申请》给用户负责人签字确认；</w:t>
      </w:r>
    </w:p>
    <w:p w14:paraId="78C70984">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了解设备运行情况，核实故障现象，并根据故障现象对设备进行故障分析、测试、诊断，并制定业务恢复和故障解决技术方案，投标人须保证优先实施业务恢复，在恢复业务的前提下，再进行彻底的故障修复。技术方案经客户批准后，由客户的技术人员具体实施方案；或在客户允许下，由投标人服务人员进行具体实施；</w:t>
      </w:r>
    </w:p>
    <w:p w14:paraId="7D1A509C">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如果确定为设备硬件故障，投标人须免费提供设备硬件为招标人进行更换。如果是软件故障，投标人须免费为招标人修复软件故障；如果无法修复，投标人须免费提供重新调试服务；</w:t>
      </w:r>
    </w:p>
    <w:p w14:paraId="7839D13C">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服务人员在处理故障时不能影响到设备的正常运行，并应有招标人用户维护人员在场协同处理；在必须进行系统重装或系统启动等较大操作时，须经招标人用户维护主管部门批准方可实施。若因投标人服务人员误操作或擅自行事等主观原因给招标人带来损失的，招标人有权向投标人提出索赔；</w:t>
      </w:r>
    </w:p>
    <w:p w14:paraId="481EDA07">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投标人服务人员在处理故障后，要向招标人维护人员解释故障原因和解决方法，以及在日常维护中的预防措施；</w:t>
      </w:r>
    </w:p>
    <w:p w14:paraId="1E87965F">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投标人服务人员在处理故障时，要认真填写《故障处理报告》，并在离开现场前交招标人客户主管部门存档，同时加入投标人的用户故障处理数据库；</w:t>
      </w:r>
    </w:p>
    <w:p w14:paraId="00126C35">
      <w:pPr>
        <w:keepNext w:val="0"/>
        <w:keepLines w:val="0"/>
        <w:pageBreakBefore w:val="0"/>
        <w:numPr>
          <w:ilvl w:val="0"/>
          <w:numId w:val="29"/>
        </w:numPr>
        <w:kinsoku/>
        <w:wordWrap/>
        <w:overflowPunct/>
        <w:topLinePunct w:val="0"/>
        <w:autoSpaceDE w:val="0"/>
        <w:autoSpaceDN w:val="0"/>
        <w:bidi w:val="0"/>
        <w:adjustRightInd w:val="0"/>
        <w:spacing w:line="360" w:lineRule="auto"/>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现场支持响应时间是指在从招标人提出现场支持请求到投标人服务人员到达招标人故障设备现场所需要的时间，根据招标人设备离投标人服务点的距离不同，服务响应时间要求见下表。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5"/>
        <w:gridCol w:w="2578"/>
      </w:tblGrid>
      <w:tr w14:paraId="22BA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275" w:type="dxa"/>
            <w:vAlign w:val="center"/>
          </w:tcPr>
          <w:p w14:paraId="0BCBB66A">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距离技术支持中心所在城市的距离</w:t>
            </w:r>
          </w:p>
        </w:tc>
        <w:tc>
          <w:tcPr>
            <w:tcW w:w="2578" w:type="dxa"/>
            <w:vAlign w:val="center"/>
          </w:tcPr>
          <w:p w14:paraId="04038130">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响应时间</w:t>
            </w:r>
          </w:p>
        </w:tc>
      </w:tr>
      <w:tr w14:paraId="65DF0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5" w:type="dxa"/>
            <w:vAlign w:val="center"/>
          </w:tcPr>
          <w:p w14:paraId="104621F4">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50公里以内(含50公里)</w:t>
            </w:r>
          </w:p>
        </w:tc>
        <w:tc>
          <w:tcPr>
            <w:tcW w:w="2578" w:type="dxa"/>
            <w:vAlign w:val="center"/>
          </w:tcPr>
          <w:p w14:paraId="6B5BCF2D">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小于4小时</w:t>
            </w:r>
          </w:p>
        </w:tc>
      </w:tr>
      <w:tr w14:paraId="0545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5" w:type="dxa"/>
            <w:vAlign w:val="center"/>
          </w:tcPr>
          <w:p w14:paraId="26204201">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200公里以内(含200公里)</w:t>
            </w:r>
          </w:p>
        </w:tc>
        <w:tc>
          <w:tcPr>
            <w:tcW w:w="2578" w:type="dxa"/>
            <w:vAlign w:val="center"/>
          </w:tcPr>
          <w:p w14:paraId="69B5E84E">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小于8小时</w:t>
            </w:r>
          </w:p>
        </w:tc>
      </w:tr>
      <w:tr w14:paraId="3D4B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5" w:type="dxa"/>
            <w:vAlign w:val="center"/>
          </w:tcPr>
          <w:p w14:paraId="3A60486C">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400公里以内(含400公里)</w:t>
            </w:r>
          </w:p>
        </w:tc>
        <w:tc>
          <w:tcPr>
            <w:tcW w:w="2578" w:type="dxa"/>
            <w:vAlign w:val="center"/>
          </w:tcPr>
          <w:p w14:paraId="69DD53F0">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小于12小时</w:t>
            </w:r>
          </w:p>
        </w:tc>
      </w:tr>
      <w:tr w14:paraId="05F7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5" w:type="dxa"/>
            <w:vAlign w:val="center"/>
          </w:tcPr>
          <w:p w14:paraId="71FE7B8B">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400公里以上</w:t>
            </w:r>
          </w:p>
        </w:tc>
        <w:tc>
          <w:tcPr>
            <w:tcW w:w="2578" w:type="dxa"/>
            <w:vAlign w:val="center"/>
          </w:tcPr>
          <w:p w14:paraId="48CF03A0">
            <w:pPr>
              <w:keepNext w:val="0"/>
              <w:keepLines w:val="0"/>
              <w:pageBreakBefore w:val="0"/>
              <w:kinsoku/>
              <w:wordWrap/>
              <w:overflowPunct/>
              <w:topLinePunct w:val="0"/>
              <w:bidi w:val="0"/>
              <w:adjustRightInd w:val="0"/>
              <w:snapToGrid w:val="0"/>
              <w:spacing w:line="360" w:lineRule="auto"/>
              <w:ind w:firstLine="420" w:firstLineChars="20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第二天</w:t>
            </w:r>
          </w:p>
        </w:tc>
      </w:tr>
    </w:tbl>
    <w:p w14:paraId="032E8256">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（11）投标人须保证软件交付期后，提供7*24小时电话、远程技术支持，及时解决系统技术、使用等各项问题。</w:t>
      </w:r>
    </w:p>
    <w:p w14:paraId="26EBACBD">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6.2.5对故障恢复和故障解决时限的要求对于影响业务的一级故障，在进行故障处理时，投标人应优先考虑业务恢复，然后再彻底解决故障。以下是对故障恢复和修复时限的要求。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2318"/>
      </w:tblGrid>
      <w:tr w14:paraId="375C4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553" w:type="dxa"/>
            <w:vAlign w:val="center"/>
          </w:tcPr>
          <w:p w14:paraId="44EE8D57">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故障级别</w:t>
            </w:r>
          </w:p>
        </w:tc>
        <w:tc>
          <w:tcPr>
            <w:tcW w:w="2318" w:type="dxa"/>
            <w:vAlign w:val="center"/>
          </w:tcPr>
          <w:p w14:paraId="3FF54CB3">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服务时限</w:t>
            </w:r>
          </w:p>
        </w:tc>
      </w:tr>
      <w:tr w14:paraId="1535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553" w:type="dxa"/>
            <w:vAlign w:val="center"/>
          </w:tcPr>
          <w:p w14:paraId="0C61379B">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一级故障恢复</w:t>
            </w:r>
          </w:p>
        </w:tc>
        <w:tc>
          <w:tcPr>
            <w:tcW w:w="2318" w:type="dxa"/>
            <w:vAlign w:val="center"/>
          </w:tcPr>
          <w:p w14:paraId="58062A5C">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小于4小时</w:t>
            </w:r>
          </w:p>
        </w:tc>
      </w:tr>
      <w:tr w14:paraId="76E6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2553" w:type="dxa"/>
            <w:vAlign w:val="center"/>
          </w:tcPr>
          <w:p w14:paraId="1B67A5EB">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一级故障解决</w:t>
            </w:r>
          </w:p>
        </w:tc>
        <w:tc>
          <w:tcPr>
            <w:tcW w:w="2318" w:type="dxa"/>
            <w:vAlign w:val="center"/>
          </w:tcPr>
          <w:p w14:paraId="68EA99E0">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小于24小时</w:t>
            </w:r>
          </w:p>
        </w:tc>
      </w:tr>
      <w:tr w14:paraId="7563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53" w:type="dxa"/>
            <w:vAlign w:val="center"/>
          </w:tcPr>
          <w:p w14:paraId="41D99A75">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二级故障解决</w:t>
            </w:r>
          </w:p>
        </w:tc>
        <w:tc>
          <w:tcPr>
            <w:tcW w:w="2318" w:type="dxa"/>
            <w:vAlign w:val="center"/>
          </w:tcPr>
          <w:p w14:paraId="394563C8">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小于24小时</w:t>
            </w:r>
          </w:p>
        </w:tc>
      </w:tr>
      <w:tr w14:paraId="3C4D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553" w:type="dxa"/>
            <w:vAlign w:val="center"/>
          </w:tcPr>
          <w:p w14:paraId="03C3C8D3">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三级故障解决</w:t>
            </w:r>
          </w:p>
        </w:tc>
        <w:tc>
          <w:tcPr>
            <w:tcW w:w="2318" w:type="dxa"/>
            <w:vAlign w:val="center"/>
          </w:tcPr>
          <w:p w14:paraId="1749AA7D">
            <w:pPr>
              <w:keepNext w:val="0"/>
              <w:keepLines w:val="0"/>
              <w:pageBreakBefore w:val="0"/>
              <w:tabs>
                <w:tab w:val="left" w:pos="1365"/>
              </w:tabs>
              <w:kinsoku/>
              <w:wordWrap/>
              <w:overflowPunct/>
              <w:topLinePunct w:val="0"/>
              <w:bidi w:val="0"/>
              <w:adjustRightInd w:val="0"/>
              <w:snapToGrid w:val="0"/>
              <w:spacing w:line="360" w:lineRule="auto"/>
              <w:ind w:firstLine="210"/>
              <w:textAlignment w:val="baseline"/>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小于48小时</w:t>
            </w:r>
          </w:p>
        </w:tc>
      </w:tr>
    </w:tbl>
    <w:p w14:paraId="436DE0B2">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注：1.如投标人已选用最快交通方式，但仍因交通原因造成故障恢复超时限的，在考核时经双方协商可将该次故障的时限适当延长。</w:t>
      </w:r>
      <w:r>
        <w:rPr>
          <w:rFonts w:hint="default" w:ascii="Times New Roman" w:hAnsi="Times New Roman" w:cs="Times New Roman"/>
          <w:color w:val="000000" w:themeColor="text1"/>
          <w:szCs w:val="21"/>
          <w14:textFill>
            <w14:solidFill>
              <w14:schemeClr w14:val="tx1"/>
            </w14:solidFill>
          </w14:textFill>
        </w:rPr>
        <w:tab/>
      </w:r>
    </w:p>
    <w:p w14:paraId="2FCB810E">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6.2.6电话技术支持服务</w:t>
      </w:r>
    </w:p>
    <w:p w14:paraId="34A8B6BD">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通过电话为招标人提供技术支持，协助招标人解决系统日常运行中的问题。投标人应设立7*24小时的技术支持热线，保证招标人获得设备日常维护的技术支持，保证招标人关于设备的技术性问题得到及时、有效的解答。投标人保证技术支持热线电话95%以上的呼叫接通时间小于60秒；当投标人需要查阅相关资料再对招标人的问题进行回复时，应确保在60分钟内回复。</w:t>
      </w:r>
    </w:p>
    <w:p w14:paraId="00C964F9">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6.2.7技术资料服务</w:t>
      </w:r>
    </w:p>
    <w:p w14:paraId="7CF5DF01">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投标人为招标人提供保证设备正常运行的必要技术资料(含技术和商业机密的除外)。服务要求如下：投标人为招标人提供有关产品知识、操作手册、设备运行维护经验、技术文档等资料。常用资料应提供纸质文档。投标人应提供WEB、FTP等方式，保证资料方便共享，并对招标人如何访问该电子资源进行必要的培训。</w:t>
      </w:r>
    </w:p>
    <w:p w14:paraId="58179362">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6.2.8★培训服务</w:t>
      </w:r>
    </w:p>
    <w:p w14:paraId="6520EEC8">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培训服务是指根据设备维护的需要，投标人为招标人提供的设备技术培训。培训包括两类，集中培训和现场培训。集中培训是指由投标人提供教材、教师、场地和所需实验设备，招标人参加的培训，一般集中在投标人培训中心进行。现场培训是指经双方协商，在巡检、现场服务等过程中，对招标人进行的培训，投标人提供教材和教师，招标人提供场地和必要的设施。</w:t>
      </w:r>
    </w:p>
    <w:p w14:paraId="0DCE3453">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服务要求如下：对于集中培训，具体培训内容由招标人和投标人协商确定；对于现场培训，如果招标人要求，投标人应就现场服务中故障发生的原因、处理过程、以及类似故障的预防和处理经验对招标人提供必要的培训。培训次数不少于5次。</w:t>
      </w:r>
    </w:p>
    <w:p w14:paraId="3444EBEC">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6.2.9★重要保障服务</w:t>
      </w:r>
    </w:p>
    <w:p w14:paraId="6647215F">
      <w:pPr>
        <w:pStyle w:val="4"/>
        <w:keepNext w:val="0"/>
        <w:keepLines w:val="0"/>
        <w:pageBreakBefore w:val="0"/>
        <w:kinsoku/>
        <w:wordWrap/>
        <w:overflowPunct/>
        <w:topLinePunct w:val="0"/>
        <w:bidi w:val="0"/>
        <w:spacing w:line="360" w:lineRule="auto"/>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重要保障期间，招标人根据需要向投标人提出重要保障服务请求，投标人收到请求后与招标人共同制定重要保障期间的设备保障方案。服务要求如下：重要保障期间包括汛期、重大节假日、国家军事、政治活动期间等。在重点保障期间，如有必要，投标人需指定技术支持工程师到现场完成保障服务，此服务按照现场服务标准，投标人不再另行收取费用。在签订合同时双方具体商定此类服务的日期和时间。</w:t>
      </w:r>
    </w:p>
    <w:p w14:paraId="1B5FA576">
      <w:pPr>
        <w:pStyle w:val="4"/>
        <w:keepNext w:val="0"/>
        <w:keepLines w:val="0"/>
        <w:pageBreakBefore w:val="0"/>
        <w:kinsoku/>
        <w:wordWrap/>
        <w:overflowPunct/>
        <w:topLinePunct w:val="0"/>
        <w:bidi w:val="0"/>
        <w:spacing w:line="360" w:lineRule="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6.2.10辅助故障定位服务</w:t>
      </w:r>
    </w:p>
    <w:p w14:paraId="0B1DBBDB">
      <w:pPr>
        <w:keepNext w:val="0"/>
        <w:keepLines w:val="0"/>
        <w:pageBreakBefore w:val="0"/>
        <w:kinsoku/>
        <w:wordWrap/>
        <w:overflowPunct/>
        <w:topLinePunct w:val="0"/>
        <w:bidi w:val="0"/>
        <w:spacing w:line="360" w:lineRule="auto"/>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当故障涉及多方设备，招标人无法进行准确故障定位情况下，投标人须提供技术支持，辅助招标人进行准确的故障定位。服务要求如下：辅助故障定位服务技术支持的手段包括但不限于：电话技术支持服务，远程支持、现场服务。</w:t>
      </w:r>
    </w:p>
    <w:p w14:paraId="13A38C80">
      <w:pPr>
        <w:rPr>
          <w:rFonts w:hint="eastAsia" w:ascii="Times New Roman" w:hAnsi="Times New Roman" w:eastAsia="宋体" w:cs="Times New Roman"/>
          <w:b/>
          <w:bCs/>
          <w:kern w:val="44"/>
          <w:sz w:val="21"/>
          <w:szCs w:val="21"/>
          <w:u w:color="000000"/>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635D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574C0D4">
                          <w:pPr>
                            <w:pStyle w:val="2"/>
                            <w:rPr>
                              <w:rFonts w:hint="default" w:ascii="Times New Roman" w:hAnsi="Times New Roman" w:cs="Times New Roman"/>
                            </w:rPr>
                          </w:pPr>
                          <w:r>
                            <w:rPr>
                              <w:rFonts w:hint="default" w:ascii="Times New Roman" w:hAnsi="Times New Roman" w:cs="Times New Roman"/>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574C0D4">
                    <w:pPr>
                      <w:pStyle w:val="2"/>
                      <w:rPr>
                        <w:rFonts w:hint="default" w:ascii="Times New Roman" w:hAnsi="Times New Roman" w:cs="Times New Roman"/>
                      </w:rPr>
                    </w:pPr>
                    <w:r>
                      <w:rPr>
                        <w:rFonts w:hint="default" w:ascii="Times New Roman" w:hAnsi="Times New Roman" w:cs="Times New Roman"/>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9A1C5"/>
    <w:multiLevelType w:val="singleLevel"/>
    <w:tmpl w:val="89A9A1C5"/>
    <w:lvl w:ilvl="0" w:tentative="0">
      <w:start w:val="1"/>
      <w:numFmt w:val="decimal"/>
      <w:suff w:val="nothing"/>
      <w:lvlText w:val="(%1)"/>
      <w:lvlJc w:val="left"/>
      <w:pPr>
        <w:ind w:left="440" w:hanging="440"/>
      </w:pPr>
      <w:rPr>
        <w:rFonts w:hint="eastAsia" w:cs="Times New Roman"/>
      </w:rPr>
    </w:lvl>
  </w:abstractNum>
  <w:abstractNum w:abstractNumId="1">
    <w:nsid w:val="8A257357"/>
    <w:multiLevelType w:val="singleLevel"/>
    <w:tmpl w:val="8A257357"/>
    <w:lvl w:ilvl="0" w:tentative="0">
      <w:start w:val="1"/>
      <w:numFmt w:val="decimal"/>
      <w:suff w:val="nothing"/>
      <w:lvlText w:val="(%1)"/>
      <w:lvlJc w:val="left"/>
      <w:pPr>
        <w:ind w:left="440" w:hanging="440"/>
      </w:pPr>
      <w:rPr>
        <w:rFonts w:hint="eastAsia" w:cs="Times New Roman"/>
      </w:rPr>
    </w:lvl>
  </w:abstractNum>
  <w:abstractNum w:abstractNumId="2">
    <w:nsid w:val="8DC392B9"/>
    <w:multiLevelType w:val="singleLevel"/>
    <w:tmpl w:val="8DC392B9"/>
    <w:lvl w:ilvl="0" w:tentative="0">
      <w:start w:val="1"/>
      <w:numFmt w:val="decimal"/>
      <w:suff w:val="nothing"/>
      <w:lvlText w:val="(%1)"/>
      <w:lvlJc w:val="left"/>
      <w:pPr>
        <w:ind w:left="440" w:hanging="440"/>
      </w:pPr>
      <w:rPr>
        <w:rFonts w:hint="eastAsia" w:cs="Times New Roman"/>
      </w:rPr>
    </w:lvl>
  </w:abstractNum>
  <w:abstractNum w:abstractNumId="3">
    <w:nsid w:val="9B5C5123"/>
    <w:multiLevelType w:val="singleLevel"/>
    <w:tmpl w:val="9B5C5123"/>
    <w:lvl w:ilvl="0" w:tentative="0">
      <w:start w:val="1"/>
      <w:numFmt w:val="decimal"/>
      <w:suff w:val="nothing"/>
      <w:lvlText w:val="(%1)"/>
      <w:lvlJc w:val="left"/>
      <w:pPr>
        <w:ind w:left="440" w:hanging="440"/>
      </w:pPr>
      <w:rPr>
        <w:rFonts w:hint="default" w:ascii="宋体" w:hAnsi="宋体" w:eastAsia="宋体" w:cs="宋体"/>
      </w:rPr>
    </w:lvl>
  </w:abstractNum>
  <w:abstractNum w:abstractNumId="4">
    <w:nsid w:val="ABCECFE8"/>
    <w:multiLevelType w:val="singleLevel"/>
    <w:tmpl w:val="ABCECFE8"/>
    <w:lvl w:ilvl="0" w:tentative="0">
      <w:start w:val="1"/>
      <w:numFmt w:val="decimal"/>
      <w:suff w:val="nothing"/>
      <w:lvlText w:val="(%1)"/>
      <w:lvlJc w:val="left"/>
      <w:pPr>
        <w:ind w:left="440" w:hanging="440"/>
      </w:pPr>
      <w:rPr>
        <w:rFonts w:hint="eastAsia" w:cs="Times New Roman"/>
      </w:rPr>
    </w:lvl>
  </w:abstractNum>
  <w:abstractNum w:abstractNumId="5">
    <w:nsid w:val="B713B376"/>
    <w:multiLevelType w:val="multilevel"/>
    <w:tmpl w:val="B713B376"/>
    <w:lvl w:ilvl="0" w:tentative="0">
      <w:start w:val="1"/>
      <w:numFmt w:val="decimal"/>
      <w:suff w:val="nothing"/>
      <w:lvlText w:val="(%1)"/>
      <w:lvlJc w:val="left"/>
      <w:pPr>
        <w:ind w:left="442" w:hanging="442"/>
      </w:pPr>
      <w:rPr>
        <w:rFonts w:hint="eastAsia"/>
        <w:b w:val="0"/>
        <w:i w:val="0"/>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B78148B1"/>
    <w:multiLevelType w:val="singleLevel"/>
    <w:tmpl w:val="B78148B1"/>
    <w:lvl w:ilvl="0" w:tentative="0">
      <w:start w:val="1"/>
      <w:numFmt w:val="decimal"/>
      <w:suff w:val="nothing"/>
      <w:lvlText w:val="(%1)"/>
      <w:lvlJc w:val="left"/>
      <w:pPr>
        <w:ind w:left="440" w:hanging="440"/>
      </w:pPr>
      <w:rPr>
        <w:rFonts w:hint="eastAsia" w:cs="Times New Roman"/>
      </w:rPr>
    </w:lvl>
  </w:abstractNum>
  <w:abstractNum w:abstractNumId="7">
    <w:nsid w:val="BAD3933A"/>
    <w:multiLevelType w:val="singleLevel"/>
    <w:tmpl w:val="BAD3933A"/>
    <w:lvl w:ilvl="0" w:tentative="0">
      <w:start w:val="1"/>
      <w:numFmt w:val="decimal"/>
      <w:suff w:val="nothing"/>
      <w:lvlText w:val="(%1)"/>
      <w:lvlJc w:val="left"/>
      <w:pPr>
        <w:ind w:left="440" w:hanging="440"/>
      </w:pPr>
      <w:rPr>
        <w:rFonts w:hint="eastAsia" w:cs="Times New Roman"/>
      </w:rPr>
    </w:lvl>
  </w:abstractNum>
  <w:abstractNum w:abstractNumId="8">
    <w:nsid w:val="BD0CE379"/>
    <w:multiLevelType w:val="singleLevel"/>
    <w:tmpl w:val="BD0CE379"/>
    <w:lvl w:ilvl="0" w:tentative="0">
      <w:start w:val="1"/>
      <w:numFmt w:val="decimal"/>
      <w:suff w:val="nothing"/>
      <w:lvlText w:val="(%1)"/>
      <w:lvlJc w:val="left"/>
      <w:pPr>
        <w:ind w:left="440" w:hanging="440"/>
      </w:pPr>
      <w:rPr>
        <w:rFonts w:hint="eastAsia" w:cs="Times New Roman"/>
      </w:rPr>
    </w:lvl>
  </w:abstractNum>
  <w:abstractNum w:abstractNumId="9">
    <w:nsid w:val="BEFCD342"/>
    <w:multiLevelType w:val="singleLevel"/>
    <w:tmpl w:val="BEFCD342"/>
    <w:lvl w:ilvl="0" w:tentative="0">
      <w:start w:val="1"/>
      <w:numFmt w:val="decimal"/>
      <w:suff w:val="nothing"/>
      <w:lvlText w:val="(%1)"/>
      <w:lvlJc w:val="left"/>
      <w:pPr>
        <w:ind w:left="440" w:hanging="440"/>
      </w:pPr>
      <w:rPr>
        <w:rFonts w:hint="eastAsia" w:cs="Times New Roman"/>
      </w:rPr>
    </w:lvl>
  </w:abstractNum>
  <w:abstractNum w:abstractNumId="10">
    <w:nsid w:val="C01E27DB"/>
    <w:multiLevelType w:val="singleLevel"/>
    <w:tmpl w:val="C01E27DB"/>
    <w:lvl w:ilvl="0" w:tentative="0">
      <w:start w:val="1"/>
      <w:numFmt w:val="decimal"/>
      <w:suff w:val="nothing"/>
      <w:lvlText w:val="(%1)"/>
      <w:lvlJc w:val="left"/>
      <w:pPr>
        <w:ind w:left="440" w:hanging="440"/>
      </w:pPr>
      <w:rPr>
        <w:rFonts w:hint="eastAsia" w:cs="Times New Roman"/>
      </w:rPr>
    </w:lvl>
  </w:abstractNum>
  <w:abstractNum w:abstractNumId="11">
    <w:nsid w:val="C4FEB0C6"/>
    <w:multiLevelType w:val="singleLevel"/>
    <w:tmpl w:val="C4FEB0C6"/>
    <w:lvl w:ilvl="0" w:tentative="0">
      <w:start w:val="1"/>
      <w:numFmt w:val="decimal"/>
      <w:suff w:val="nothing"/>
      <w:lvlText w:val="(%1)"/>
      <w:lvlJc w:val="left"/>
      <w:pPr>
        <w:ind w:left="440" w:hanging="440"/>
      </w:pPr>
      <w:rPr>
        <w:rFonts w:hint="eastAsia" w:cs="Times New Roman"/>
      </w:rPr>
    </w:lvl>
  </w:abstractNum>
  <w:abstractNum w:abstractNumId="12">
    <w:nsid w:val="CE9C52F6"/>
    <w:multiLevelType w:val="singleLevel"/>
    <w:tmpl w:val="CE9C52F6"/>
    <w:lvl w:ilvl="0" w:tentative="0">
      <w:start w:val="1"/>
      <w:numFmt w:val="chineseCounting"/>
      <w:suff w:val="nothing"/>
      <w:lvlText w:val="%1、"/>
      <w:lvlJc w:val="left"/>
      <w:rPr>
        <w:rFonts w:hint="eastAsia"/>
      </w:rPr>
    </w:lvl>
  </w:abstractNum>
  <w:abstractNum w:abstractNumId="13">
    <w:nsid w:val="D1B55CC6"/>
    <w:multiLevelType w:val="singleLevel"/>
    <w:tmpl w:val="D1B55CC6"/>
    <w:lvl w:ilvl="0" w:tentative="0">
      <w:start w:val="1"/>
      <w:numFmt w:val="decimal"/>
      <w:suff w:val="nothing"/>
      <w:lvlText w:val="(%1)"/>
      <w:lvlJc w:val="left"/>
      <w:pPr>
        <w:ind w:left="440" w:hanging="440"/>
      </w:pPr>
      <w:rPr>
        <w:rFonts w:hint="eastAsia" w:cs="Times New Roman"/>
      </w:rPr>
    </w:lvl>
  </w:abstractNum>
  <w:abstractNum w:abstractNumId="14">
    <w:nsid w:val="D64AE35A"/>
    <w:multiLevelType w:val="singleLevel"/>
    <w:tmpl w:val="D64AE35A"/>
    <w:lvl w:ilvl="0" w:tentative="0">
      <w:start w:val="1"/>
      <w:numFmt w:val="decimal"/>
      <w:suff w:val="nothing"/>
      <w:lvlText w:val="(%1)"/>
      <w:lvlJc w:val="left"/>
      <w:pPr>
        <w:ind w:left="440" w:hanging="440"/>
      </w:pPr>
      <w:rPr>
        <w:rFonts w:hint="eastAsia" w:cs="Times New Roman"/>
      </w:rPr>
    </w:lvl>
  </w:abstractNum>
  <w:abstractNum w:abstractNumId="15">
    <w:nsid w:val="E272934F"/>
    <w:multiLevelType w:val="singleLevel"/>
    <w:tmpl w:val="E272934F"/>
    <w:lvl w:ilvl="0" w:tentative="0">
      <w:start w:val="1"/>
      <w:numFmt w:val="decimal"/>
      <w:suff w:val="nothing"/>
      <w:lvlText w:val="(%1)"/>
      <w:lvlJc w:val="left"/>
      <w:pPr>
        <w:ind w:left="440" w:hanging="440"/>
      </w:pPr>
      <w:rPr>
        <w:rFonts w:hint="eastAsia" w:cs="Times New Roman"/>
      </w:rPr>
    </w:lvl>
  </w:abstractNum>
  <w:abstractNum w:abstractNumId="16">
    <w:nsid w:val="FD0895A2"/>
    <w:multiLevelType w:val="multilevel"/>
    <w:tmpl w:val="FD0895A2"/>
    <w:lvl w:ilvl="0" w:tentative="0">
      <w:start w:val="1"/>
      <w:numFmt w:val="decimal"/>
      <w:suff w:val="nothing"/>
      <w:lvlText w:val="(%1)"/>
      <w:lvlJc w:val="left"/>
      <w:pPr>
        <w:ind w:left="442" w:hanging="442"/>
      </w:pPr>
      <w:rPr>
        <w:rFonts w:hint="eastAsia"/>
        <w:b w:val="0"/>
        <w:i w:val="0"/>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FE2E8312"/>
    <w:multiLevelType w:val="singleLevel"/>
    <w:tmpl w:val="FE2E8312"/>
    <w:lvl w:ilvl="0" w:tentative="0">
      <w:start w:val="1"/>
      <w:numFmt w:val="decimal"/>
      <w:suff w:val="nothing"/>
      <w:lvlText w:val="(%1)"/>
      <w:lvlJc w:val="left"/>
      <w:pPr>
        <w:ind w:left="440" w:hanging="440"/>
      </w:pPr>
      <w:rPr>
        <w:rFonts w:hint="eastAsia" w:cs="Times New Roman"/>
      </w:rPr>
    </w:lvl>
  </w:abstractNum>
  <w:abstractNum w:abstractNumId="18">
    <w:nsid w:val="1AA17C06"/>
    <w:multiLevelType w:val="multilevel"/>
    <w:tmpl w:val="1AA17C06"/>
    <w:lvl w:ilvl="0" w:tentative="0">
      <w:start w:val="1"/>
      <w:numFmt w:val="decimal"/>
      <w:suff w:val="nothing"/>
      <w:lvlText w:val="(%1)"/>
      <w:lvlJc w:val="left"/>
      <w:pPr>
        <w:ind w:left="442" w:hanging="442"/>
      </w:pPr>
      <w:rPr>
        <w:rFonts w:hint="eastAsia"/>
        <w:b w:val="0"/>
        <w:i w:val="0"/>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36A8EB1C"/>
    <w:multiLevelType w:val="singleLevel"/>
    <w:tmpl w:val="36A8EB1C"/>
    <w:lvl w:ilvl="0" w:tentative="0">
      <w:start w:val="1"/>
      <w:numFmt w:val="decimal"/>
      <w:suff w:val="nothing"/>
      <w:lvlText w:val="(%1)"/>
      <w:lvlJc w:val="left"/>
      <w:pPr>
        <w:ind w:left="440" w:hanging="440"/>
      </w:pPr>
      <w:rPr>
        <w:rFonts w:hint="eastAsia" w:cs="Times New Roman"/>
      </w:rPr>
    </w:lvl>
  </w:abstractNum>
  <w:abstractNum w:abstractNumId="20">
    <w:nsid w:val="384E60CA"/>
    <w:multiLevelType w:val="singleLevel"/>
    <w:tmpl w:val="384E60CA"/>
    <w:lvl w:ilvl="0" w:tentative="0">
      <w:start w:val="1"/>
      <w:numFmt w:val="decimal"/>
      <w:suff w:val="nothing"/>
      <w:lvlText w:val="(%1)"/>
      <w:lvlJc w:val="left"/>
      <w:pPr>
        <w:ind w:left="440" w:hanging="440"/>
      </w:pPr>
      <w:rPr>
        <w:rFonts w:hint="eastAsia" w:cs="Times New Roman"/>
      </w:rPr>
    </w:lvl>
  </w:abstractNum>
  <w:abstractNum w:abstractNumId="21">
    <w:nsid w:val="4699ECE0"/>
    <w:multiLevelType w:val="singleLevel"/>
    <w:tmpl w:val="4699ECE0"/>
    <w:lvl w:ilvl="0" w:tentative="0">
      <w:start w:val="1"/>
      <w:numFmt w:val="decimal"/>
      <w:suff w:val="nothing"/>
      <w:lvlText w:val="(%1)"/>
      <w:lvlJc w:val="left"/>
      <w:pPr>
        <w:ind w:left="440" w:hanging="440"/>
      </w:pPr>
      <w:rPr>
        <w:rFonts w:hint="eastAsia" w:cs="Times New Roman"/>
      </w:rPr>
    </w:lvl>
  </w:abstractNum>
  <w:abstractNum w:abstractNumId="22">
    <w:nsid w:val="5011CF28"/>
    <w:multiLevelType w:val="singleLevel"/>
    <w:tmpl w:val="5011CF28"/>
    <w:lvl w:ilvl="0" w:tentative="0">
      <w:start w:val="1"/>
      <w:numFmt w:val="decimal"/>
      <w:suff w:val="nothing"/>
      <w:lvlText w:val="(%1)"/>
      <w:lvlJc w:val="left"/>
      <w:pPr>
        <w:ind w:left="440" w:hanging="440"/>
      </w:pPr>
      <w:rPr>
        <w:rFonts w:hint="eastAsia" w:cs="Times New Roman"/>
      </w:rPr>
    </w:lvl>
  </w:abstractNum>
  <w:abstractNum w:abstractNumId="23">
    <w:nsid w:val="63F6DBCF"/>
    <w:multiLevelType w:val="multilevel"/>
    <w:tmpl w:val="63F6DBCF"/>
    <w:lvl w:ilvl="0" w:tentative="0">
      <w:start w:val="1"/>
      <w:numFmt w:val="decimal"/>
      <w:suff w:val="nothing"/>
      <w:lvlText w:val="(%1)"/>
      <w:lvlJc w:val="left"/>
      <w:pPr>
        <w:ind w:left="442" w:hanging="442"/>
      </w:pPr>
      <w:rPr>
        <w:rFonts w:hint="eastAsia"/>
        <w:b w:val="0"/>
        <w:i w:val="0"/>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6525A9C9"/>
    <w:multiLevelType w:val="singleLevel"/>
    <w:tmpl w:val="6525A9C9"/>
    <w:lvl w:ilvl="0" w:tentative="0">
      <w:start w:val="1"/>
      <w:numFmt w:val="decimal"/>
      <w:suff w:val="nothing"/>
      <w:lvlText w:val="(%1)"/>
      <w:lvlJc w:val="left"/>
      <w:pPr>
        <w:ind w:left="440" w:hanging="440"/>
      </w:pPr>
      <w:rPr>
        <w:rFonts w:hint="eastAsia" w:cs="Times New Roman"/>
      </w:rPr>
    </w:lvl>
  </w:abstractNum>
  <w:abstractNum w:abstractNumId="25">
    <w:nsid w:val="67B5DF6F"/>
    <w:multiLevelType w:val="multilevel"/>
    <w:tmpl w:val="67B5DF6F"/>
    <w:lvl w:ilvl="0" w:tentative="0">
      <w:start w:val="1"/>
      <w:numFmt w:val="decimal"/>
      <w:suff w:val="nothing"/>
      <w:lvlText w:val="(%1)"/>
      <w:lvlJc w:val="left"/>
      <w:pPr>
        <w:ind w:left="442" w:hanging="442"/>
      </w:pPr>
      <w:rPr>
        <w:rFonts w:hint="eastAsia"/>
        <w:b w:val="0"/>
        <w:i w:val="0"/>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7150EB43"/>
    <w:multiLevelType w:val="singleLevel"/>
    <w:tmpl w:val="7150EB43"/>
    <w:lvl w:ilvl="0" w:tentative="0">
      <w:start w:val="1"/>
      <w:numFmt w:val="decimal"/>
      <w:suff w:val="nothing"/>
      <w:lvlText w:val="(%1)"/>
      <w:lvlJc w:val="left"/>
      <w:pPr>
        <w:ind w:left="440" w:hanging="440"/>
      </w:pPr>
      <w:rPr>
        <w:rFonts w:hint="eastAsia" w:cs="Times New Roman"/>
      </w:rPr>
    </w:lvl>
  </w:abstractNum>
  <w:abstractNum w:abstractNumId="27">
    <w:nsid w:val="75079CFB"/>
    <w:multiLevelType w:val="multilevel"/>
    <w:tmpl w:val="75079CFB"/>
    <w:lvl w:ilvl="0" w:tentative="0">
      <w:start w:val="1"/>
      <w:numFmt w:val="decimal"/>
      <w:suff w:val="nothing"/>
      <w:lvlText w:val="(%1)"/>
      <w:lvlJc w:val="left"/>
      <w:pPr>
        <w:ind w:left="442" w:hanging="442"/>
      </w:pPr>
      <w:rPr>
        <w:rFonts w:hint="eastAsia"/>
        <w:b w:val="0"/>
        <w:i w:val="0"/>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772F7F7D"/>
    <w:multiLevelType w:val="singleLevel"/>
    <w:tmpl w:val="772F7F7D"/>
    <w:lvl w:ilvl="0" w:tentative="0">
      <w:start w:val="1"/>
      <w:numFmt w:val="decimal"/>
      <w:suff w:val="nothing"/>
      <w:lvlText w:val="(%1)"/>
      <w:lvlJc w:val="left"/>
      <w:pPr>
        <w:ind w:left="440" w:hanging="440"/>
      </w:pPr>
      <w:rPr>
        <w:rFonts w:hint="eastAsia" w:cs="Times New Roman"/>
      </w:rPr>
    </w:lvl>
  </w:abstractNum>
  <w:num w:numId="1">
    <w:abstractNumId w:val="12"/>
  </w:num>
  <w:num w:numId="2">
    <w:abstractNumId w:val="13"/>
  </w:num>
  <w:num w:numId="3">
    <w:abstractNumId w:val="3"/>
  </w:num>
  <w:num w:numId="4">
    <w:abstractNumId w:val="0"/>
  </w:num>
  <w:num w:numId="5">
    <w:abstractNumId w:val="26"/>
  </w:num>
  <w:num w:numId="6">
    <w:abstractNumId w:val="2"/>
  </w:num>
  <w:num w:numId="7">
    <w:abstractNumId w:val="9"/>
  </w:num>
  <w:num w:numId="8">
    <w:abstractNumId w:val="4"/>
  </w:num>
  <w:num w:numId="9">
    <w:abstractNumId w:val="15"/>
  </w:num>
  <w:num w:numId="10">
    <w:abstractNumId w:val="14"/>
  </w:num>
  <w:num w:numId="11">
    <w:abstractNumId w:val="6"/>
  </w:num>
  <w:num w:numId="12">
    <w:abstractNumId w:val="28"/>
  </w:num>
  <w:num w:numId="13">
    <w:abstractNumId w:val="11"/>
  </w:num>
  <w:num w:numId="14">
    <w:abstractNumId w:val="20"/>
  </w:num>
  <w:num w:numId="15">
    <w:abstractNumId w:val="19"/>
  </w:num>
  <w:num w:numId="16">
    <w:abstractNumId w:val="17"/>
  </w:num>
  <w:num w:numId="17">
    <w:abstractNumId w:val="7"/>
  </w:num>
  <w:num w:numId="18">
    <w:abstractNumId w:val="24"/>
  </w:num>
  <w:num w:numId="19">
    <w:abstractNumId w:val="1"/>
  </w:num>
  <w:num w:numId="20">
    <w:abstractNumId w:val="22"/>
  </w:num>
  <w:num w:numId="21">
    <w:abstractNumId w:val="8"/>
  </w:num>
  <w:num w:numId="22">
    <w:abstractNumId w:val="10"/>
  </w:num>
  <w:num w:numId="23">
    <w:abstractNumId w:val="23"/>
  </w:num>
  <w:num w:numId="24">
    <w:abstractNumId w:val="25"/>
  </w:num>
  <w:num w:numId="25">
    <w:abstractNumId w:val="5"/>
  </w:num>
  <w:num w:numId="26">
    <w:abstractNumId w:val="18"/>
  </w:num>
  <w:num w:numId="27">
    <w:abstractNumId w:val="16"/>
  </w:num>
  <w:num w:numId="28">
    <w:abstractNumId w:val="2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410FDF"/>
    <w:rsid w:val="01227665"/>
    <w:rsid w:val="07410FDF"/>
    <w:rsid w:val="13452E87"/>
    <w:rsid w:val="272D3A91"/>
    <w:rsid w:val="29806A8C"/>
    <w:rsid w:val="2B14398C"/>
    <w:rsid w:val="30CA2DF1"/>
    <w:rsid w:val="5E0635EE"/>
    <w:rsid w:val="610958E1"/>
    <w:rsid w:val="63461362"/>
    <w:rsid w:val="6CB6523F"/>
    <w:rsid w:val="6F387045"/>
    <w:rsid w:val="78665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Body Text 2"/>
    <w:basedOn w:val="1"/>
    <w:qFormat/>
    <w:uiPriority w:val="99"/>
    <w:rPr>
      <w:color w:val="FF0000"/>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图片表格"/>
    <w:basedOn w:val="1"/>
    <w:autoRedefine/>
    <w:qFormat/>
    <w:uiPriority w:val="5"/>
    <w:pPr>
      <w:widowControl/>
      <w:adjustRightInd w:val="0"/>
      <w:jc w:val="center"/>
    </w:pPr>
    <w:rPr>
      <w:kern w:val="0"/>
      <w:szCs w:val="21"/>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10775</Words>
  <Characters>12838</Characters>
  <Lines>0</Lines>
  <Paragraphs>0</Paragraphs>
  <TotalTime>10</TotalTime>
  <ScaleCrop>false</ScaleCrop>
  <LinksUpToDate>false</LinksUpToDate>
  <CharactersWithSpaces>13848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2025-09-26T06:13:00Z</dcterms:created>
  <dc:creator>Cy.</dc:creator>
  <cp:lastModifiedBy>Cy.</cp:lastModifiedBy>
  <dcterms:modified xsi:type="dcterms:W3CDTF">2025-09-26T07:02:15Z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4BE4187536D8433193F01DB0F9BC3E7D_11</vt:lpwstr>
  </property>
  <property fmtid="{D5CDD505-2E9C-101B-9397-08002B2CF9AE}" pid="4" name="KSOTemplateDocerSaveRecord">
    <vt:lpwstr>eyJoZGlkIjoiMzA0ZTA5ZTFmN2I5NGQ5YTZjM2ZkMjU3M2E3Y2VlZjciLCJ1c2VySWQiOiI2MjEzMjc0NzQifQ==</vt:lpwstr>
  </property>
</Properties>
</file>