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399B8">
      <w:pPr>
        <w:spacing w:before="380" w:after="380" w:line="360" w:lineRule="auto"/>
        <w:ind w:firstLine="880"/>
        <w:rPr>
          <w:rFonts w:ascii="黑体" w:hAnsi="宋体" w:eastAsia="黑体"/>
          <w:color w:val="000000" w:themeColor="text1"/>
          <w:sz w:val="44"/>
          <w:szCs w:val="44"/>
        </w:rPr>
      </w:pPr>
      <w:bookmarkStart w:id="73" w:name="_GoBack"/>
      <w:bookmarkEnd w:id="73"/>
    </w:p>
    <w:p w14:paraId="044ABF23">
      <w:pPr>
        <w:spacing w:before="380" w:after="380" w:line="360" w:lineRule="auto"/>
        <w:ind w:firstLine="880"/>
        <w:rPr>
          <w:rFonts w:ascii="黑体" w:hAnsi="宋体" w:eastAsia="黑体"/>
          <w:color w:val="000000" w:themeColor="text1"/>
          <w:sz w:val="44"/>
          <w:szCs w:val="44"/>
        </w:rPr>
      </w:pPr>
    </w:p>
    <w:p w14:paraId="2F4B3EE8">
      <w:pPr>
        <w:spacing w:after="120" w:line="360" w:lineRule="auto"/>
        <w:jc w:val="center"/>
        <w:rPr>
          <w:rFonts w:ascii="黑体" w:hAnsi="宋体" w:eastAsia="黑体"/>
          <w:color w:val="000000" w:themeColor="text1"/>
          <w:sz w:val="44"/>
          <w:szCs w:val="44"/>
        </w:rPr>
      </w:pPr>
      <w:r>
        <w:rPr>
          <w:rFonts w:hint="eastAsia" w:ascii="黑体" w:hAnsi="宋体" w:eastAsia="黑体"/>
          <w:color w:val="000000" w:themeColor="text1"/>
          <w:sz w:val="44"/>
          <w:szCs w:val="44"/>
        </w:rPr>
        <w:t>江苏省广电有线信息网络股份有限公司</w:t>
      </w:r>
      <w:bookmarkStart w:id="0" w:name="_Hlk103000311"/>
      <w:bookmarkStart w:id="1" w:name="_Toc227057880"/>
    </w:p>
    <w:p w14:paraId="3FC6AA79">
      <w:pPr>
        <w:spacing w:after="120" w:line="360" w:lineRule="auto"/>
        <w:jc w:val="center"/>
        <w:rPr>
          <w:rFonts w:ascii="黑体" w:hAnsi="宋体" w:eastAsia="黑体"/>
          <w:color w:val="000000" w:themeColor="text1"/>
          <w:sz w:val="44"/>
          <w:szCs w:val="44"/>
        </w:rPr>
      </w:pPr>
      <w:r>
        <w:rPr>
          <w:rFonts w:hint="eastAsia" w:ascii="黑体" w:hAnsi="宋体" w:eastAsia="黑体"/>
          <w:color w:val="000000" w:themeColor="text1"/>
          <w:sz w:val="44"/>
          <w:szCs w:val="44"/>
        </w:rPr>
        <w:t>园区1号楼无线网络优化项目</w:t>
      </w:r>
    </w:p>
    <w:p w14:paraId="520EC6CD">
      <w:pPr>
        <w:spacing w:after="120" w:line="360" w:lineRule="auto"/>
        <w:jc w:val="center"/>
        <w:rPr>
          <w:rFonts w:ascii="黑体" w:hAnsi="宋体" w:eastAsia="黑体"/>
          <w:color w:val="000000" w:themeColor="text1"/>
          <w:sz w:val="44"/>
          <w:szCs w:val="44"/>
        </w:rPr>
      </w:pPr>
      <w:r>
        <w:rPr>
          <w:rFonts w:hint="eastAsia" w:ascii="黑体" w:hAnsi="宋体" w:eastAsia="黑体"/>
          <w:color w:val="000000" w:themeColor="text1"/>
          <w:sz w:val="44"/>
          <w:szCs w:val="44"/>
        </w:rPr>
        <w:t>竞争性</w:t>
      </w:r>
      <w:bookmarkEnd w:id="0"/>
      <w:r>
        <w:rPr>
          <w:rFonts w:hint="eastAsia" w:ascii="黑体" w:hAnsi="宋体" w:eastAsia="黑体"/>
          <w:color w:val="000000" w:themeColor="text1"/>
          <w:sz w:val="44"/>
          <w:szCs w:val="44"/>
        </w:rPr>
        <w:t>谈判文件</w:t>
      </w:r>
    </w:p>
    <w:p w14:paraId="66BE444E">
      <w:pPr>
        <w:spacing w:line="360" w:lineRule="auto"/>
        <w:ind w:firstLine="643"/>
        <w:jc w:val="center"/>
        <w:rPr>
          <w:b/>
          <w:bCs/>
          <w:color w:val="000000" w:themeColor="text1"/>
          <w:sz w:val="32"/>
          <w:szCs w:val="32"/>
        </w:rPr>
      </w:pPr>
    </w:p>
    <w:p w14:paraId="067D8978">
      <w:pPr>
        <w:spacing w:line="360" w:lineRule="auto"/>
        <w:jc w:val="center"/>
        <w:rPr>
          <w:b/>
          <w:bCs/>
          <w:color w:val="000000" w:themeColor="text1"/>
          <w:sz w:val="32"/>
          <w:szCs w:val="32"/>
        </w:rPr>
      </w:pPr>
      <w:r>
        <w:rPr>
          <w:rFonts w:hint="eastAsia"/>
          <w:b/>
          <w:bCs/>
          <w:color w:val="000000" w:themeColor="text1"/>
          <w:sz w:val="32"/>
          <w:szCs w:val="32"/>
        </w:rPr>
        <w:t>编号：</w:t>
      </w:r>
      <w:r>
        <w:rPr>
          <w:b/>
          <w:bCs/>
          <w:color w:val="000000" w:themeColor="text1"/>
          <w:sz w:val="32"/>
          <w:szCs w:val="32"/>
        </w:rPr>
        <w:t>JSCN[2025]092</w:t>
      </w:r>
    </w:p>
    <w:p w14:paraId="31BE437D">
      <w:pPr>
        <w:spacing w:line="360" w:lineRule="auto"/>
        <w:ind w:firstLine="643"/>
        <w:jc w:val="center"/>
        <w:rPr>
          <w:b/>
          <w:bCs/>
          <w:color w:val="000000" w:themeColor="text1"/>
          <w:sz w:val="32"/>
          <w:szCs w:val="32"/>
        </w:rPr>
      </w:pPr>
    </w:p>
    <w:p w14:paraId="36FF0657">
      <w:pPr>
        <w:spacing w:line="360" w:lineRule="auto"/>
        <w:ind w:firstLine="643"/>
        <w:jc w:val="center"/>
        <w:rPr>
          <w:b/>
          <w:bCs/>
          <w:color w:val="000000" w:themeColor="text1"/>
          <w:sz w:val="32"/>
          <w:szCs w:val="32"/>
        </w:rPr>
      </w:pPr>
    </w:p>
    <w:p w14:paraId="06622644">
      <w:pPr>
        <w:spacing w:line="360" w:lineRule="auto"/>
        <w:ind w:firstLine="643"/>
        <w:jc w:val="center"/>
        <w:rPr>
          <w:b/>
          <w:bCs/>
          <w:color w:val="000000" w:themeColor="text1"/>
          <w:sz w:val="32"/>
          <w:szCs w:val="32"/>
        </w:rPr>
      </w:pPr>
    </w:p>
    <w:p w14:paraId="564D0FAC">
      <w:pPr>
        <w:spacing w:line="360" w:lineRule="auto"/>
        <w:ind w:firstLine="643"/>
        <w:jc w:val="center"/>
        <w:rPr>
          <w:b/>
          <w:bCs/>
          <w:color w:val="000000" w:themeColor="text1"/>
          <w:sz w:val="32"/>
          <w:szCs w:val="32"/>
        </w:rPr>
      </w:pPr>
    </w:p>
    <w:p w14:paraId="0CA4D9C9">
      <w:pPr>
        <w:spacing w:line="360" w:lineRule="auto"/>
        <w:ind w:firstLine="643"/>
        <w:jc w:val="center"/>
        <w:rPr>
          <w:b/>
          <w:bCs/>
          <w:color w:val="000000" w:themeColor="text1"/>
          <w:sz w:val="32"/>
          <w:szCs w:val="32"/>
        </w:rPr>
      </w:pPr>
    </w:p>
    <w:p w14:paraId="3EBD7213">
      <w:pPr>
        <w:spacing w:line="360" w:lineRule="auto"/>
        <w:ind w:firstLine="643"/>
        <w:jc w:val="center"/>
        <w:rPr>
          <w:b/>
          <w:bCs/>
          <w:color w:val="000000" w:themeColor="text1"/>
          <w:sz w:val="32"/>
          <w:szCs w:val="32"/>
        </w:rPr>
      </w:pPr>
    </w:p>
    <w:p w14:paraId="77802798">
      <w:pPr>
        <w:spacing w:line="360" w:lineRule="auto"/>
        <w:jc w:val="center"/>
        <w:rPr>
          <w:b/>
          <w:color w:val="000000" w:themeColor="text1"/>
          <w:sz w:val="28"/>
          <w:szCs w:val="28"/>
        </w:rPr>
      </w:pPr>
      <w:r>
        <w:rPr>
          <w:rFonts w:hint="eastAsia"/>
          <w:b/>
          <w:color w:val="000000" w:themeColor="text1"/>
          <w:sz w:val="28"/>
          <w:szCs w:val="28"/>
        </w:rPr>
        <w:t>采购人：</w:t>
      </w:r>
      <w:r>
        <w:rPr>
          <w:b/>
          <w:color w:val="000000" w:themeColor="text1"/>
          <w:sz w:val="28"/>
          <w:szCs w:val="28"/>
        </w:rPr>
        <w:t>江苏省广电有线信息网络股份有限公司</w:t>
      </w:r>
    </w:p>
    <w:p w14:paraId="3DA7521D">
      <w:pPr>
        <w:spacing w:line="560" w:lineRule="exact"/>
        <w:jc w:val="center"/>
        <w:rPr>
          <w:rFonts w:eastAsia="黑体"/>
          <w:b/>
          <w:bCs/>
          <w:sz w:val="52"/>
          <w:szCs w:val="52"/>
          <w:lang w:val="zh-CN"/>
        </w:rPr>
      </w:pPr>
      <w:r>
        <w:rPr>
          <w:rFonts w:hint="eastAsia" w:ascii="宋体" w:hAnsi="宋体"/>
          <w:b/>
          <w:bCs/>
          <w:sz w:val="30"/>
          <w:szCs w:val="30"/>
          <w:lang w:val="zh-CN"/>
        </w:rPr>
        <w:t>二〇二</w:t>
      </w:r>
      <w:r>
        <w:rPr>
          <w:rFonts w:hint="eastAsia" w:ascii="宋体" w:hAnsi="宋体"/>
          <w:b/>
          <w:bCs/>
          <w:sz w:val="30"/>
          <w:szCs w:val="30"/>
        </w:rPr>
        <w:t>五</w:t>
      </w:r>
      <w:r>
        <w:rPr>
          <w:rFonts w:hint="eastAsia" w:ascii="宋体" w:hAnsi="宋体"/>
          <w:b/>
          <w:bCs/>
          <w:sz w:val="30"/>
          <w:szCs w:val="30"/>
          <w:lang w:val="zh-CN"/>
        </w:rPr>
        <w:t>年</w:t>
      </w:r>
      <w:r>
        <w:rPr>
          <w:rFonts w:hint="eastAsia" w:ascii="宋体" w:hAnsi="宋体"/>
          <w:b/>
          <w:bCs/>
          <w:sz w:val="30"/>
          <w:szCs w:val="30"/>
        </w:rPr>
        <w:t>十</w:t>
      </w:r>
      <w:r>
        <w:rPr>
          <w:rFonts w:hint="eastAsia" w:ascii="宋体" w:hAnsi="宋体"/>
          <w:b/>
          <w:bCs/>
          <w:sz w:val="30"/>
          <w:szCs w:val="30"/>
          <w:lang w:val="zh-CN"/>
        </w:rPr>
        <w:t>月</w:t>
      </w:r>
    </w:p>
    <w:p w14:paraId="6E41F34D">
      <w:pPr>
        <w:spacing w:before="380" w:after="380" w:line="360" w:lineRule="auto"/>
        <w:ind w:firstLine="1405" w:firstLineChars="500"/>
        <w:rPr>
          <w:b/>
          <w:color w:val="000000" w:themeColor="text1"/>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26" w:bottom="1440" w:left="1797" w:header="851" w:footer="992" w:gutter="0"/>
          <w:cols w:space="720" w:num="1"/>
          <w:titlePg/>
          <w:docGrid w:type="lines" w:linePitch="380" w:charSpace="0"/>
        </w:sectPr>
      </w:pPr>
    </w:p>
    <w:p w14:paraId="50EBF7D8">
      <w:pPr>
        <w:pStyle w:val="3"/>
        <w:ind w:firstLine="600"/>
      </w:pPr>
      <w:bookmarkStart w:id="2" w:name="_Toc16046"/>
      <w:bookmarkStart w:id="3" w:name="_Hlk106094668"/>
      <w:r>
        <w:rPr>
          <w:rFonts w:hint="eastAsia"/>
        </w:rPr>
        <w:t>第一章竞争性谈判公告</w:t>
      </w:r>
      <w:bookmarkEnd w:id="2"/>
    </w:p>
    <w:bookmarkEnd w:id="1"/>
    <w:p w14:paraId="56F0C0A2">
      <w:pPr>
        <w:spacing w:line="360" w:lineRule="auto"/>
        <w:ind w:firstLine="482"/>
        <w:rPr>
          <w:rFonts w:ascii="宋体" w:hAnsi="宋体" w:cs="宋体"/>
          <w:b/>
          <w:color w:val="000000" w:themeColor="text1"/>
          <w:kern w:val="0"/>
          <w:sz w:val="28"/>
          <w:szCs w:val="28"/>
        </w:rPr>
      </w:pPr>
      <w:bookmarkStart w:id="4" w:name="_Hlk103000296"/>
      <w:r>
        <w:rPr>
          <w:rFonts w:hint="eastAsia" w:ascii="宋体" w:hAnsi="宋体" w:cs="宋体"/>
          <w:b/>
          <w:color w:val="000000" w:themeColor="text1"/>
          <w:kern w:val="0"/>
          <w:sz w:val="28"/>
          <w:szCs w:val="28"/>
        </w:rPr>
        <w:t>一、项目概况</w:t>
      </w:r>
    </w:p>
    <w:p w14:paraId="73EE3FF0">
      <w:pPr>
        <w:widowControl/>
        <w:tabs>
          <w:tab w:val="left" w:pos="851"/>
        </w:tabs>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1.项目名称</w:t>
      </w:r>
    </w:p>
    <w:p w14:paraId="0D55DEB2">
      <w:pPr>
        <w:widowControl/>
        <w:tabs>
          <w:tab w:val="left" w:pos="851"/>
        </w:tabs>
        <w:spacing w:line="360" w:lineRule="auto"/>
        <w:ind w:left="210" w:firstLine="480" w:firstLineChars="200"/>
        <w:jc w:val="left"/>
        <w:rPr>
          <w:rFonts w:ascii="宋体" w:hAnsi="宋体" w:cs="宋体"/>
          <w:bCs/>
          <w:kern w:val="0"/>
          <w:sz w:val="24"/>
        </w:rPr>
      </w:pPr>
      <w:r>
        <w:rPr>
          <w:rFonts w:hint="eastAsia" w:ascii="宋体" w:hAnsi="宋体" w:cs="宋体"/>
          <w:bCs/>
          <w:kern w:val="0"/>
          <w:sz w:val="24"/>
        </w:rPr>
        <w:t>江苏省广电有线信息网络股份有限公司园区1号楼无线网络优化项目。</w:t>
      </w:r>
    </w:p>
    <w:p w14:paraId="21A01F7C">
      <w:pPr>
        <w:widowControl/>
        <w:tabs>
          <w:tab w:val="left" w:pos="851"/>
        </w:tabs>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2.项目内容</w:t>
      </w:r>
    </w:p>
    <w:p w14:paraId="4D484D93">
      <w:pPr>
        <w:spacing w:line="360" w:lineRule="auto"/>
        <w:ind w:firstLine="480" w:firstLineChars="200"/>
        <w:rPr>
          <w:rFonts w:ascii="宋体" w:hAnsi="宋体" w:cs="宋体"/>
          <w:bCs/>
          <w:kern w:val="0"/>
          <w:sz w:val="24"/>
        </w:rPr>
      </w:pPr>
      <w:r>
        <w:rPr>
          <w:rFonts w:hint="eastAsia" w:ascii="宋体" w:hAnsi="宋体" w:cs="宋体"/>
          <w:bCs/>
          <w:kern w:val="0"/>
          <w:sz w:val="24"/>
        </w:rPr>
        <w:t>本项目以园区核心区域无线网络优化为目标，主要内容包括高性能AP设备替换、弱覆盖区域补盲、安全认证功能及AI运维能力建设等，进一步提升园区无线网络可用性。</w:t>
      </w:r>
    </w:p>
    <w:tbl>
      <w:tblPr>
        <w:tblStyle w:val="53"/>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10"/>
        <w:gridCol w:w="770"/>
        <w:gridCol w:w="5420"/>
      </w:tblGrid>
      <w:tr w14:paraId="411F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2" w:type="dxa"/>
            <w:vAlign w:val="center"/>
          </w:tcPr>
          <w:p w14:paraId="11112367">
            <w:pPr>
              <w:jc w:val="center"/>
              <w:rPr>
                <w:rFonts w:ascii="宋体" w:hAnsi="宋体" w:cs="宋体"/>
                <w:b/>
                <w:bCs/>
                <w:szCs w:val="21"/>
              </w:rPr>
            </w:pPr>
            <w:r>
              <w:rPr>
                <w:rFonts w:hint="eastAsia" w:ascii="宋体" w:hAnsi="宋体" w:cs="宋体"/>
                <w:b/>
                <w:bCs/>
                <w:szCs w:val="21"/>
              </w:rPr>
              <w:t>序号</w:t>
            </w:r>
          </w:p>
        </w:tc>
        <w:tc>
          <w:tcPr>
            <w:tcW w:w="2210" w:type="dxa"/>
            <w:vAlign w:val="center"/>
          </w:tcPr>
          <w:p w14:paraId="258E84D8">
            <w:pPr>
              <w:jc w:val="center"/>
              <w:rPr>
                <w:rFonts w:ascii="宋体" w:hAnsi="宋体" w:cs="宋体"/>
                <w:b/>
                <w:bCs/>
                <w:szCs w:val="21"/>
              </w:rPr>
            </w:pPr>
            <w:r>
              <w:rPr>
                <w:rFonts w:hint="eastAsia" w:ascii="宋体" w:hAnsi="宋体" w:cs="宋体"/>
                <w:b/>
                <w:bCs/>
                <w:szCs w:val="21"/>
              </w:rPr>
              <w:t>采购货物名称</w:t>
            </w:r>
          </w:p>
        </w:tc>
        <w:tc>
          <w:tcPr>
            <w:tcW w:w="770" w:type="dxa"/>
            <w:vAlign w:val="center"/>
          </w:tcPr>
          <w:p w14:paraId="5B630706">
            <w:pPr>
              <w:jc w:val="center"/>
              <w:rPr>
                <w:rFonts w:ascii="宋体" w:hAnsi="宋体" w:cs="宋体"/>
                <w:b/>
                <w:bCs/>
                <w:szCs w:val="21"/>
              </w:rPr>
            </w:pPr>
            <w:r>
              <w:rPr>
                <w:rFonts w:hint="eastAsia" w:ascii="宋体" w:hAnsi="宋体" w:cs="宋体"/>
                <w:b/>
                <w:bCs/>
                <w:szCs w:val="21"/>
              </w:rPr>
              <w:t>数量</w:t>
            </w:r>
          </w:p>
        </w:tc>
        <w:tc>
          <w:tcPr>
            <w:tcW w:w="5420" w:type="dxa"/>
            <w:vAlign w:val="center"/>
          </w:tcPr>
          <w:p w14:paraId="2F8F83B4">
            <w:pPr>
              <w:jc w:val="center"/>
              <w:rPr>
                <w:rFonts w:ascii="宋体" w:hAnsi="宋体" w:cs="宋体"/>
                <w:b/>
                <w:bCs/>
                <w:szCs w:val="21"/>
              </w:rPr>
            </w:pPr>
            <w:r>
              <w:rPr>
                <w:rFonts w:hint="eastAsia" w:ascii="宋体" w:hAnsi="宋体" w:cs="宋体"/>
                <w:b/>
                <w:bCs/>
                <w:szCs w:val="21"/>
              </w:rPr>
              <w:t>配置</w:t>
            </w:r>
          </w:p>
        </w:tc>
      </w:tr>
      <w:tr w14:paraId="44DF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Align w:val="center"/>
          </w:tcPr>
          <w:p w14:paraId="5A9FEB6D">
            <w:pPr>
              <w:jc w:val="center"/>
              <w:rPr>
                <w:rFonts w:ascii="宋体" w:hAnsi="宋体" w:cs="宋体"/>
                <w:bCs/>
                <w:szCs w:val="21"/>
              </w:rPr>
            </w:pPr>
            <w:r>
              <w:rPr>
                <w:rFonts w:hint="eastAsia" w:ascii="宋体" w:hAnsi="宋体" w:cs="宋体"/>
                <w:bCs/>
                <w:szCs w:val="21"/>
              </w:rPr>
              <w:t>1</w:t>
            </w:r>
          </w:p>
        </w:tc>
        <w:tc>
          <w:tcPr>
            <w:tcW w:w="2210" w:type="dxa"/>
            <w:vAlign w:val="center"/>
          </w:tcPr>
          <w:p w14:paraId="3CA245ED">
            <w:pPr>
              <w:jc w:val="center"/>
              <w:rPr>
                <w:rFonts w:ascii="宋体" w:hAnsi="宋体" w:cs="宋体"/>
                <w:bCs/>
                <w:szCs w:val="21"/>
              </w:rPr>
            </w:pPr>
            <w:r>
              <w:rPr>
                <w:rFonts w:hint="eastAsia" w:ascii="宋体" w:hAnsi="宋体"/>
                <w:bCs/>
                <w:szCs w:val="21"/>
              </w:rPr>
              <w:t>面板AP</w:t>
            </w:r>
          </w:p>
        </w:tc>
        <w:tc>
          <w:tcPr>
            <w:tcW w:w="770" w:type="dxa"/>
            <w:vAlign w:val="center"/>
          </w:tcPr>
          <w:p w14:paraId="4B173019">
            <w:pPr>
              <w:jc w:val="center"/>
              <w:rPr>
                <w:rFonts w:ascii="宋体" w:hAnsi="宋体" w:cs="宋体"/>
                <w:bCs/>
                <w:szCs w:val="21"/>
              </w:rPr>
            </w:pPr>
            <w:r>
              <w:rPr>
                <w:rFonts w:hint="eastAsia" w:ascii="宋体" w:hAnsi="宋体" w:cs="宋体"/>
                <w:bCs/>
                <w:szCs w:val="21"/>
              </w:rPr>
              <w:t>20台</w:t>
            </w:r>
          </w:p>
        </w:tc>
        <w:tc>
          <w:tcPr>
            <w:tcW w:w="5420" w:type="dxa"/>
            <w:vAlign w:val="center"/>
          </w:tcPr>
          <w:p w14:paraId="13283D9D">
            <w:pPr>
              <w:jc w:val="left"/>
              <w:rPr>
                <w:rFonts w:ascii="宋体" w:hAnsi="宋体" w:cs="宋体"/>
                <w:bCs/>
                <w:szCs w:val="21"/>
              </w:rPr>
            </w:pPr>
            <w:r>
              <w:rPr>
                <w:rFonts w:hint="eastAsia" w:ascii="宋体" w:hAnsi="宋体" w:cs="宋体"/>
                <w:bCs/>
                <w:szCs w:val="21"/>
              </w:rPr>
              <w:t>支持标准802.11ax协议，采用双射频设计，整机4条空间流，≥1个GE电接口（上行），≥2个GE电接口（下行）</w:t>
            </w:r>
          </w:p>
        </w:tc>
      </w:tr>
      <w:tr w14:paraId="57C9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Align w:val="center"/>
          </w:tcPr>
          <w:p w14:paraId="6046D483">
            <w:pPr>
              <w:jc w:val="center"/>
              <w:rPr>
                <w:rFonts w:ascii="宋体" w:hAnsi="宋体" w:cs="宋体"/>
                <w:bCs/>
                <w:szCs w:val="21"/>
              </w:rPr>
            </w:pPr>
            <w:r>
              <w:rPr>
                <w:rFonts w:hint="eastAsia" w:ascii="宋体" w:hAnsi="宋体" w:cs="宋体"/>
                <w:bCs/>
                <w:szCs w:val="21"/>
              </w:rPr>
              <w:t>2</w:t>
            </w:r>
          </w:p>
        </w:tc>
        <w:tc>
          <w:tcPr>
            <w:tcW w:w="2210" w:type="dxa"/>
            <w:vAlign w:val="center"/>
          </w:tcPr>
          <w:p w14:paraId="1F146E2C">
            <w:pPr>
              <w:jc w:val="center"/>
              <w:rPr>
                <w:rFonts w:ascii="宋体" w:hAnsi="宋体" w:cs="宋体"/>
                <w:bCs/>
                <w:szCs w:val="21"/>
              </w:rPr>
            </w:pPr>
            <w:r>
              <w:rPr>
                <w:rFonts w:hint="eastAsia" w:ascii="宋体" w:hAnsi="宋体"/>
                <w:bCs/>
                <w:szCs w:val="21"/>
              </w:rPr>
              <w:t>放装AP</w:t>
            </w:r>
          </w:p>
        </w:tc>
        <w:tc>
          <w:tcPr>
            <w:tcW w:w="770" w:type="dxa"/>
            <w:vAlign w:val="center"/>
          </w:tcPr>
          <w:p w14:paraId="487711FA">
            <w:pPr>
              <w:jc w:val="center"/>
              <w:rPr>
                <w:rFonts w:ascii="宋体" w:hAnsi="宋体" w:cs="宋体"/>
                <w:bCs/>
                <w:szCs w:val="21"/>
              </w:rPr>
            </w:pPr>
            <w:r>
              <w:rPr>
                <w:rFonts w:hint="eastAsia" w:ascii="宋体" w:hAnsi="宋体" w:cs="宋体"/>
                <w:bCs/>
                <w:szCs w:val="21"/>
              </w:rPr>
              <w:t>25台</w:t>
            </w:r>
          </w:p>
        </w:tc>
        <w:tc>
          <w:tcPr>
            <w:tcW w:w="5420" w:type="dxa"/>
            <w:vAlign w:val="center"/>
          </w:tcPr>
          <w:p w14:paraId="506FC42C">
            <w:pPr>
              <w:jc w:val="left"/>
              <w:rPr>
                <w:rFonts w:ascii="宋体" w:hAnsi="宋体" w:cs="宋体"/>
                <w:bCs/>
                <w:szCs w:val="21"/>
              </w:rPr>
            </w:pPr>
            <w:r>
              <w:rPr>
                <w:rFonts w:hint="eastAsia" w:ascii="宋体" w:hAnsi="宋体" w:cs="宋体"/>
                <w:bCs/>
                <w:szCs w:val="21"/>
              </w:rPr>
              <w:t>支持标准802.11ax协议，采用双射频设计，整机4条空间流，≥1个GE电接口</w:t>
            </w:r>
          </w:p>
        </w:tc>
      </w:tr>
      <w:tr w14:paraId="5817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Align w:val="center"/>
          </w:tcPr>
          <w:p w14:paraId="02D16BAA">
            <w:pPr>
              <w:jc w:val="center"/>
              <w:rPr>
                <w:rFonts w:ascii="宋体" w:hAnsi="宋体" w:cs="宋体"/>
                <w:bCs/>
                <w:szCs w:val="21"/>
              </w:rPr>
            </w:pPr>
            <w:r>
              <w:rPr>
                <w:rFonts w:hint="eastAsia" w:ascii="宋体" w:hAnsi="宋体" w:cs="宋体"/>
                <w:bCs/>
                <w:szCs w:val="21"/>
              </w:rPr>
              <w:t>3</w:t>
            </w:r>
          </w:p>
        </w:tc>
        <w:tc>
          <w:tcPr>
            <w:tcW w:w="2210" w:type="dxa"/>
            <w:vAlign w:val="center"/>
          </w:tcPr>
          <w:p w14:paraId="4869D434">
            <w:pPr>
              <w:jc w:val="center"/>
              <w:rPr>
                <w:rFonts w:ascii="宋体" w:hAnsi="宋体" w:cs="宋体"/>
                <w:bCs/>
                <w:szCs w:val="21"/>
              </w:rPr>
            </w:pPr>
            <w:r>
              <w:rPr>
                <w:rFonts w:hint="eastAsia" w:ascii="宋体" w:hAnsi="宋体"/>
                <w:bCs/>
                <w:szCs w:val="21"/>
              </w:rPr>
              <w:t>高密AP</w:t>
            </w:r>
          </w:p>
        </w:tc>
        <w:tc>
          <w:tcPr>
            <w:tcW w:w="770" w:type="dxa"/>
            <w:vAlign w:val="center"/>
          </w:tcPr>
          <w:p w14:paraId="60DA04DD">
            <w:pPr>
              <w:jc w:val="center"/>
              <w:rPr>
                <w:rFonts w:ascii="宋体" w:hAnsi="宋体" w:cs="宋体"/>
                <w:bCs/>
                <w:szCs w:val="21"/>
              </w:rPr>
            </w:pPr>
            <w:r>
              <w:rPr>
                <w:rFonts w:hint="eastAsia" w:ascii="宋体" w:hAnsi="宋体" w:cs="宋体"/>
                <w:bCs/>
                <w:szCs w:val="21"/>
              </w:rPr>
              <w:t>24台</w:t>
            </w:r>
          </w:p>
        </w:tc>
        <w:tc>
          <w:tcPr>
            <w:tcW w:w="5420" w:type="dxa"/>
            <w:vAlign w:val="center"/>
          </w:tcPr>
          <w:p w14:paraId="66AC0EA7">
            <w:pPr>
              <w:jc w:val="left"/>
              <w:rPr>
                <w:rFonts w:ascii="宋体" w:hAnsi="宋体" w:cs="宋体"/>
                <w:bCs/>
                <w:szCs w:val="21"/>
              </w:rPr>
            </w:pPr>
            <w:r>
              <w:rPr>
                <w:rFonts w:hint="eastAsia" w:ascii="宋体" w:hAnsi="宋体"/>
                <w:bCs/>
                <w:szCs w:val="21"/>
              </w:rPr>
              <w:t>支持标准802.11ax协议，采用三射频设计，整机6条空间流，≥1个GE电接口</w:t>
            </w:r>
          </w:p>
        </w:tc>
      </w:tr>
      <w:tr w14:paraId="6426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Align w:val="center"/>
          </w:tcPr>
          <w:p w14:paraId="396A406C">
            <w:pPr>
              <w:jc w:val="center"/>
              <w:rPr>
                <w:rFonts w:ascii="宋体" w:hAnsi="宋体" w:cs="宋体"/>
                <w:bCs/>
                <w:szCs w:val="21"/>
              </w:rPr>
            </w:pPr>
            <w:r>
              <w:rPr>
                <w:rFonts w:hint="eastAsia" w:ascii="宋体" w:hAnsi="宋体" w:cs="宋体"/>
                <w:bCs/>
                <w:szCs w:val="21"/>
              </w:rPr>
              <w:t>4</w:t>
            </w:r>
          </w:p>
        </w:tc>
        <w:tc>
          <w:tcPr>
            <w:tcW w:w="2210" w:type="dxa"/>
            <w:vAlign w:val="center"/>
          </w:tcPr>
          <w:p w14:paraId="7BB88E64">
            <w:pPr>
              <w:jc w:val="center"/>
              <w:rPr>
                <w:rFonts w:ascii="宋体" w:hAnsi="宋体" w:cs="宋体"/>
                <w:bCs/>
                <w:szCs w:val="21"/>
              </w:rPr>
            </w:pPr>
            <w:r>
              <w:rPr>
                <w:rFonts w:hint="eastAsia" w:ascii="宋体" w:hAnsi="宋体"/>
                <w:bCs/>
                <w:szCs w:val="21"/>
              </w:rPr>
              <w:t>无线授权</w:t>
            </w:r>
          </w:p>
        </w:tc>
        <w:tc>
          <w:tcPr>
            <w:tcW w:w="770" w:type="dxa"/>
            <w:vAlign w:val="center"/>
          </w:tcPr>
          <w:p w14:paraId="6C0B985C">
            <w:pPr>
              <w:jc w:val="center"/>
              <w:rPr>
                <w:rFonts w:ascii="宋体" w:hAnsi="宋体" w:cs="宋体"/>
                <w:bCs/>
                <w:szCs w:val="21"/>
              </w:rPr>
            </w:pPr>
            <w:r>
              <w:rPr>
                <w:rFonts w:hint="eastAsia" w:ascii="宋体" w:hAnsi="宋体" w:cs="宋体"/>
                <w:bCs/>
                <w:szCs w:val="21"/>
              </w:rPr>
              <w:t>1套</w:t>
            </w:r>
          </w:p>
        </w:tc>
        <w:tc>
          <w:tcPr>
            <w:tcW w:w="5420" w:type="dxa"/>
            <w:vAlign w:val="center"/>
          </w:tcPr>
          <w:p w14:paraId="63DECEC3">
            <w:pPr>
              <w:jc w:val="left"/>
              <w:rPr>
                <w:rFonts w:ascii="宋体" w:hAnsi="宋体" w:cs="宋体"/>
                <w:bCs/>
                <w:szCs w:val="21"/>
              </w:rPr>
            </w:pPr>
            <w:r>
              <w:rPr>
                <w:rFonts w:hint="eastAsia" w:ascii="宋体" w:hAnsi="宋体" w:cs="宋体"/>
                <w:bCs/>
                <w:szCs w:val="21"/>
              </w:rPr>
              <w:t>本次项目所需的所有无线授权</w:t>
            </w:r>
          </w:p>
        </w:tc>
      </w:tr>
      <w:tr w14:paraId="1C5F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Align w:val="center"/>
          </w:tcPr>
          <w:p w14:paraId="4A2A1D1A">
            <w:pPr>
              <w:jc w:val="center"/>
              <w:rPr>
                <w:rFonts w:ascii="宋体" w:hAnsi="宋体" w:cs="宋体"/>
                <w:bCs/>
                <w:szCs w:val="21"/>
              </w:rPr>
            </w:pPr>
            <w:r>
              <w:rPr>
                <w:rFonts w:hint="eastAsia" w:ascii="宋体" w:hAnsi="宋体" w:cs="宋体"/>
                <w:bCs/>
                <w:szCs w:val="21"/>
              </w:rPr>
              <w:t>5</w:t>
            </w:r>
          </w:p>
        </w:tc>
        <w:tc>
          <w:tcPr>
            <w:tcW w:w="2210" w:type="dxa"/>
            <w:vAlign w:val="center"/>
          </w:tcPr>
          <w:p w14:paraId="0F8E6B93">
            <w:pPr>
              <w:jc w:val="center"/>
              <w:rPr>
                <w:rFonts w:ascii="宋体" w:hAnsi="宋体" w:cs="宋体"/>
                <w:bCs/>
                <w:szCs w:val="21"/>
              </w:rPr>
            </w:pPr>
            <w:r>
              <w:rPr>
                <w:rFonts w:hint="eastAsia" w:ascii="宋体" w:hAnsi="宋体"/>
                <w:bCs/>
                <w:szCs w:val="21"/>
              </w:rPr>
              <w:t>安全认证功能</w:t>
            </w:r>
          </w:p>
        </w:tc>
        <w:tc>
          <w:tcPr>
            <w:tcW w:w="770" w:type="dxa"/>
            <w:vAlign w:val="center"/>
          </w:tcPr>
          <w:p w14:paraId="4803339A">
            <w:pPr>
              <w:jc w:val="center"/>
              <w:rPr>
                <w:rFonts w:ascii="宋体" w:hAnsi="宋体" w:cs="宋体"/>
                <w:bCs/>
                <w:szCs w:val="21"/>
              </w:rPr>
            </w:pPr>
            <w:r>
              <w:rPr>
                <w:rFonts w:hint="eastAsia" w:ascii="宋体" w:hAnsi="宋体" w:cs="宋体"/>
                <w:bCs/>
                <w:szCs w:val="21"/>
              </w:rPr>
              <w:t>1套</w:t>
            </w:r>
          </w:p>
        </w:tc>
        <w:tc>
          <w:tcPr>
            <w:tcW w:w="5420" w:type="dxa"/>
            <w:vAlign w:val="center"/>
          </w:tcPr>
          <w:p w14:paraId="63C77570">
            <w:pPr>
              <w:jc w:val="left"/>
              <w:rPr>
                <w:rFonts w:ascii="宋体" w:hAnsi="宋体" w:cs="宋体"/>
                <w:bCs/>
                <w:szCs w:val="21"/>
              </w:rPr>
            </w:pPr>
            <w:r>
              <w:rPr>
                <w:rFonts w:hint="eastAsia" w:ascii="宋体" w:hAnsi="宋体"/>
                <w:bCs/>
                <w:szCs w:val="21"/>
              </w:rPr>
              <w:t>公司</w:t>
            </w:r>
            <w:r>
              <w:rPr>
                <w:rFonts w:ascii="宋体" w:hAnsi="宋体"/>
                <w:bCs/>
                <w:szCs w:val="21"/>
              </w:rPr>
              <w:t>OA及</w:t>
            </w:r>
            <w:r>
              <w:rPr>
                <w:rFonts w:hint="eastAsia" w:ascii="宋体" w:hAnsi="宋体"/>
                <w:bCs/>
                <w:szCs w:val="21"/>
              </w:rPr>
              <w:t>公司</w:t>
            </w:r>
            <w:r>
              <w:rPr>
                <w:rFonts w:ascii="宋体" w:hAnsi="宋体"/>
                <w:bCs/>
                <w:szCs w:val="21"/>
              </w:rPr>
              <w:t>短信网关认证</w:t>
            </w:r>
            <w:r>
              <w:rPr>
                <w:rFonts w:hint="eastAsia" w:ascii="宋体" w:hAnsi="宋体"/>
                <w:bCs/>
                <w:szCs w:val="21"/>
              </w:rPr>
              <w:t>对接</w:t>
            </w:r>
          </w:p>
        </w:tc>
      </w:tr>
      <w:tr w14:paraId="3610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Align w:val="center"/>
          </w:tcPr>
          <w:p w14:paraId="6FCDACE8">
            <w:pPr>
              <w:jc w:val="center"/>
              <w:rPr>
                <w:rFonts w:ascii="宋体" w:hAnsi="宋体" w:cs="宋体"/>
                <w:bCs/>
                <w:szCs w:val="21"/>
              </w:rPr>
            </w:pPr>
            <w:r>
              <w:rPr>
                <w:rFonts w:hint="eastAsia" w:ascii="宋体" w:hAnsi="宋体" w:cs="宋体"/>
                <w:bCs/>
                <w:szCs w:val="21"/>
              </w:rPr>
              <w:t>6</w:t>
            </w:r>
          </w:p>
        </w:tc>
        <w:tc>
          <w:tcPr>
            <w:tcW w:w="2210" w:type="dxa"/>
            <w:vAlign w:val="center"/>
          </w:tcPr>
          <w:p w14:paraId="3D9B2737">
            <w:pPr>
              <w:jc w:val="center"/>
              <w:rPr>
                <w:rFonts w:ascii="宋体" w:hAnsi="宋体"/>
                <w:bCs/>
                <w:szCs w:val="21"/>
              </w:rPr>
            </w:pPr>
            <w:r>
              <w:rPr>
                <w:rFonts w:hint="eastAsia"/>
                <w:color w:val="000000"/>
                <w:szCs w:val="21"/>
              </w:rPr>
              <w:t>AI智能运维功能</w:t>
            </w:r>
          </w:p>
        </w:tc>
        <w:tc>
          <w:tcPr>
            <w:tcW w:w="770" w:type="dxa"/>
            <w:vAlign w:val="center"/>
          </w:tcPr>
          <w:p w14:paraId="21003F3E">
            <w:pPr>
              <w:jc w:val="center"/>
              <w:rPr>
                <w:rFonts w:ascii="宋体" w:hAnsi="宋体" w:cs="宋体"/>
                <w:bCs/>
                <w:szCs w:val="21"/>
              </w:rPr>
            </w:pPr>
            <w:r>
              <w:rPr>
                <w:rFonts w:hint="eastAsia" w:ascii="宋体" w:hAnsi="宋体" w:cs="宋体"/>
                <w:bCs/>
                <w:szCs w:val="21"/>
              </w:rPr>
              <w:t>1套</w:t>
            </w:r>
          </w:p>
        </w:tc>
        <w:tc>
          <w:tcPr>
            <w:tcW w:w="5420" w:type="dxa"/>
            <w:vAlign w:val="center"/>
          </w:tcPr>
          <w:p w14:paraId="7CB1B339">
            <w:pPr>
              <w:jc w:val="left"/>
              <w:rPr>
                <w:rFonts w:ascii="宋体" w:hAnsi="宋体" w:cs="宋体"/>
                <w:bCs/>
                <w:szCs w:val="21"/>
              </w:rPr>
            </w:pPr>
            <w:r>
              <w:rPr>
                <w:rFonts w:hint="eastAsia" w:ascii="宋体" w:hAnsi="宋体" w:cs="宋体"/>
                <w:bCs/>
                <w:szCs w:val="21"/>
              </w:rPr>
              <w:t>具备无线网络运营数据上报、性能预警等功能</w:t>
            </w:r>
          </w:p>
        </w:tc>
      </w:tr>
      <w:tr w14:paraId="0434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2" w:type="dxa"/>
            <w:vAlign w:val="center"/>
          </w:tcPr>
          <w:p w14:paraId="28F8E0F5">
            <w:pPr>
              <w:jc w:val="center"/>
              <w:rPr>
                <w:rFonts w:ascii="宋体" w:hAnsi="宋体" w:cs="宋体"/>
                <w:bCs/>
                <w:szCs w:val="21"/>
              </w:rPr>
            </w:pPr>
            <w:r>
              <w:rPr>
                <w:rFonts w:hint="eastAsia" w:ascii="宋体" w:hAnsi="宋体" w:cs="宋体"/>
                <w:bCs/>
                <w:szCs w:val="21"/>
              </w:rPr>
              <w:t>7</w:t>
            </w:r>
          </w:p>
        </w:tc>
        <w:tc>
          <w:tcPr>
            <w:tcW w:w="2210" w:type="dxa"/>
            <w:vAlign w:val="center"/>
          </w:tcPr>
          <w:p w14:paraId="743CB461">
            <w:pPr>
              <w:jc w:val="center"/>
              <w:rPr>
                <w:rFonts w:ascii="宋体" w:hAnsi="宋体" w:cs="宋体"/>
                <w:bCs/>
                <w:szCs w:val="21"/>
              </w:rPr>
            </w:pPr>
            <w:r>
              <w:rPr>
                <w:rFonts w:hint="eastAsia"/>
                <w:color w:val="000000"/>
                <w:szCs w:val="21"/>
              </w:rPr>
              <w:t>无线网络配置、调优、割接等</w:t>
            </w:r>
          </w:p>
        </w:tc>
        <w:tc>
          <w:tcPr>
            <w:tcW w:w="770" w:type="dxa"/>
            <w:vAlign w:val="center"/>
          </w:tcPr>
          <w:p w14:paraId="355F2838">
            <w:pPr>
              <w:jc w:val="center"/>
              <w:rPr>
                <w:rFonts w:ascii="宋体" w:hAnsi="宋体" w:cs="宋体"/>
                <w:bCs/>
                <w:szCs w:val="21"/>
              </w:rPr>
            </w:pPr>
            <w:r>
              <w:rPr>
                <w:rFonts w:hint="eastAsia" w:ascii="宋体" w:hAnsi="宋体" w:cs="宋体"/>
                <w:bCs/>
                <w:szCs w:val="21"/>
              </w:rPr>
              <w:t>1套</w:t>
            </w:r>
          </w:p>
        </w:tc>
        <w:tc>
          <w:tcPr>
            <w:tcW w:w="5420" w:type="dxa"/>
            <w:vAlign w:val="center"/>
          </w:tcPr>
          <w:p w14:paraId="07667877">
            <w:pPr>
              <w:jc w:val="left"/>
              <w:rPr>
                <w:rFonts w:ascii="宋体" w:hAnsi="宋体" w:cs="宋体"/>
                <w:bCs/>
                <w:szCs w:val="21"/>
              </w:rPr>
            </w:pPr>
            <w:r>
              <w:rPr>
                <w:rFonts w:hint="eastAsia" w:ascii="宋体" w:hAnsi="宋体" w:cs="宋体"/>
                <w:bCs/>
                <w:szCs w:val="21"/>
              </w:rPr>
              <w:t>包括但不限于无线点位布线部署、设备部署安装、网络配置、实施辅材、对接调试优化、割接、系统运行状态数据提供等</w:t>
            </w:r>
          </w:p>
        </w:tc>
      </w:tr>
    </w:tbl>
    <w:p w14:paraId="3C04AA08">
      <w:pPr>
        <w:spacing w:line="360" w:lineRule="auto"/>
        <w:ind w:firstLine="482"/>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二、资格审查方式</w:t>
      </w:r>
    </w:p>
    <w:p w14:paraId="2A66E4AB">
      <w:pPr>
        <w:spacing w:line="360" w:lineRule="auto"/>
        <w:ind w:firstLine="475" w:firstLineChars="197"/>
        <w:rPr>
          <w:rFonts w:ascii="宋体" w:hAnsi="宋体" w:cs="宋体"/>
          <w:b/>
          <w:bCs/>
          <w:color w:val="000000" w:themeColor="text1"/>
          <w:kern w:val="0"/>
          <w:sz w:val="24"/>
        </w:rPr>
      </w:pPr>
      <w:r>
        <w:rPr>
          <w:rFonts w:hint="eastAsia" w:ascii="宋体" w:hAnsi="宋体" w:cs="宋体"/>
          <w:b/>
          <w:bCs/>
          <w:color w:val="000000" w:themeColor="text1"/>
          <w:kern w:val="0"/>
          <w:sz w:val="24"/>
        </w:rPr>
        <w:t>资格后审。由评审委员会对供应商资格要求进行审查，以下所列供应商基本资格要求必须全部满足，才能通过资格审查；供应商资格要求有一项不满足则应判定为资格审查不合格，资格审查不合格的供应商不得参与后续评审，作无效应答处理。</w:t>
      </w:r>
    </w:p>
    <w:p w14:paraId="3D0F35C5">
      <w:pPr>
        <w:spacing w:line="360" w:lineRule="auto"/>
        <w:ind w:firstLine="482"/>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三、合格供应商的基本资格要求</w:t>
      </w:r>
    </w:p>
    <w:p w14:paraId="6D74BBC8">
      <w:pPr>
        <w:spacing w:line="360" w:lineRule="auto"/>
        <w:ind w:firstLine="480" w:firstLineChars="200"/>
        <w:rPr>
          <w:rFonts w:ascii="宋体" w:hAnsi="宋体" w:cs="宋体"/>
          <w:sz w:val="24"/>
        </w:rPr>
      </w:pPr>
      <w:r>
        <w:rPr>
          <w:rFonts w:hint="eastAsia" w:ascii="宋体" w:hAnsi="宋体" w:cs="宋体"/>
          <w:sz w:val="24"/>
        </w:rPr>
        <w:t>1、供应商须为在中华人民共和国境内依法注册的独立法人或其它组织（提供法人或者其他组织的营业执照复印件）。</w:t>
      </w:r>
    </w:p>
    <w:p w14:paraId="559ED2E4">
      <w:pPr>
        <w:spacing w:line="360" w:lineRule="auto"/>
        <w:ind w:firstLine="480" w:firstLineChars="200"/>
        <w:rPr>
          <w:rFonts w:ascii="宋体" w:hAnsi="宋体" w:cs="宋体"/>
          <w:sz w:val="24"/>
        </w:rPr>
      </w:pPr>
      <w:r>
        <w:rPr>
          <w:rFonts w:hint="eastAsia" w:ascii="宋体" w:hAnsi="宋体" w:cs="宋体"/>
          <w:sz w:val="24"/>
        </w:rPr>
        <w:t>2、供应商须承诺，采购人在其本国使用供应商提供的采购产品时，不存在任何已知的不合法的情形，也不存在任何已知的与第三方专利权、著作权、商标权或工业设计权相关的任何争议；如果有任何因采购人使用供应商提供的产品而提起的侵权指控，供应商须依法承担全部责任（格式见响应函）。</w:t>
      </w:r>
    </w:p>
    <w:p w14:paraId="530A9F6F">
      <w:pPr>
        <w:spacing w:line="360" w:lineRule="auto"/>
        <w:ind w:firstLine="480" w:firstLineChars="200"/>
        <w:rPr>
          <w:rFonts w:ascii="宋体" w:hAnsi="宋体" w:cs="宋体"/>
          <w:sz w:val="24"/>
        </w:rPr>
      </w:pPr>
      <w:r>
        <w:rPr>
          <w:rFonts w:hint="eastAsia" w:ascii="宋体" w:hAnsi="宋体" w:cs="宋体"/>
          <w:sz w:val="24"/>
        </w:rPr>
        <w:t>3、供应商须提供询价产品制造商针对本项目的授权书和服务承诺函。供应商</w:t>
      </w:r>
      <w:r>
        <w:rPr>
          <w:rFonts w:ascii="宋体" w:hAnsi="宋体" w:cs="宋体"/>
          <w:color w:val="000000" w:themeColor="text1"/>
          <w:kern w:val="0"/>
          <w:sz w:val="24"/>
          <w:szCs w:val="22"/>
        </w:rPr>
        <w:t>和</w:t>
      </w:r>
      <w:r>
        <w:rPr>
          <w:rFonts w:hint="eastAsia" w:ascii="宋体" w:hAnsi="宋体" w:cs="宋体"/>
          <w:sz w:val="24"/>
        </w:rPr>
        <w:t>询价产品制造商</w:t>
      </w:r>
      <w:r>
        <w:rPr>
          <w:rFonts w:ascii="宋体" w:hAnsi="宋体" w:cs="宋体"/>
          <w:color w:val="000000" w:themeColor="text1"/>
          <w:kern w:val="0"/>
          <w:sz w:val="24"/>
          <w:szCs w:val="22"/>
        </w:rPr>
        <w:t>不可同时参与本项目。</w:t>
      </w:r>
    </w:p>
    <w:p w14:paraId="3D2D0ABD">
      <w:pPr>
        <w:spacing w:line="360" w:lineRule="auto"/>
        <w:ind w:firstLine="480" w:firstLineChars="200"/>
        <w:rPr>
          <w:rFonts w:ascii="宋体" w:hAnsi="宋体" w:cs="宋体"/>
          <w:sz w:val="24"/>
        </w:rPr>
      </w:pPr>
      <w:r>
        <w:rPr>
          <w:rFonts w:hint="eastAsia" w:ascii="宋体" w:hAnsi="宋体" w:cs="宋体"/>
          <w:sz w:val="24"/>
        </w:rPr>
        <w:t>4、本项目不接受联合体响应。</w:t>
      </w:r>
    </w:p>
    <w:p w14:paraId="1D002594">
      <w:pPr>
        <w:spacing w:line="360" w:lineRule="auto"/>
        <w:ind w:firstLine="482"/>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四、竞争性谈判文件的获取</w:t>
      </w:r>
    </w:p>
    <w:p w14:paraId="32C29A59">
      <w:pPr>
        <w:widowControl/>
        <w:spacing w:line="360" w:lineRule="auto"/>
        <w:ind w:firstLine="420"/>
        <w:jc w:val="left"/>
        <w:rPr>
          <w:rFonts w:ascii="宋体" w:hAnsi="宋体" w:cs="宋体"/>
          <w:color w:val="191919"/>
          <w:kern w:val="0"/>
          <w:sz w:val="24"/>
          <w:shd w:val="clear" w:color="auto" w:fill="FFFFFF"/>
        </w:rPr>
      </w:pPr>
      <w:r>
        <w:rPr>
          <w:rFonts w:hint="eastAsia" w:ascii="宋体" w:hAnsi="宋体" w:cs="宋体"/>
          <w:color w:val="191919"/>
          <w:kern w:val="0"/>
          <w:sz w:val="24"/>
          <w:shd w:val="clear" w:color="auto" w:fill="FFFFFF"/>
        </w:rPr>
        <w:t>发布及登记时间：2025年10月14日至2025年10月21日止，每日上午9：00-12：00，下午14：00-17：00（北京时间）。</w:t>
      </w:r>
    </w:p>
    <w:p w14:paraId="222A9645">
      <w:pPr>
        <w:widowControl/>
        <w:spacing w:line="360" w:lineRule="auto"/>
        <w:ind w:firstLine="420"/>
        <w:jc w:val="left"/>
        <w:rPr>
          <w:rFonts w:ascii="宋体" w:hAnsi="宋体" w:cs="宋体"/>
          <w:color w:val="191919"/>
          <w:kern w:val="0"/>
          <w:sz w:val="24"/>
          <w:shd w:val="clear" w:color="auto" w:fill="FFFFFF"/>
        </w:rPr>
      </w:pPr>
      <w:r>
        <w:rPr>
          <w:rFonts w:hint="eastAsia" w:ascii="宋体" w:hAnsi="宋体" w:cs="宋体"/>
          <w:color w:val="191919"/>
          <w:kern w:val="0"/>
          <w:sz w:val="24"/>
          <w:shd w:val="clear" w:color="auto" w:fill="FFFFFF"/>
        </w:rPr>
        <w:t>发放方式：询价文件在报名后自行下载，请响应供应商联系采购人进行报名登记，具体报名方式为将响应确认信息表（详见采购文件第七章）加盖公司公章同时发至邮箱caoting@jscnnet.com，未在文件发放日内完成登记的不得参与本项目。</w:t>
      </w:r>
    </w:p>
    <w:p w14:paraId="6D6C3C0F">
      <w:pPr>
        <w:widowControl/>
        <w:spacing w:line="360" w:lineRule="auto"/>
        <w:ind w:firstLine="420"/>
        <w:jc w:val="left"/>
        <w:rPr>
          <w:rFonts w:ascii="宋体" w:hAnsi="宋体" w:cs="宋体"/>
          <w:color w:val="191919"/>
          <w:kern w:val="0"/>
          <w:sz w:val="24"/>
          <w:shd w:val="clear" w:color="auto" w:fill="FFFFFF"/>
        </w:rPr>
      </w:pPr>
      <w:r>
        <w:rPr>
          <w:rFonts w:hint="eastAsia" w:ascii="宋体" w:hAnsi="宋体" w:cs="宋体"/>
          <w:color w:val="191919"/>
          <w:kern w:val="0"/>
          <w:sz w:val="24"/>
          <w:shd w:val="clear" w:color="auto" w:fill="FFFFFF"/>
        </w:rPr>
        <w:t>登记方式：请响应人将该项目负责人姓名、联系电话（手机）、联系信箱发至采购人，超过2025年10月21日下午17:00再登记的视为无效。</w:t>
      </w:r>
    </w:p>
    <w:p w14:paraId="5C8A79E1">
      <w:pPr>
        <w:widowControl/>
        <w:spacing w:line="360" w:lineRule="auto"/>
        <w:ind w:firstLine="420"/>
        <w:jc w:val="left"/>
        <w:rPr>
          <w:rFonts w:ascii="宋体" w:hAnsi="宋体" w:cs="宋体"/>
          <w:color w:val="191919"/>
          <w:kern w:val="0"/>
          <w:sz w:val="24"/>
          <w:shd w:val="clear" w:color="auto" w:fill="FFFFFF"/>
        </w:rPr>
      </w:pPr>
      <w:r>
        <w:rPr>
          <w:rFonts w:hint="eastAsia" w:ascii="宋体" w:hAnsi="宋体" w:cs="宋体"/>
          <w:color w:val="191919"/>
          <w:kern w:val="0"/>
          <w:sz w:val="24"/>
          <w:shd w:val="clear" w:color="auto" w:fill="FFFFFF"/>
        </w:rPr>
        <w:t>项目联系人：葛康  19271309908</w:t>
      </w:r>
    </w:p>
    <w:p w14:paraId="1F5A805B">
      <w:pPr>
        <w:spacing w:line="360" w:lineRule="auto"/>
        <w:ind w:firstLine="482"/>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五、响应文件的递交和谈判</w:t>
      </w:r>
    </w:p>
    <w:p w14:paraId="33FF9CB2">
      <w:pPr>
        <w:widowControl/>
        <w:spacing w:line="360" w:lineRule="auto"/>
        <w:ind w:firstLine="480"/>
        <w:jc w:val="left"/>
        <w:rPr>
          <w:rFonts w:ascii="宋体" w:hAnsi="宋体" w:cs="宋体"/>
          <w:color w:val="000000" w:themeColor="text1"/>
          <w:kern w:val="0"/>
          <w:sz w:val="24"/>
          <w:shd w:val="clear" w:color="auto" w:fill="FFFFFF"/>
        </w:rPr>
      </w:pPr>
      <w:r>
        <w:rPr>
          <w:rFonts w:hint="eastAsia" w:ascii="宋体" w:hAnsi="宋体" w:cs="宋体"/>
          <w:color w:val="000000" w:themeColor="text1"/>
          <w:kern w:val="0"/>
          <w:sz w:val="24"/>
          <w:shd w:val="clear" w:color="auto" w:fill="FFFFFF"/>
        </w:rPr>
        <w:t>递交竞争性谈判响应文件截止时间：2025年10月24日上午9:30，逾期收到或不按照竞争性谈判文件要求密封的响应文件恕不接受。</w:t>
      </w:r>
    </w:p>
    <w:p w14:paraId="733510DF">
      <w:pPr>
        <w:widowControl/>
        <w:spacing w:line="360" w:lineRule="auto"/>
        <w:ind w:firstLine="480"/>
        <w:jc w:val="left"/>
        <w:rPr>
          <w:rFonts w:ascii="宋体" w:hAnsi="宋体" w:cs="宋体"/>
          <w:color w:val="000000" w:themeColor="text1"/>
          <w:kern w:val="0"/>
          <w:sz w:val="24"/>
          <w:shd w:val="clear" w:color="auto" w:fill="FFFFFF"/>
        </w:rPr>
      </w:pPr>
      <w:r>
        <w:rPr>
          <w:rFonts w:hint="eastAsia" w:ascii="宋体" w:hAnsi="宋体" w:cs="宋体"/>
          <w:color w:val="000000" w:themeColor="text1"/>
          <w:kern w:val="0"/>
          <w:sz w:val="24"/>
          <w:shd w:val="clear" w:color="auto" w:fill="FFFFFF"/>
        </w:rPr>
        <w:t>递交竞争性谈判响应文件地点：南京市玄武区运粮河西路101号1号楼4楼。</w:t>
      </w:r>
    </w:p>
    <w:p w14:paraId="2189155A">
      <w:pPr>
        <w:widowControl/>
        <w:spacing w:line="360" w:lineRule="auto"/>
        <w:ind w:firstLine="480"/>
        <w:jc w:val="left"/>
        <w:rPr>
          <w:rFonts w:ascii="宋体" w:hAnsi="宋体" w:cs="宋体"/>
          <w:color w:val="000000" w:themeColor="text1"/>
          <w:kern w:val="0"/>
          <w:sz w:val="24"/>
          <w:shd w:val="clear" w:color="auto" w:fill="FFFFFF"/>
        </w:rPr>
      </w:pPr>
      <w:r>
        <w:rPr>
          <w:rFonts w:hint="eastAsia" w:ascii="宋体" w:hAnsi="宋体" w:cs="宋体"/>
          <w:color w:val="000000" w:themeColor="text1"/>
          <w:kern w:val="0"/>
          <w:sz w:val="24"/>
          <w:shd w:val="clear" w:color="auto" w:fill="FFFFFF"/>
        </w:rPr>
        <w:t>响应文件接收人：曹婷，电话：025-86731592。</w:t>
      </w:r>
    </w:p>
    <w:p w14:paraId="09A6C3B9">
      <w:pPr>
        <w:widowControl/>
        <w:spacing w:line="360" w:lineRule="auto"/>
        <w:ind w:firstLine="480"/>
        <w:jc w:val="left"/>
        <w:rPr>
          <w:rFonts w:ascii="宋体" w:hAnsi="宋体" w:cs="宋体"/>
          <w:color w:val="000000" w:themeColor="text1"/>
          <w:kern w:val="0"/>
          <w:sz w:val="24"/>
          <w:shd w:val="clear" w:color="auto" w:fill="FFFFFF"/>
        </w:rPr>
      </w:pPr>
      <w:r>
        <w:rPr>
          <w:rFonts w:hint="eastAsia" w:ascii="宋体" w:hAnsi="宋体" w:cs="宋体"/>
          <w:color w:val="000000" w:themeColor="text1"/>
          <w:kern w:val="0"/>
          <w:sz w:val="24"/>
          <w:shd w:val="clear" w:color="auto" w:fill="FFFFFF"/>
        </w:rPr>
        <w:t>竞争性谈判时间：2025年10月24日上午9点30分。</w:t>
      </w:r>
    </w:p>
    <w:p w14:paraId="6D7EE90F">
      <w:pPr>
        <w:widowControl/>
        <w:spacing w:line="360" w:lineRule="auto"/>
        <w:ind w:firstLine="480"/>
        <w:jc w:val="left"/>
        <w:rPr>
          <w:rFonts w:ascii="宋体" w:hAnsi="宋体" w:cs="宋体"/>
          <w:color w:val="000000" w:themeColor="text1"/>
          <w:kern w:val="0"/>
          <w:sz w:val="24"/>
          <w:shd w:val="clear" w:color="auto" w:fill="FFFFFF"/>
        </w:rPr>
      </w:pPr>
      <w:r>
        <w:rPr>
          <w:rFonts w:hint="eastAsia" w:ascii="宋体" w:hAnsi="宋体" w:cs="宋体"/>
          <w:color w:val="000000" w:themeColor="text1"/>
          <w:kern w:val="0"/>
          <w:sz w:val="24"/>
          <w:shd w:val="clear" w:color="auto" w:fill="FFFFFF"/>
        </w:rPr>
        <w:t>竞争性谈判地点：南京市玄武区运粮河西路101号1号楼4楼会议室。</w:t>
      </w:r>
    </w:p>
    <w:p w14:paraId="63EA4111">
      <w:pPr>
        <w:spacing w:line="360" w:lineRule="auto"/>
        <w:ind w:firstLine="482"/>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六、发布公告的媒介</w:t>
      </w:r>
    </w:p>
    <w:p w14:paraId="3ABCF2D3">
      <w:pPr>
        <w:widowControl/>
        <w:spacing w:line="360" w:lineRule="auto"/>
        <w:ind w:firstLine="480"/>
        <w:jc w:val="left"/>
        <w:rPr>
          <w:rFonts w:ascii="宋体" w:hAnsi="宋体" w:cs="宋体"/>
          <w:color w:val="191919"/>
          <w:kern w:val="0"/>
          <w:sz w:val="24"/>
          <w:shd w:val="clear" w:color="auto" w:fill="FFFFFF"/>
        </w:rPr>
      </w:pPr>
      <w:r>
        <w:rPr>
          <w:rFonts w:hint="eastAsia" w:ascii="宋体" w:hAnsi="宋体" w:cs="宋体"/>
          <w:color w:val="191919"/>
          <w:kern w:val="0"/>
          <w:sz w:val="24"/>
          <w:shd w:val="clear" w:color="auto" w:fill="FFFFFF"/>
        </w:rPr>
        <w:t>本次采购事宜相关公告同时在江苏省广电有线信息网络股份有限公司官网（http://www.jscnnet.com）“招标采购”栏目及中国招标投标公共服务平台（http://www.cebpubservice.com/）上发布，其他媒介转载需注明出处。</w:t>
      </w:r>
    </w:p>
    <w:p w14:paraId="09B61F70">
      <w:pPr>
        <w:spacing w:line="360" w:lineRule="auto"/>
        <w:ind w:firstLine="482"/>
        <w:rPr>
          <w:rFonts w:ascii="宋体" w:hAnsi="宋体" w:cs="宋体"/>
          <w:b/>
          <w:color w:val="000000" w:themeColor="text1"/>
          <w:kern w:val="0"/>
          <w:sz w:val="28"/>
          <w:szCs w:val="28"/>
        </w:rPr>
      </w:pPr>
      <w:r>
        <w:rPr>
          <w:rFonts w:hint="eastAsia" w:ascii="宋体" w:hAnsi="宋体" w:cs="宋体"/>
          <w:b/>
          <w:color w:val="000000" w:themeColor="text1"/>
          <w:kern w:val="0"/>
          <w:sz w:val="28"/>
          <w:szCs w:val="28"/>
        </w:rPr>
        <w:t>七、其他说明事项</w:t>
      </w:r>
    </w:p>
    <w:p w14:paraId="25BE2782">
      <w:pPr>
        <w:widowControl/>
        <w:spacing w:line="360" w:lineRule="auto"/>
        <w:ind w:firstLine="480" w:firstLineChars="200"/>
        <w:jc w:val="left"/>
        <w:rPr>
          <w:rFonts w:ascii="宋体" w:hAnsi="宋体"/>
          <w:color w:val="000000" w:themeColor="text1"/>
          <w:sz w:val="24"/>
        </w:rPr>
      </w:pPr>
      <w:r>
        <w:rPr>
          <w:rFonts w:hint="eastAsia" w:ascii="宋体" w:cs="宋体"/>
          <w:bCs/>
          <w:color w:val="000000" w:themeColor="text1"/>
          <w:sz w:val="24"/>
        </w:rPr>
        <w:t>有关本次谈判的事项若存在变动或修改，敬请及时关注网上发布的信息更正公告</w:t>
      </w:r>
      <w:bookmarkStart w:id="5" w:name="bookmark1"/>
      <w:bookmarkEnd w:id="5"/>
      <w:r>
        <w:rPr>
          <w:rFonts w:hint="eastAsia" w:ascii="宋体" w:cs="宋体"/>
          <w:bCs/>
          <w:color w:val="000000" w:themeColor="text1"/>
          <w:sz w:val="24"/>
        </w:rPr>
        <w:t>。</w:t>
      </w:r>
      <w:bookmarkEnd w:id="3"/>
      <w:bookmarkEnd w:id="4"/>
      <w:r>
        <w:rPr>
          <w:rFonts w:ascii="宋体" w:hAnsi="宋体"/>
          <w:color w:val="000000" w:themeColor="text1"/>
          <w:sz w:val="24"/>
        </w:rPr>
        <w:br w:type="page"/>
      </w:r>
    </w:p>
    <w:p w14:paraId="3435B201">
      <w:pPr>
        <w:pStyle w:val="3"/>
        <w:ind w:firstLine="600"/>
      </w:pPr>
      <w:bookmarkStart w:id="6" w:name="_Toc16807"/>
      <w:bookmarkStart w:id="7" w:name="_Toc107822483"/>
      <w:bookmarkStart w:id="8" w:name="_Toc226969276"/>
      <w:bookmarkStart w:id="9" w:name="_Toc227057883"/>
      <w:r>
        <w:rPr>
          <w:rFonts w:hint="eastAsia"/>
        </w:rPr>
        <w:t>第二章竞争性谈判</w:t>
      </w:r>
      <w:r>
        <w:t>须知</w:t>
      </w:r>
      <w:bookmarkEnd w:id="6"/>
    </w:p>
    <w:p w14:paraId="1EB86D13">
      <w:pPr>
        <w:spacing w:line="360" w:lineRule="auto"/>
        <w:ind w:firstLine="482"/>
        <w:jc w:val="center"/>
        <w:rPr>
          <w:rFonts w:ascii="宋体" w:hAnsi="宋体" w:cs="宋体"/>
          <w:bCs/>
          <w:color w:val="000000" w:themeColor="text1"/>
          <w:kern w:val="0"/>
          <w:sz w:val="28"/>
          <w:szCs w:val="28"/>
        </w:rPr>
      </w:pPr>
      <w:r>
        <w:rPr>
          <w:rFonts w:hint="eastAsia" w:ascii="宋体" w:hAnsi="宋体" w:cs="宋体"/>
          <w:bCs/>
          <w:color w:val="000000" w:themeColor="text1"/>
          <w:kern w:val="0"/>
          <w:sz w:val="28"/>
          <w:szCs w:val="28"/>
        </w:rPr>
        <w:t>供应商须知前附表</w:t>
      </w:r>
    </w:p>
    <w:p w14:paraId="457CD723">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本表关于要采购的货物及</w:t>
      </w:r>
      <w:r>
        <w:rPr>
          <w:rFonts w:ascii="宋体" w:hAnsi="宋体"/>
          <w:color w:val="000000" w:themeColor="text1"/>
          <w:sz w:val="24"/>
        </w:rPr>
        <w:t>服务</w:t>
      </w:r>
      <w:r>
        <w:rPr>
          <w:rFonts w:hint="eastAsia" w:ascii="宋体" w:hAnsi="宋体"/>
          <w:color w:val="000000" w:themeColor="text1"/>
          <w:sz w:val="24"/>
        </w:rPr>
        <w:t>的具体资料是对应答供应商须知的具体补充和修改，如有矛盾，以本前附表为准。</w:t>
      </w:r>
    </w:p>
    <w:tbl>
      <w:tblPr>
        <w:tblStyle w:val="53"/>
        <w:tblW w:w="5293" w:type="pct"/>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9"/>
        <w:gridCol w:w="982"/>
        <w:gridCol w:w="1427"/>
        <w:gridCol w:w="6816"/>
      </w:tblGrid>
      <w:tr w14:paraId="70E4F9C3">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tcBorders>
              <w:top w:val="single" w:color="auto" w:sz="6" w:space="0"/>
            </w:tcBorders>
            <w:vAlign w:val="center"/>
          </w:tcPr>
          <w:p w14:paraId="4DF8BC8A">
            <w:pPr>
              <w:jc w:val="center"/>
              <w:rPr>
                <w:b/>
                <w:color w:val="000000" w:themeColor="text1"/>
                <w:sz w:val="24"/>
              </w:rPr>
            </w:pPr>
            <w:r>
              <w:rPr>
                <w:rFonts w:hint="eastAsia"/>
                <w:b/>
                <w:color w:val="000000" w:themeColor="text1"/>
                <w:sz w:val="24"/>
              </w:rPr>
              <w:t>序号</w:t>
            </w:r>
          </w:p>
        </w:tc>
        <w:tc>
          <w:tcPr>
            <w:tcW w:w="490" w:type="pct"/>
            <w:tcBorders>
              <w:top w:val="single" w:color="auto" w:sz="6" w:space="0"/>
            </w:tcBorders>
            <w:vAlign w:val="center"/>
          </w:tcPr>
          <w:p w14:paraId="6C124946">
            <w:pPr>
              <w:jc w:val="center"/>
              <w:rPr>
                <w:b/>
                <w:color w:val="000000" w:themeColor="text1"/>
                <w:sz w:val="24"/>
              </w:rPr>
            </w:pPr>
            <w:r>
              <w:rPr>
                <w:rFonts w:hint="eastAsia"/>
                <w:b/>
                <w:color w:val="000000" w:themeColor="text1"/>
                <w:sz w:val="24"/>
              </w:rPr>
              <w:t>条款号</w:t>
            </w:r>
          </w:p>
        </w:tc>
        <w:tc>
          <w:tcPr>
            <w:tcW w:w="712" w:type="pct"/>
            <w:tcBorders>
              <w:top w:val="single" w:color="auto" w:sz="6" w:space="0"/>
            </w:tcBorders>
            <w:vAlign w:val="center"/>
          </w:tcPr>
          <w:p w14:paraId="509392CB">
            <w:pPr>
              <w:jc w:val="center"/>
              <w:rPr>
                <w:b/>
                <w:color w:val="000000" w:themeColor="text1"/>
                <w:sz w:val="24"/>
              </w:rPr>
            </w:pPr>
            <w:r>
              <w:rPr>
                <w:rFonts w:hint="eastAsia"/>
                <w:b/>
                <w:color w:val="000000" w:themeColor="text1"/>
                <w:sz w:val="24"/>
              </w:rPr>
              <w:t>内容</w:t>
            </w:r>
          </w:p>
        </w:tc>
        <w:tc>
          <w:tcPr>
            <w:tcW w:w="3402" w:type="pct"/>
            <w:tcBorders>
              <w:top w:val="single" w:color="auto" w:sz="6" w:space="0"/>
            </w:tcBorders>
            <w:vAlign w:val="center"/>
          </w:tcPr>
          <w:p w14:paraId="3C6E7201">
            <w:pPr>
              <w:ind w:firstLine="482"/>
              <w:jc w:val="center"/>
              <w:rPr>
                <w:b/>
                <w:color w:val="000000" w:themeColor="text1"/>
                <w:sz w:val="24"/>
              </w:rPr>
            </w:pPr>
            <w:r>
              <w:rPr>
                <w:rFonts w:hint="eastAsia"/>
                <w:b/>
                <w:color w:val="000000" w:themeColor="text1"/>
                <w:sz w:val="24"/>
              </w:rPr>
              <w:t>说明与要求</w:t>
            </w:r>
          </w:p>
        </w:tc>
      </w:tr>
      <w:tr w14:paraId="48C9CBA0">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6546E954">
            <w:pPr>
              <w:jc w:val="center"/>
              <w:rPr>
                <w:color w:val="000000" w:themeColor="text1"/>
                <w:sz w:val="24"/>
              </w:rPr>
            </w:pPr>
            <w:r>
              <w:rPr>
                <w:color w:val="000000" w:themeColor="text1"/>
                <w:sz w:val="24"/>
              </w:rPr>
              <w:t>1</w:t>
            </w:r>
          </w:p>
        </w:tc>
        <w:tc>
          <w:tcPr>
            <w:tcW w:w="490" w:type="pct"/>
            <w:vAlign w:val="center"/>
          </w:tcPr>
          <w:p w14:paraId="3D067FA4">
            <w:pPr>
              <w:jc w:val="center"/>
              <w:rPr>
                <w:color w:val="000000" w:themeColor="text1"/>
                <w:sz w:val="24"/>
              </w:rPr>
            </w:pPr>
            <w:r>
              <w:rPr>
                <w:color w:val="000000" w:themeColor="text1"/>
                <w:sz w:val="24"/>
              </w:rPr>
              <w:t>1.1</w:t>
            </w:r>
          </w:p>
        </w:tc>
        <w:tc>
          <w:tcPr>
            <w:tcW w:w="712" w:type="pct"/>
            <w:vAlign w:val="center"/>
          </w:tcPr>
          <w:p w14:paraId="589A02B3">
            <w:pPr>
              <w:jc w:val="center"/>
              <w:rPr>
                <w:color w:val="000000" w:themeColor="text1"/>
                <w:sz w:val="24"/>
              </w:rPr>
            </w:pPr>
            <w:r>
              <w:rPr>
                <w:rFonts w:hint="eastAsia"/>
                <w:color w:val="000000" w:themeColor="text1"/>
                <w:sz w:val="24"/>
              </w:rPr>
              <w:t>采购人</w:t>
            </w:r>
          </w:p>
        </w:tc>
        <w:tc>
          <w:tcPr>
            <w:tcW w:w="3402" w:type="pct"/>
            <w:vAlign w:val="center"/>
          </w:tcPr>
          <w:p w14:paraId="694C0F83">
            <w:pPr>
              <w:rPr>
                <w:color w:val="000000" w:themeColor="text1"/>
                <w:sz w:val="24"/>
              </w:rPr>
            </w:pPr>
            <w:r>
              <w:rPr>
                <w:rFonts w:hint="eastAsia"/>
                <w:color w:val="000000" w:themeColor="text1"/>
                <w:sz w:val="24"/>
              </w:rPr>
              <w:t>江苏省广电有线信息网络股份有限公司，以下简称“采购人”</w:t>
            </w:r>
          </w:p>
        </w:tc>
      </w:tr>
      <w:tr w14:paraId="70999442">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7E4E970F">
            <w:pPr>
              <w:jc w:val="center"/>
              <w:rPr>
                <w:color w:val="000000" w:themeColor="text1"/>
                <w:sz w:val="24"/>
              </w:rPr>
            </w:pPr>
            <w:r>
              <w:rPr>
                <w:color w:val="000000" w:themeColor="text1"/>
                <w:sz w:val="24"/>
              </w:rPr>
              <w:t>2</w:t>
            </w:r>
          </w:p>
        </w:tc>
        <w:tc>
          <w:tcPr>
            <w:tcW w:w="490" w:type="pct"/>
            <w:vAlign w:val="center"/>
          </w:tcPr>
          <w:p w14:paraId="0553DED9">
            <w:pPr>
              <w:jc w:val="center"/>
              <w:rPr>
                <w:color w:val="000000" w:themeColor="text1"/>
                <w:sz w:val="24"/>
              </w:rPr>
            </w:pPr>
            <w:r>
              <w:rPr>
                <w:color w:val="000000" w:themeColor="text1"/>
                <w:sz w:val="24"/>
              </w:rPr>
              <w:t>1.2</w:t>
            </w:r>
          </w:p>
        </w:tc>
        <w:tc>
          <w:tcPr>
            <w:tcW w:w="712" w:type="pct"/>
            <w:vAlign w:val="center"/>
          </w:tcPr>
          <w:p w14:paraId="446305E1">
            <w:pPr>
              <w:jc w:val="center"/>
              <w:rPr>
                <w:color w:val="000000" w:themeColor="text1"/>
                <w:sz w:val="24"/>
              </w:rPr>
            </w:pPr>
            <w:r>
              <w:rPr>
                <w:rFonts w:hint="eastAsia"/>
                <w:color w:val="000000" w:themeColor="text1"/>
                <w:sz w:val="24"/>
              </w:rPr>
              <w:t>代理机构</w:t>
            </w:r>
          </w:p>
        </w:tc>
        <w:tc>
          <w:tcPr>
            <w:tcW w:w="3402" w:type="pct"/>
            <w:vAlign w:val="center"/>
          </w:tcPr>
          <w:p w14:paraId="37F2BE0F">
            <w:pPr>
              <w:rPr>
                <w:color w:val="000000" w:themeColor="text1"/>
                <w:sz w:val="24"/>
              </w:rPr>
            </w:pPr>
            <w:r>
              <w:rPr>
                <w:rFonts w:hint="eastAsia"/>
                <w:color w:val="000000" w:themeColor="text1"/>
                <w:sz w:val="24"/>
              </w:rPr>
              <w:t>本项目无代理机构</w:t>
            </w:r>
          </w:p>
        </w:tc>
      </w:tr>
      <w:tr w14:paraId="4DF7B2A5">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6" w:hRule="atLeast"/>
          <w:tblHeader/>
          <w:jc w:val="center"/>
        </w:trPr>
        <w:tc>
          <w:tcPr>
            <w:tcW w:w="394" w:type="pct"/>
            <w:vAlign w:val="center"/>
          </w:tcPr>
          <w:p w14:paraId="475D3CA2">
            <w:pPr>
              <w:jc w:val="center"/>
              <w:rPr>
                <w:color w:val="000000" w:themeColor="text1"/>
                <w:sz w:val="24"/>
              </w:rPr>
            </w:pPr>
            <w:r>
              <w:rPr>
                <w:color w:val="000000" w:themeColor="text1"/>
                <w:sz w:val="24"/>
              </w:rPr>
              <w:t>3</w:t>
            </w:r>
          </w:p>
        </w:tc>
        <w:tc>
          <w:tcPr>
            <w:tcW w:w="490" w:type="pct"/>
            <w:vAlign w:val="center"/>
          </w:tcPr>
          <w:p w14:paraId="33B24B62">
            <w:pPr>
              <w:jc w:val="center"/>
              <w:rPr>
                <w:color w:val="000000" w:themeColor="text1"/>
                <w:sz w:val="24"/>
              </w:rPr>
            </w:pPr>
            <w:r>
              <w:rPr>
                <w:color w:val="000000" w:themeColor="text1"/>
                <w:sz w:val="24"/>
              </w:rPr>
              <w:t>1.3</w:t>
            </w:r>
          </w:p>
        </w:tc>
        <w:tc>
          <w:tcPr>
            <w:tcW w:w="712" w:type="pct"/>
            <w:vAlign w:val="center"/>
          </w:tcPr>
          <w:p w14:paraId="4877AB2B">
            <w:pPr>
              <w:jc w:val="center"/>
              <w:rPr>
                <w:color w:val="000000" w:themeColor="text1"/>
                <w:sz w:val="24"/>
              </w:rPr>
            </w:pPr>
            <w:r>
              <w:rPr>
                <w:rFonts w:hint="eastAsia"/>
                <w:color w:val="000000" w:themeColor="text1"/>
                <w:sz w:val="24"/>
              </w:rPr>
              <w:t>合格的供应商</w:t>
            </w:r>
          </w:p>
        </w:tc>
        <w:tc>
          <w:tcPr>
            <w:tcW w:w="3402" w:type="pct"/>
            <w:vAlign w:val="center"/>
          </w:tcPr>
          <w:p w14:paraId="5C96FE1F">
            <w:pPr>
              <w:rPr>
                <w:color w:val="000000" w:themeColor="text1"/>
                <w:sz w:val="24"/>
              </w:rPr>
            </w:pPr>
            <w:r>
              <w:rPr>
                <w:rFonts w:hint="eastAsia"/>
                <w:color w:val="000000" w:themeColor="text1"/>
                <w:sz w:val="24"/>
              </w:rPr>
              <w:t>见竞争性谈判文件第一章《竞争性谈判公告》</w:t>
            </w:r>
          </w:p>
        </w:tc>
      </w:tr>
      <w:tr w14:paraId="67C357E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14AD5664">
            <w:pPr>
              <w:jc w:val="center"/>
              <w:rPr>
                <w:color w:val="000000" w:themeColor="text1"/>
                <w:sz w:val="24"/>
              </w:rPr>
            </w:pPr>
            <w:r>
              <w:rPr>
                <w:color w:val="000000" w:themeColor="text1"/>
                <w:sz w:val="24"/>
              </w:rPr>
              <w:t>4</w:t>
            </w:r>
          </w:p>
        </w:tc>
        <w:tc>
          <w:tcPr>
            <w:tcW w:w="490" w:type="pct"/>
            <w:vAlign w:val="center"/>
          </w:tcPr>
          <w:p w14:paraId="4B2A9838">
            <w:pPr>
              <w:jc w:val="center"/>
              <w:rPr>
                <w:color w:val="000000" w:themeColor="text1"/>
                <w:sz w:val="24"/>
              </w:rPr>
            </w:pPr>
            <w:r>
              <w:rPr>
                <w:color w:val="000000" w:themeColor="text1"/>
                <w:sz w:val="24"/>
              </w:rPr>
              <w:t>20.1</w:t>
            </w:r>
          </w:p>
        </w:tc>
        <w:tc>
          <w:tcPr>
            <w:tcW w:w="712" w:type="pct"/>
            <w:vAlign w:val="center"/>
          </w:tcPr>
          <w:p w14:paraId="1A183AD2">
            <w:pPr>
              <w:jc w:val="center"/>
              <w:rPr>
                <w:color w:val="000000" w:themeColor="text1"/>
                <w:sz w:val="24"/>
              </w:rPr>
            </w:pPr>
            <w:r>
              <w:rPr>
                <w:rFonts w:hint="eastAsia"/>
                <w:color w:val="000000" w:themeColor="text1"/>
                <w:sz w:val="24"/>
              </w:rPr>
              <w:t>保密</w:t>
            </w:r>
          </w:p>
        </w:tc>
        <w:tc>
          <w:tcPr>
            <w:tcW w:w="3402" w:type="pct"/>
            <w:vAlign w:val="center"/>
          </w:tcPr>
          <w:p w14:paraId="52CB6400">
            <w:pPr>
              <w:rPr>
                <w:color w:val="000000" w:themeColor="text1"/>
                <w:sz w:val="24"/>
              </w:rPr>
            </w:pPr>
            <w:r>
              <w:rPr>
                <w:rFonts w:hint="eastAsia"/>
                <w:color w:val="000000" w:themeColor="text1"/>
                <w:sz w:val="24"/>
              </w:rPr>
              <w:t>供应商在参与本项目中，对于采购人披露和提供的所有信息应作为商业秘密对待并予以保护，未经采购人授权不得将任何信息泄漏给第三方，否则采购人有权追究供应商的责任。</w:t>
            </w:r>
          </w:p>
        </w:tc>
      </w:tr>
      <w:tr w14:paraId="40EC963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15483833">
            <w:pPr>
              <w:jc w:val="center"/>
              <w:rPr>
                <w:color w:val="000000" w:themeColor="text1"/>
                <w:sz w:val="24"/>
              </w:rPr>
            </w:pPr>
            <w:r>
              <w:rPr>
                <w:color w:val="000000" w:themeColor="text1"/>
                <w:sz w:val="24"/>
              </w:rPr>
              <w:t>5</w:t>
            </w:r>
          </w:p>
        </w:tc>
        <w:tc>
          <w:tcPr>
            <w:tcW w:w="490" w:type="pct"/>
            <w:vAlign w:val="center"/>
          </w:tcPr>
          <w:p w14:paraId="4146C99F">
            <w:pPr>
              <w:jc w:val="center"/>
              <w:rPr>
                <w:color w:val="000000" w:themeColor="text1"/>
                <w:sz w:val="24"/>
              </w:rPr>
            </w:pPr>
            <w:r>
              <w:rPr>
                <w:color w:val="000000" w:themeColor="text1"/>
                <w:sz w:val="24"/>
              </w:rPr>
              <w:t>7.1</w:t>
            </w:r>
          </w:p>
          <w:p w14:paraId="086D278F">
            <w:pPr>
              <w:jc w:val="center"/>
              <w:rPr>
                <w:color w:val="000000" w:themeColor="text1"/>
                <w:sz w:val="24"/>
              </w:rPr>
            </w:pPr>
            <w:r>
              <w:rPr>
                <w:rFonts w:hint="eastAsia"/>
                <w:color w:val="000000" w:themeColor="text1"/>
                <w:sz w:val="24"/>
              </w:rPr>
              <w:t>2）</w:t>
            </w:r>
          </w:p>
        </w:tc>
        <w:tc>
          <w:tcPr>
            <w:tcW w:w="712" w:type="pct"/>
            <w:vAlign w:val="center"/>
          </w:tcPr>
          <w:p w14:paraId="336991D5">
            <w:pPr>
              <w:jc w:val="center"/>
              <w:rPr>
                <w:color w:val="000000" w:themeColor="text1"/>
                <w:sz w:val="24"/>
              </w:rPr>
            </w:pPr>
            <w:r>
              <w:rPr>
                <w:rFonts w:hint="eastAsia"/>
                <w:color w:val="000000" w:themeColor="text1"/>
                <w:sz w:val="24"/>
              </w:rPr>
              <w:t>经第三方审计的财务报表</w:t>
            </w:r>
          </w:p>
        </w:tc>
        <w:tc>
          <w:tcPr>
            <w:tcW w:w="3402" w:type="pct"/>
            <w:vAlign w:val="center"/>
          </w:tcPr>
          <w:p w14:paraId="729D0FF6">
            <w:pPr>
              <w:rPr>
                <w:color w:val="000000" w:themeColor="text1"/>
                <w:sz w:val="24"/>
              </w:rPr>
            </w:pPr>
            <w:r>
              <w:rPr>
                <w:rFonts w:hint="eastAsia"/>
                <w:color w:val="000000" w:themeColor="text1"/>
                <w:sz w:val="24"/>
              </w:rPr>
              <w:t>见竞争性谈判文件第一章《竞争性谈判公告》</w:t>
            </w:r>
          </w:p>
        </w:tc>
      </w:tr>
      <w:tr w14:paraId="4889A1EC">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3B7F827E">
            <w:pPr>
              <w:jc w:val="center"/>
              <w:rPr>
                <w:color w:val="000000" w:themeColor="text1"/>
                <w:sz w:val="24"/>
              </w:rPr>
            </w:pPr>
            <w:r>
              <w:rPr>
                <w:color w:val="000000" w:themeColor="text1"/>
                <w:sz w:val="24"/>
              </w:rPr>
              <w:t>6</w:t>
            </w:r>
          </w:p>
        </w:tc>
        <w:tc>
          <w:tcPr>
            <w:tcW w:w="490" w:type="pct"/>
            <w:vAlign w:val="center"/>
          </w:tcPr>
          <w:p w14:paraId="47C155DB">
            <w:pPr>
              <w:jc w:val="center"/>
              <w:rPr>
                <w:color w:val="000000" w:themeColor="text1"/>
                <w:sz w:val="24"/>
              </w:rPr>
            </w:pPr>
            <w:r>
              <w:rPr>
                <w:color w:val="000000" w:themeColor="text1"/>
                <w:sz w:val="24"/>
              </w:rPr>
              <w:t>7.1</w:t>
            </w:r>
          </w:p>
          <w:p w14:paraId="676F1717">
            <w:pPr>
              <w:jc w:val="center"/>
              <w:rPr>
                <w:color w:val="000000" w:themeColor="text1"/>
                <w:sz w:val="24"/>
              </w:rPr>
            </w:pPr>
            <w:r>
              <w:rPr>
                <w:rFonts w:hint="eastAsia"/>
                <w:color w:val="000000" w:themeColor="text1"/>
                <w:sz w:val="24"/>
              </w:rPr>
              <w:t>3）</w:t>
            </w:r>
          </w:p>
        </w:tc>
        <w:tc>
          <w:tcPr>
            <w:tcW w:w="712" w:type="pct"/>
            <w:vAlign w:val="center"/>
          </w:tcPr>
          <w:p w14:paraId="632CAD75">
            <w:pPr>
              <w:jc w:val="center"/>
              <w:rPr>
                <w:color w:val="000000" w:themeColor="text1"/>
                <w:sz w:val="24"/>
              </w:rPr>
            </w:pPr>
            <w:r>
              <w:rPr>
                <w:rFonts w:hint="eastAsia"/>
                <w:color w:val="000000" w:themeColor="text1"/>
                <w:sz w:val="24"/>
              </w:rPr>
              <w:t>响应文件的技术部分中必须包括的内容</w:t>
            </w:r>
          </w:p>
        </w:tc>
        <w:tc>
          <w:tcPr>
            <w:tcW w:w="3402" w:type="pct"/>
          </w:tcPr>
          <w:p w14:paraId="5ACA960F">
            <w:pPr>
              <w:rPr>
                <w:color w:val="000000" w:themeColor="text1"/>
                <w:sz w:val="24"/>
              </w:rPr>
            </w:pPr>
            <w:r>
              <w:rPr>
                <w:rFonts w:hint="eastAsia"/>
                <w:color w:val="000000" w:themeColor="text1"/>
                <w:sz w:val="24"/>
              </w:rPr>
              <w:t>对第五章《技术需求书》的逐项应答，逐项应答必须按照服务偏离表格式，对照竞争性谈判文件需求，依据供应商本身服务，如实逐条说明所提供产品及</w:t>
            </w:r>
            <w:r>
              <w:rPr>
                <w:color w:val="000000" w:themeColor="text1"/>
                <w:sz w:val="24"/>
              </w:rPr>
              <w:t>/</w:t>
            </w:r>
            <w:r>
              <w:rPr>
                <w:rFonts w:hint="eastAsia"/>
                <w:color w:val="000000" w:themeColor="text1"/>
                <w:sz w:val="24"/>
              </w:rPr>
              <w:t>或服务已对竞争性谈判文件的需求做出了实质性的响应，或申明与需求的偏差和例外。技术偏离表填报的内容必须对照报价一览表，对于可以用量化形式表示的条款，供应商必须明确回答，或以功能描述回答。</w:t>
            </w:r>
          </w:p>
        </w:tc>
      </w:tr>
      <w:tr w14:paraId="2B20F07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6724AD19">
            <w:pPr>
              <w:jc w:val="center"/>
              <w:rPr>
                <w:color w:val="000000" w:themeColor="text1"/>
                <w:sz w:val="24"/>
              </w:rPr>
            </w:pPr>
            <w:r>
              <w:rPr>
                <w:color w:val="000000" w:themeColor="text1"/>
                <w:sz w:val="24"/>
              </w:rPr>
              <w:t>7</w:t>
            </w:r>
          </w:p>
        </w:tc>
        <w:tc>
          <w:tcPr>
            <w:tcW w:w="490" w:type="pct"/>
            <w:vAlign w:val="center"/>
          </w:tcPr>
          <w:p w14:paraId="33004E44">
            <w:pPr>
              <w:jc w:val="center"/>
              <w:rPr>
                <w:color w:val="000000" w:themeColor="text1"/>
                <w:sz w:val="24"/>
              </w:rPr>
            </w:pPr>
            <w:r>
              <w:rPr>
                <w:color w:val="000000" w:themeColor="text1"/>
                <w:sz w:val="24"/>
              </w:rPr>
              <w:t>7.1</w:t>
            </w:r>
          </w:p>
          <w:p w14:paraId="7A4CDBF6">
            <w:pPr>
              <w:jc w:val="center"/>
              <w:rPr>
                <w:color w:val="000000" w:themeColor="text1"/>
                <w:sz w:val="24"/>
              </w:rPr>
            </w:pPr>
            <w:r>
              <w:rPr>
                <w:rFonts w:hint="eastAsia"/>
                <w:color w:val="000000" w:themeColor="text1"/>
                <w:sz w:val="24"/>
              </w:rPr>
              <w:t>6）</w:t>
            </w:r>
          </w:p>
        </w:tc>
        <w:tc>
          <w:tcPr>
            <w:tcW w:w="712" w:type="pct"/>
            <w:vAlign w:val="center"/>
          </w:tcPr>
          <w:p w14:paraId="490803E8">
            <w:pPr>
              <w:jc w:val="center"/>
              <w:rPr>
                <w:color w:val="000000" w:themeColor="text1"/>
                <w:sz w:val="24"/>
              </w:rPr>
            </w:pPr>
            <w:r>
              <w:rPr>
                <w:rFonts w:hint="eastAsia"/>
                <w:color w:val="000000" w:themeColor="text1"/>
                <w:sz w:val="24"/>
              </w:rPr>
              <w:t>合同文本的提供</w:t>
            </w:r>
          </w:p>
        </w:tc>
        <w:tc>
          <w:tcPr>
            <w:tcW w:w="3402" w:type="pct"/>
            <w:vAlign w:val="center"/>
          </w:tcPr>
          <w:p w14:paraId="31B5EF75">
            <w:pPr>
              <w:rPr>
                <w:color w:val="000000" w:themeColor="text1"/>
                <w:sz w:val="24"/>
              </w:rPr>
            </w:pPr>
            <w:r>
              <w:rPr>
                <w:rFonts w:hint="eastAsia"/>
                <w:color w:val="000000" w:themeColor="text1"/>
                <w:sz w:val="24"/>
              </w:rPr>
              <w:t>除了对竞争性谈判文件的逐项应答（包括第四章《合同格式》）外，供应商还应提供一份完整的合同文本，作为响应文件的一部分，该合同文本对于竞争性谈判文件第四章《合同格式》的任何负偏离均将导致响应文件被拒绝。</w:t>
            </w:r>
          </w:p>
        </w:tc>
      </w:tr>
      <w:tr w14:paraId="2BB28AA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47CFDE17">
            <w:pPr>
              <w:jc w:val="center"/>
              <w:rPr>
                <w:color w:val="000000" w:themeColor="text1"/>
                <w:sz w:val="24"/>
              </w:rPr>
            </w:pPr>
            <w:r>
              <w:rPr>
                <w:color w:val="000000" w:themeColor="text1"/>
                <w:sz w:val="24"/>
              </w:rPr>
              <w:t>8</w:t>
            </w:r>
          </w:p>
        </w:tc>
        <w:tc>
          <w:tcPr>
            <w:tcW w:w="490" w:type="pct"/>
            <w:vAlign w:val="center"/>
          </w:tcPr>
          <w:p w14:paraId="5D9BD2F8">
            <w:pPr>
              <w:jc w:val="center"/>
              <w:rPr>
                <w:color w:val="000000" w:themeColor="text1"/>
                <w:sz w:val="24"/>
              </w:rPr>
            </w:pPr>
            <w:r>
              <w:rPr>
                <w:color w:val="000000" w:themeColor="text1"/>
                <w:sz w:val="24"/>
              </w:rPr>
              <w:t>8.1</w:t>
            </w:r>
          </w:p>
        </w:tc>
        <w:tc>
          <w:tcPr>
            <w:tcW w:w="712" w:type="pct"/>
            <w:vAlign w:val="center"/>
          </w:tcPr>
          <w:p w14:paraId="139EF9A1">
            <w:pPr>
              <w:jc w:val="center"/>
              <w:rPr>
                <w:color w:val="000000" w:themeColor="text1"/>
                <w:sz w:val="24"/>
              </w:rPr>
            </w:pPr>
            <w:r>
              <w:rPr>
                <w:rFonts w:hint="eastAsia"/>
                <w:color w:val="000000" w:themeColor="text1"/>
                <w:sz w:val="24"/>
              </w:rPr>
              <w:t>响应文件的式样和签署</w:t>
            </w:r>
          </w:p>
        </w:tc>
        <w:tc>
          <w:tcPr>
            <w:tcW w:w="3402" w:type="pct"/>
            <w:vAlign w:val="center"/>
          </w:tcPr>
          <w:p w14:paraId="28E09FD8">
            <w:pPr>
              <w:rPr>
                <w:color w:val="000000" w:themeColor="text1"/>
                <w:sz w:val="24"/>
              </w:rPr>
            </w:pPr>
            <w:r>
              <w:rPr>
                <w:rFonts w:hint="eastAsia"/>
                <w:color w:val="000000" w:themeColor="text1"/>
                <w:sz w:val="24"/>
              </w:rPr>
              <w:t>响应文件一式3份（</w:t>
            </w:r>
            <w:r>
              <w:rPr>
                <w:color w:val="000000" w:themeColor="text1"/>
                <w:sz w:val="24"/>
              </w:rPr>
              <w:t>1</w:t>
            </w:r>
            <w:r>
              <w:rPr>
                <w:rFonts w:hint="eastAsia"/>
                <w:color w:val="000000" w:themeColor="text1"/>
                <w:sz w:val="24"/>
              </w:rPr>
              <w:t>份正本、2份副本），电子版本一份（电子版文件内容必须可搜索，U盘形式）。</w:t>
            </w:r>
          </w:p>
        </w:tc>
      </w:tr>
      <w:tr w14:paraId="6707F1F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43FB5BCE">
            <w:pPr>
              <w:jc w:val="center"/>
              <w:rPr>
                <w:color w:val="000000" w:themeColor="text1"/>
                <w:sz w:val="24"/>
              </w:rPr>
            </w:pPr>
            <w:r>
              <w:rPr>
                <w:color w:val="000000" w:themeColor="text1"/>
                <w:sz w:val="24"/>
              </w:rPr>
              <w:t>9</w:t>
            </w:r>
          </w:p>
        </w:tc>
        <w:tc>
          <w:tcPr>
            <w:tcW w:w="490" w:type="pct"/>
            <w:vAlign w:val="center"/>
          </w:tcPr>
          <w:p w14:paraId="72F7C138">
            <w:pPr>
              <w:jc w:val="center"/>
              <w:rPr>
                <w:color w:val="000000" w:themeColor="text1"/>
                <w:sz w:val="24"/>
              </w:rPr>
            </w:pPr>
            <w:r>
              <w:rPr>
                <w:color w:val="000000" w:themeColor="text1"/>
                <w:sz w:val="24"/>
              </w:rPr>
              <w:t>9.1</w:t>
            </w:r>
          </w:p>
        </w:tc>
        <w:tc>
          <w:tcPr>
            <w:tcW w:w="712" w:type="pct"/>
            <w:vAlign w:val="center"/>
          </w:tcPr>
          <w:p w14:paraId="52905A0B">
            <w:pPr>
              <w:jc w:val="center"/>
              <w:rPr>
                <w:color w:val="000000" w:themeColor="text1"/>
                <w:sz w:val="24"/>
              </w:rPr>
            </w:pPr>
            <w:r>
              <w:rPr>
                <w:rFonts w:hint="eastAsia"/>
                <w:color w:val="000000" w:themeColor="text1"/>
                <w:sz w:val="24"/>
              </w:rPr>
              <w:t>报价</w:t>
            </w:r>
          </w:p>
        </w:tc>
        <w:tc>
          <w:tcPr>
            <w:tcW w:w="3402" w:type="pct"/>
            <w:vAlign w:val="center"/>
          </w:tcPr>
          <w:p w14:paraId="0D039F4D">
            <w:pPr>
              <w:rPr>
                <w:color w:val="000000" w:themeColor="text1"/>
                <w:sz w:val="24"/>
              </w:rPr>
            </w:pPr>
            <w:r>
              <w:rPr>
                <w:rFonts w:hint="eastAsia"/>
                <w:color w:val="000000" w:themeColor="text1"/>
                <w:sz w:val="24"/>
              </w:rPr>
              <w:t>供应商应根据本项目实际情况，充分考虑市场情况完成采购人在“技术需求书”中所确定的所有工作内容所发生的一切费用。费用包括：直接成本（项目组成员的工资及差旅费、补助费、其他专项开支等）、间接成本（公司管理人员工资、行政办公费、业务培训费等）、税金、利润等为完成本项目所需的全部费用。</w:t>
            </w:r>
          </w:p>
          <w:p w14:paraId="0F75C2C2">
            <w:r>
              <w:rPr>
                <w:rFonts w:hint="eastAsia"/>
                <w:color w:val="000000" w:themeColor="text1"/>
                <w:sz w:val="24"/>
              </w:rPr>
              <w:t>供应商必须保证所提供的服务能够完全满足采购人的项目建设需求，并充分考虑到采购人的售后服务需求。</w:t>
            </w:r>
          </w:p>
        </w:tc>
      </w:tr>
      <w:tr w14:paraId="2A776CF3">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6D68C60F">
            <w:pPr>
              <w:jc w:val="center"/>
              <w:rPr>
                <w:color w:val="000000" w:themeColor="text1"/>
                <w:sz w:val="24"/>
              </w:rPr>
            </w:pPr>
            <w:r>
              <w:rPr>
                <w:color w:val="000000" w:themeColor="text1"/>
                <w:sz w:val="24"/>
              </w:rPr>
              <w:t>10</w:t>
            </w:r>
          </w:p>
        </w:tc>
        <w:tc>
          <w:tcPr>
            <w:tcW w:w="490" w:type="pct"/>
            <w:vAlign w:val="center"/>
          </w:tcPr>
          <w:p w14:paraId="411936EC">
            <w:pPr>
              <w:ind w:firstLine="480"/>
              <w:jc w:val="center"/>
              <w:rPr>
                <w:bCs/>
                <w:color w:val="000000" w:themeColor="text1"/>
                <w:kern w:val="44"/>
                <w:sz w:val="24"/>
              </w:rPr>
            </w:pPr>
          </w:p>
        </w:tc>
        <w:tc>
          <w:tcPr>
            <w:tcW w:w="712" w:type="pct"/>
            <w:vAlign w:val="center"/>
          </w:tcPr>
          <w:p w14:paraId="080AE7AA">
            <w:pPr>
              <w:jc w:val="center"/>
              <w:rPr>
                <w:color w:val="000000" w:themeColor="text1"/>
                <w:sz w:val="24"/>
              </w:rPr>
            </w:pPr>
            <w:r>
              <w:rPr>
                <w:rFonts w:hint="eastAsia"/>
                <w:color w:val="000000" w:themeColor="text1"/>
                <w:sz w:val="24"/>
              </w:rPr>
              <w:t>响应文件的盖章或签字</w:t>
            </w:r>
          </w:p>
        </w:tc>
        <w:tc>
          <w:tcPr>
            <w:tcW w:w="3402" w:type="pct"/>
            <w:vAlign w:val="center"/>
          </w:tcPr>
          <w:p w14:paraId="57A5BBDD">
            <w:pPr>
              <w:rPr>
                <w:color w:val="000000" w:themeColor="text1"/>
                <w:sz w:val="24"/>
              </w:rPr>
            </w:pPr>
            <w:r>
              <w:rPr>
                <w:rFonts w:hint="eastAsia"/>
                <w:color w:val="000000" w:themeColor="text1"/>
                <w:sz w:val="24"/>
              </w:rPr>
              <w:t>本条款增加规定：</w:t>
            </w:r>
          </w:p>
          <w:p w14:paraId="27B2B921">
            <w:pPr>
              <w:rPr>
                <w:color w:val="000000" w:themeColor="text1"/>
                <w:sz w:val="24"/>
              </w:rPr>
            </w:pPr>
            <w:r>
              <w:rPr>
                <w:rFonts w:hint="eastAsia"/>
                <w:color w:val="000000" w:themeColor="text1"/>
                <w:sz w:val="24"/>
              </w:rPr>
              <w:t>（1）竞争性谈判文件第六章“响应文件格式”中有单位名称和法定代表人或其委托代理人签字落款的响应文件必须加盖单位公章。</w:t>
            </w:r>
          </w:p>
          <w:p w14:paraId="57AA1BF7">
            <w:pPr>
              <w:rPr>
                <w:color w:val="000000" w:themeColor="text1"/>
                <w:sz w:val="24"/>
              </w:rPr>
            </w:pPr>
            <w:r>
              <w:rPr>
                <w:rFonts w:hint="eastAsia"/>
                <w:color w:val="000000" w:themeColor="text1"/>
                <w:sz w:val="24"/>
              </w:rPr>
              <w:t>（2）除上述文件以外的其他响应文件组成部分必须加盖骑缝章（骑缝章必须覆盖所有响应文件），或由法定代表人或其委托代理人逐页手签。</w:t>
            </w:r>
          </w:p>
          <w:p w14:paraId="2F4DDC00">
            <w:pPr>
              <w:rPr>
                <w:color w:val="000000" w:themeColor="text1"/>
                <w:sz w:val="24"/>
              </w:rPr>
            </w:pPr>
            <w:r>
              <w:rPr>
                <w:rFonts w:hint="eastAsia"/>
                <w:color w:val="000000" w:themeColor="text1"/>
                <w:sz w:val="24"/>
              </w:rPr>
              <w:t>（3）响应文件中所有标注“盖章”处均指单位公章，不能以“业务章”、“专用章”、“合同章”等代替；如确需要替代，则必须附公章对“业务章”、“专用章”、“合同章”等的授权（格式自制，且正本中必须附原件）</w:t>
            </w:r>
          </w:p>
        </w:tc>
      </w:tr>
      <w:tr w14:paraId="230EAD29">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57705F4A">
            <w:pPr>
              <w:jc w:val="center"/>
              <w:rPr>
                <w:color w:val="000000" w:themeColor="text1"/>
                <w:sz w:val="24"/>
              </w:rPr>
            </w:pPr>
            <w:r>
              <w:rPr>
                <w:color w:val="000000" w:themeColor="text1"/>
                <w:sz w:val="24"/>
              </w:rPr>
              <w:t>11</w:t>
            </w:r>
          </w:p>
        </w:tc>
        <w:tc>
          <w:tcPr>
            <w:tcW w:w="490" w:type="pct"/>
            <w:vAlign w:val="center"/>
          </w:tcPr>
          <w:p w14:paraId="0B192E4A">
            <w:pPr>
              <w:jc w:val="center"/>
              <w:rPr>
                <w:color w:val="000000" w:themeColor="text1"/>
                <w:sz w:val="24"/>
              </w:rPr>
            </w:pPr>
            <w:r>
              <w:rPr>
                <w:color w:val="000000" w:themeColor="text1"/>
                <w:sz w:val="24"/>
              </w:rPr>
              <w:t>10.1</w:t>
            </w:r>
          </w:p>
        </w:tc>
        <w:tc>
          <w:tcPr>
            <w:tcW w:w="712" w:type="pct"/>
            <w:vAlign w:val="center"/>
          </w:tcPr>
          <w:p w14:paraId="6A163EB8">
            <w:pPr>
              <w:jc w:val="center"/>
              <w:rPr>
                <w:color w:val="000000" w:themeColor="text1"/>
                <w:sz w:val="24"/>
              </w:rPr>
            </w:pPr>
            <w:r>
              <w:rPr>
                <w:rFonts w:hint="eastAsia"/>
                <w:color w:val="000000" w:themeColor="text1"/>
                <w:sz w:val="24"/>
              </w:rPr>
              <w:t>响应有效期</w:t>
            </w:r>
          </w:p>
        </w:tc>
        <w:tc>
          <w:tcPr>
            <w:tcW w:w="3402" w:type="pct"/>
            <w:vAlign w:val="center"/>
          </w:tcPr>
          <w:p w14:paraId="08808B62">
            <w:pPr>
              <w:rPr>
                <w:color w:val="000000" w:themeColor="text1"/>
                <w:sz w:val="24"/>
              </w:rPr>
            </w:pPr>
            <w:r>
              <w:rPr>
                <w:rFonts w:hint="eastAsia"/>
                <w:color w:val="000000" w:themeColor="text1"/>
                <w:sz w:val="24"/>
              </w:rPr>
              <w:t>供应商递交的响应文件应在规定的递交响应文件截止日后的</w:t>
            </w:r>
            <w:r>
              <w:rPr>
                <w:color w:val="000000" w:themeColor="text1"/>
                <w:sz w:val="24"/>
              </w:rPr>
              <w:t>90</w:t>
            </w:r>
            <w:r>
              <w:rPr>
                <w:rFonts w:hint="eastAsia"/>
                <w:color w:val="000000" w:themeColor="text1"/>
                <w:sz w:val="24"/>
              </w:rPr>
              <w:t>天内保持有效。</w:t>
            </w:r>
          </w:p>
        </w:tc>
      </w:tr>
      <w:tr w14:paraId="257958AE">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394" w:type="pct"/>
            <w:vAlign w:val="center"/>
          </w:tcPr>
          <w:p w14:paraId="08BAFC6E">
            <w:pPr>
              <w:jc w:val="center"/>
              <w:rPr>
                <w:color w:val="000000" w:themeColor="text1"/>
                <w:sz w:val="24"/>
              </w:rPr>
            </w:pPr>
            <w:r>
              <w:rPr>
                <w:color w:val="000000" w:themeColor="text1"/>
                <w:sz w:val="24"/>
              </w:rPr>
              <w:t>12</w:t>
            </w:r>
          </w:p>
        </w:tc>
        <w:tc>
          <w:tcPr>
            <w:tcW w:w="490" w:type="pct"/>
            <w:vAlign w:val="center"/>
          </w:tcPr>
          <w:p w14:paraId="40408400">
            <w:pPr>
              <w:jc w:val="center"/>
              <w:rPr>
                <w:color w:val="000000" w:themeColor="text1"/>
                <w:sz w:val="24"/>
              </w:rPr>
            </w:pPr>
            <w:r>
              <w:rPr>
                <w:color w:val="000000" w:themeColor="text1"/>
                <w:sz w:val="24"/>
              </w:rPr>
              <w:t>12.1</w:t>
            </w:r>
          </w:p>
        </w:tc>
        <w:tc>
          <w:tcPr>
            <w:tcW w:w="712" w:type="pct"/>
            <w:vAlign w:val="center"/>
          </w:tcPr>
          <w:p w14:paraId="5C72FD57">
            <w:pPr>
              <w:jc w:val="center"/>
              <w:rPr>
                <w:color w:val="000000" w:themeColor="text1"/>
                <w:sz w:val="24"/>
              </w:rPr>
            </w:pPr>
            <w:r>
              <w:rPr>
                <w:rFonts w:hint="eastAsia"/>
                <w:color w:val="000000" w:themeColor="text1"/>
                <w:sz w:val="24"/>
              </w:rPr>
              <w:t>递交响应文件截止时间</w:t>
            </w:r>
          </w:p>
        </w:tc>
        <w:tc>
          <w:tcPr>
            <w:tcW w:w="3402" w:type="pct"/>
            <w:vAlign w:val="center"/>
          </w:tcPr>
          <w:p w14:paraId="39B55422">
            <w:pPr>
              <w:rPr>
                <w:color w:val="000000" w:themeColor="text1"/>
                <w:sz w:val="24"/>
              </w:rPr>
            </w:pPr>
            <w:r>
              <w:rPr>
                <w:rFonts w:hint="eastAsia"/>
                <w:color w:val="000000" w:themeColor="text1"/>
                <w:sz w:val="24"/>
              </w:rPr>
              <w:t>见竞争性谈判文件第一章《竞争性谈判公告》</w:t>
            </w:r>
          </w:p>
        </w:tc>
      </w:tr>
      <w:tr w14:paraId="6D499738">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jc w:val="center"/>
        </w:trPr>
        <w:tc>
          <w:tcPr>
            <w:tcW w:w="394" w:type="pct"/>
            <w:vAlign w:val="center"/>
          </w:tcPr>
          <w:p w14:paraId="20D90E65">
            <w:pPr>
              <w:jc w:val="center"/>
              <w:rPr>
                <w:color w:val="000000" w:themeColor="text1"/>
                <w:sz w:val="24"/>
              </w:rPr>
            </w:pPr>
            <w:r>
              <w:rPr>
                <w:color w:val="000000" w:themeColor="text1"/>
                <w:sz w:val="24"/>
              </w:rPr>
              <w:t>13</w:t>
            </w:r>
          </w:p>
        </w:tc>
        <w:tc>
          <w:tcPr>
            <w:tcW w:w="490" w:type="pct"/>
            <w:vAlign w:val="center"/>
          </w:tcPr>
          <w:p w14:paraId="7D87042E">
            <w:pPr>
              <w:jc w:val="center"/>
              <w:rPr>
                <w:color w:val="000000" w:themeColor="text1"/>
                <w:sz w:val="24"/>
              </w:rPr>
            </w:pPr>
            <w:r>
              <w:rPr>
                <w:color w:val="000000" w:themeColor="text1"/>
                <w:sz w:val="24"/>
              </w:rPr>
              <w:t>12.1</w:t>
            </w:r>
          </w:p>
        </w:tc>
        <w:tc>
          <w:tcPr>
            <w:tcW w:w="712" w:type="pct"/>
            <w:vAlign w:val="center"/>
          </w:tcPr>
          <w:p w14:paraId="780A0ECD">
            <w:pPr>
              <w:jc w:val="center"/>
              <w:rPr>
                <w:color w:val="000000" w:themeColor="text1"/>
                <w:sz w:val="24"/>
              </w:rPr>
            </w:pPr>
            <w:r>
              <w:rPr>
                <w:rFonts w:hint="eastAsia"/>
                <w:color w:val="000000" w:themeColor="text1"/>
                <w:sz w:val="24"/>
              </w:rPr>
              <w:t>递交响应文件地点</w:t>
            </w:r>
          </w:p>
        </w:tc>
        <w:tc>
          <w:tcPr>
            <w:tcW w:w="3402" w:type="pct"/>
            <w:vAlign w:val="center"/>
          </w:tcPr>
          <w:p w14:paraId="7037B2B0">
            <w:pPr>
              <w:ind w:firstLine="480"/>
              <w:rPr>
                <w:color w:val="000000" w:themeColor="text1"/>
                <w:sz w:val="24"/>
              </w:rPr>
            </w:pPr>
            <w:r>
              <w:rPr>
                <w:rFonts w:hint="eastAsia"/>
                <w:color w:val="000000" w:themeColor="text1"/>
                <w:sz w:val="24"/>
              </w:rPr>
              <w:t>见竞争性谈判文件第一章《竞争性谈判公告》</w:t>
            </w:r>
          </w:p>
        </w:tc>
      </w:tr>
      <w:tr w14:paraId="0DDFB29B">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64" w:hRule="atLeast"/>
          <w:tblHeader/>
          <w:jc w:val="center"/>
        </w:trPr>
        <w:tc>
          <w:tcPr>
            <w:tcW w:w="394" w:type="pct"/>
            <w:vAlign w:val="center"/>
          </w:tcPr>
          <w:p w14:paraId="3ED22FA1">
            <w:pPr>
              <w:jc w:val="center"/>
              <w:rPr>
                <w:color w:val="000000" w:themeColor="text1"/>
                <w:sz w:val="24"/>
              </w:rPr>
            </w:pPr>
            <w:r>
              <w:rPr>
                <w:color w:val="000000" w:themeColor="text1"/>
                <w:sz w:val="24"/>
              </w:rPr>
              <w:t>14</w:t>
            </w:r>
          </w:p>
        </w:tc>
        <w:tc>
          <w:tcPr>
            <w:tcW w:w="490" w:type="pct"/>
            <w:vAlign w:val="center"/>
          </w:tcPr>
          <w:p w14:paraId="092E4ABD">
            <w:pPr>
              <w:jc w:val="center"/>
              <w:rPr>
                <w:color w:val="000000" w:themeColor="text1"/>
                <w:sz w:val="24"/>
              </w:rPr>
            </w:pPr>
            <w:r>
              <w:rPr>
                <w:color w:val="000000" w:themeColor="text1"/>
                <w:sz w:val="24"/>
              </w:rPr>
              <w:t>17.5</w:t>
            </w:r>
          </w:p>
        </w:tc>
        <w:tc>
          <w:tcPr>
            <w:tcW w:w="712" w:type="pct"/>
            <w:vAlign w:val="center"/>
          </w:tcPr>
          <w:p w14:paraId="6FEF6E6C">
            <w:pPr>
              <w:jc w:val="center"/>
              <w:rPr>
                <w:color w:val="000000" w:themeColor="text1"/>
                <w:sz w:val="24"/>
              </w:rPr>
            </w:pPr>
            <w:r>
              <w:rPr>
                <w:rFonts w:hint="eastAsia"/>
                <w:color w:val="000000" w:themeColor="text1"/>
                <w:sz w:val="24"/>
              </w:rPr>
              <w:t>如发现下列情况之一的，其响应文件将可能被拒绝</w:t>
            </w:r>
          </w:p>
        </w:tc>
        <w:tc>
          <w:tcPr>
            <w:tcW w:w="3402" w:type="pct"/>
            <w:vAlign w:val="center"/>
          </w:tcPr>
          <w:p w14:paraId="1DE132BF">
            <w:pPr>
              <w:rPr>
                <w:color w:val="000000" w:themeColor="text1"/>
                <w:sz w:val="24"/>
              </w:rPr>
            </w:pPr>
            <w:r>
              <w:rPr>
                <w:color w:val="000000" w:themeColor="text1"/>
                <w:sz w:val="24"/>
              </w:rPr>
              <w:t>1</w:t>
            </w:r>
            <w:r>
              <w:rPr>
                <w:rFonts w:hint="eastAsia"/>
                <w:color w:val="000000" w:themeColor="text1"/>
                <w:sz w:val="24"/>
              </w:rPr>
              <w:t>）不满足竞争性谈判文件对合格供应商的基本资质要求的；</w:t>
            </w:r>
          </w:p>
          <w:p w14:paraId="6FDC1E6E">
            <w:pPr>
              <w:rPr>
                <w:color w:val="000000" w:themeColor="text1"/>
                <w:sz w:val="24"/>
              </w:rPr>
            </w:pPr>
            <w:r>
              <w:rPr>
                <w:rFonts w:hint="eastAsia"/>
                <w:color w:val="000000" w:themeColor="text1"/>
                <w:sz w:val="24"/>
              </w:rPr>
              <w:t>2）供应商在响应文件中提供的服务内容及质量不能实质性满足竞争性谈判文件“</w:t>
            </w:r>
            <w:r>
              <w:rPr>
                <w:rFonts w:ascii="Segoe UI Symbol" w:hAnsi="Segoe UI Symbol" w:cs="Segoe UI Symbol"/>
                <w:color w:val="000000" w:themeColor="text1"/>
                <w:sz w:val="24"/>
              </w:rPr>
              <w:t>★</w:t>
            </w:r>
            <w:r>
              <w:rPr>
                <w:rFonts w:hint="eastAsia"/>
                <w:color w:val="000000" w:themeColor="text1"/>
                <w:sz w:val="24"/>
              </w:rPr>
              <w:t>”号条款要求或不能提供实质性满足证明的；</w:t>
            </w:r>
          </w:p>
          <w:p w14:paraId="34A82671">
            <w:pPr>
              <w:rPr>
                <w:color w:val="000000" w:themeColor="text1"/>
                <w:sz w:val="24"/>
              </w:rPr>
            </w:pPr>
            <w:r>
              <w:rPr>
                <w:rFonts w:hint="eastAsia"/>
                <w:color w:val="000000" w:themeColor="text1"/>
                <w:sz w:val="24"/>
              </w:rPr>
              <w:t>3）供应商在响应文件中对于第四章《合同格式》有任何负偏离的；</w:t>
            </w:r>
          </w:p>
          <w:p w14:paraId="16E3936C">
            <w:pPr>
              <w:rPr>
                <w:color w:val="000000" w:themeColor="text1"/>
                <w:sz w:val="24"/>
              </w:rPr>
            </w:pPr>
            <w:r>
              <w:rPr>
                <w:rFonts w:hint="eastAsia"/>
                <w:color w:val="000000" w:themeColor="text1"/>
                <w:sz w:val="24"/>
              </w:rPr>
              <w:t>4）响应函、法人代表授权书不按照第六章《附件》的格式提供的；</w:t>
            </w:r>
          </w:p>
          <w:p w14:paraId="6E495A07">
            <w:pPr>
              <w:rPr>
                <w:color w:val="000000" w:themeColor="text1"/>
                <w:sz w:val="24"/>
              </w:rPr>
            </w:pPr>
            <w:r>
              <w:rPr>
                <w:rFonts w:hint="eastAsia"/>
                <w:color w:val="000000" w:themeColor="text1"/>
                <w:sz w:val="24"/>
              </w:rPr>
              <w:t>5）资格证明文件不全、失效或不符合竞争性谈判文件要求的；</w:t>
            </w:r>
          </w:p>
          <w:p w14:paraId="7157883B">
            <w:pPr>
              <w:rPr>
                <w:color w:val="000000" w:themeColor="text1"/>
                <w:sz w:val="24"/>
              </w:rPr>
            </w:pPr>
            <w:r>
              <w:rPr>
                <w:rFonts w:hint="eastAsia"/>
                <w:color w:val="000000" w:themeColor="text1"/>
                <w:sz w:val="24"/>
              </w:rPr>
              <w:t>6）响应文件无法定代表人签字，或签字人无法定代表人有效授权的；</w:t>
            </w:r>
          </w:p>
          <w:p w14:paraId="0023F898">
            <w:pPr>
              <w:rPr>
                <w:color w:val="000000" w:themeColor="text1"/>
                <w:sz w:val="24"/>
              </w:rPr>
            </w:pPr>
            <w:r>
              <w:rPr>
                <w:rFonts w:hint="eastAsia"/>
                <w:color w:val="000000" w:themeColor="text1"/>
                <w:sz w:val="24"/>
              </w:rPr>
              <w:t>7）响应文件或响应有效期不足的；</w:t>
            </w:r>
          </w:p>
          <w:p w14:paraId="606A021D">
            <w:pPr>
              <w:rPr>
                <w:color w:val="000000" w:themeColor="text1"/>
                <w:sz w:val="24"/>
              </w:rPr>
            </w:pPr>
            <w:r>
              <w:rPr>
                <w:rFonts w:hint="eastAsia"/>
                <w:color w:val="000000" w:themeColor="text1"/>
                <w:sz w:val="24"/>
              </w:rPr>
              <w:t>8）报价超过本项目最高限价的；</w:t>
            </w:r>
          </w:p>
          <w:p w14:paraId="6C433716">
            <w:pPr>
              <w:rPr>
                <w:color w:val="000000" w:themeColor="text1"/>
                <w:sz w:val="24"/>
              </w:rPr>
            </w:pPr>
            <w:r>
              <w:rPr>
                <w:rFonts w:hint="eastAsia"/>
                <w:color w:val="000000" w:themeColor="text1"/>
                <w:sz w:val="24"/>
              </w:rPr>
              <w:t>9）响应文件中提供虚假或失实资料的；</w:t>
            </w:r>
          </w:p>
          <w:p w14:paraId="1C46FCEC">
            <w:pPr>
              <w:rPr>
                <w:color w:val="000000" w:themeColor="text1"/>
                <w:sz w:val="24"/>
              </w:rPr>
            </w:pPr>
            <w:r>
              <w:rPr>
                <w:rFonts w:hint="eastAsia"/>
                <w:color w:val="000000" w:themeColor="text1"/>
                <w:sz w:val="24"/>
              </w:rPr>
              <w:t>10）未按照竞争性谈判文件规定的方式领取竞争性谈判文件并按要求递交响应文件的；</w:t>
            </w:r>
          </w:p>
          <w:p w14:paraId="6D33A9BB">
            <w:pPr>
              <w:rPr>
                <w:color w:val="000000" w:themeColor="text1"/>
                <w:sz w:val="24"/>
              </w:rPr>
            </w:pPr>
            <w:r>
              <w:rPr>
                <w:color w:val="000000" w:themeColor="text1"/>
                <w:sz w:val="24"/>
              </w:rPr>
              <w:t>1</w:t>
            </w:r>
            <w:r>
              <w:rPr>
                <w:rFonts w:hint="eastAsia"/>
                <w:color w:val="000000" w:themeColor="text1"/>
                <w:sz w:val="24"/>
              </w:rPr>
              <w:t>1）评审委员会认为不能实质上满足竞争性谈判文件其它要求的。</w:t>
            </w:r>
          </w:p>
        </w:tc>
      </w:tr>
      <w:tr w14:paraId="7545F5B8">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64" w:hRule="atLeast"/>
          <w:tblHeader/>
          <w:jc w:val="center"/>
        </w:trPr>
        <w:tc>
          <w:tcPr>
            <w:tcW w:w="394" w:type="pct"/>
            <w:vAlign w:val="center"/>
          </w:tcPr>
          <w:p w14:paraId="06933D90">
            <w:pPr>
              <w:jc w:val="center"/>
              <w:rPr>
                <w:color w:val="000000" w:themeColor="text1"/>
                <w:sz w:val="24"/>
              </w:rPr>
            </w:pPr>
            <w:r>
              <w:rPr>
                <w:color w:val="000000" w:themeColor="text1"/>
                <w:sz w:val="24"/>
              </w:rPr>
              <w:t>15</w:t>
            </w:r>
          </w:p>
        </w:tc>
        <w:tc>
          <w:tcPr>
            <w:tcW w:w="490" w:type="pct"/>
            <w:vAlign w:val="center"/>
          </w:tcPr>
          <w:p w14:paraId="77236856">
            <w:pPr>
              <w:jc w:val="center"/>
              <w:rPr>
                <w:color w:val="000000" w:themeColor="text1"/>
                <w:sz w:val="24"/>
              </w:rPr>
            </w:pPr>
            <w:r>
              <w:rPr>
                <w:color w:val="000000" w:themeColor="text1"/>
                <w:sz w:val="24"/>
              </w:rPr>
              <w:t>19</w:t>
            </w:r>
          </w:p>
        </w:tc>
        <w:tc>
          <w:tcPr>
            <w:tcW w:w="712" w:type="pct"/>
            <w:vAlign w:val="center"/>
          </w:tcPr>
          <w:p w14:paraId="15CFA6DC">
            <w:pPr>
              <w:jc w:val="center"/>
              <w:rPr>
                <w:color w:val="000000" w:themeColor="text1"/>
                <w:sz w:val="24"/>
              </w:rPr>
            </w:pPr>
            <w:r>
              <w:rPr>
                <w:rFonts w:hint="eastAsia"/>
                <w:color w:val="000000" w:themeColor="text1"/>
                <w:sz w:val="24"/>
              </w:rPr>
              <w:t>评审</w:t>
            </w:r>
          </w:p>
        </w:tc>
        <w:tc>
          <w:tcPr>
            <w:tcW w:w="3402" w:type="pct"/>
            <w:vAlign w:val="center"/>
          </w:tcPr>
          <w:p w14:paraId="324315B5">
            <w:pPr>
              <w:rPr>
                <w:color w:val="000000" w:themeColor="text1"/>
                <w:sz w:val="24"/>
              </w:rPr>
            </w:pPr>
            <w:r>
              <w:rPr>
                <w:color w:val="000000" w:themeColor="text1"/>
                <w:sz w:val="24"/>
              </w:rPr>
              <w:t>1</w:t>
            </w:r>
            <w:r>
              <w:rPr>
                <w:rFonts w:hint="eastAsia"/>
                <w:color w:val="000000" w:themeColor="text1"/>
                <w:sz w:val="24"/>
              </w:rPr>
              <w:t>）供应商的法定代表人或其授权代理应按采购人规定的时间到指定的地点，与评审委员会进行谈判并对评审委员会提出的问题作出澄清和答复；</w:t>
            </w:r>
          </w:p>
          <w:p w14:paraId="23BD7E68">
            <w:pPr>
              <w:rPr>
                <w:color w:val="000000" w:themeColor="text1"/>
                <w:sz w:val="24"/>
              </w:rPr>
            </w:pPr>
            <w:r>
              <w:rPr>
                <w:rFonts w:hint="eastAsia"/>
                <w:color w:val="000000" w:themeColor="text1"/>
                <w:sz w:val="24"/>
              </w:rPr>
              <w:t>2）谈判过程中允许各供应商调整报价，各供应商拥有平等的调整报价机会，评审委员会有权根据实际情况确定调整报价的次数，报价调整必须经过供应商授权代表签字确认。供应商应将其最终报价和相关承诺一并在规定的时间内递交。</w:t>
            </w:r>
          </w:p>
          <w:p w14:paraId="25636B7D">
            <w:pPr>
              <w:rPr>
                <w:color w:val="000000" w:themeColor="text1"/>
                <w:sz w:val="24"/>
              </w:rPr>
            </w:pPr>
            <w:r>
              <w:rPr>
                <w:rFonts w:hint="eastAsia"/>
                <w:color w:val="000000" w:themeColor="text1"/>
                <w:sz w:val="24"/>
              </w:rPr>
              <w:t>3）供应商逾期递交的或不满足要求的最终报价和相关承诺将被拒绝，并将导致其竞争性谈判响应文件实质上没有响应竞争性谈判文件的要求。最终报价和相关承诺在递交后将不得更改，并将作为成交商的评审依据。</w:t>
            </w:r>
          </w:p>
          <w:p w14:paraId="6110E14F">
            <w:pPr>
              <w:rPr>
                <w:color w:val="000000" w:themeColor="text1"/>
                <w:sz w:val="24"/>
              </w:rPr>
            </w:pPr>
            <w:r>
              <w:rPr>
                <w:rFonts w:hint="eastAsia"/>
                <w:color w:val="000000" w:themeColor="text1"/>
                <w:sz w:val="24"/>
              </w:rPr>
              <w:t>4）评审委员会将对参加谈判且实质上响应竞争性谈判文件要求的各谈判供应商进行评价和比较。评审的依据为谈判供应商递交的竞争性谈判响应文件和谈判后递交的最终报价及承诺。详见第三章《评审办法》。</w:t>
            </w:r>
          </w:p>
          <w:p w14:paraId="5BF0163D">
            <w:pPr>
              <w:rPr>
                <w:color w:val="000000" w:themeColor="text1"/>
                <w:sz w:val="24"/>
              </w:rPr>
            </w:pPr>
            <w:r>
              <w:rPr>
                <w:color w:val="000000" w:themeColor="text1"/>
                <w:sz w:val="24"/>
              </w:rPr>
              <w:t>5</w:t>
            </w:r>
            <w:r>
              <w:rPr>
                <w:rFonts w:hint="eastAsia"/>
                <w:color w:val="000000" w:themeColor="text1"/>
                <w:sz w:val="24"/>
              </w:rPr>
              <w:t>）评审委员会就服务、合同内容和供应商报价进行谈判，谈判后将根据综合评估结果，对供应商按综合得分从高到低排序。</w:t>
            </w:r>
          </w:p>
        </w:tc>
      </w:tr>
      <w:tr w14:paraId="5BD5EA4A">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2" w:hRule="atLeast"/>
          <w:tblHeader/>
          <w:jc w:val="center"/>
        </w:trPr>
        <w:tc>
          <w:tcPr>
            <w:tcW w:w="394" w:type="pct"/>
            <w:vAlign w:val="center"/>
          </w:tcPr>
          <w:p w14:paraId="73650E15">
            <w:pPr>
              <w:jc w:val="center"/>
              <w:rPr>
                <w:color w:val="000000" w:themeColor="text1"/>
                <w:sz w:val="24"/>
              </w:rPr>
            </w:pPr>
            <w:r>
              <w:rPr>
                <w:color w:val="000000" w:themeColor="text1"/>
                <w:sz w:val="24"/>
              </w:rPr>
              <w:t>16</w:t>
            </w:r>
          </w:p>
        </w:tc>
        <w:tc>
          <w:tcPr>
            <w:tcW w:w="490" w:type="pct"/>
            <w:vAlign w:val="center"/>
          </w:tcPr>
          <w:p w14:paraId="1EDDD425">
            <w:pPr>
              <w:jc w:val="center"/>
              <w:rPr>
                <w:color w:val="000000" w:themeColor="text1"/>
                <w:sz w:val="24"/>
              </w:rPr>
            </w:pPr>
            <w:r>
              <w:rPr>
                <w:color w:val="000000" w:themeColor="text1"/>
                <w:sz w:val="24"/>
              </w:rPr>
              <w:t>22.1</w:t>
            </w:r>
          </w:p>
        </w:tc>
        <w:tc>
          <w:tcPr>
            <w:tcW w:w="712" w:type="pct"/>
            <w:vAlign w:val="center"/>
          </w:tcPr>
          <w:p w14:paraId="0D1F8794">
            <w:pPr>
              <w:jc w:val="center"/>
              <w:rPr>
                <w:color w:val="000000" w:themeColor="text1"/>
                <w:sz w:val="24"/>
              </w:rPr>
            </w:pPr>
            <w:r>
              <w:rPr>
                <w:rFonts w:hint="eastAsia"/>
                <w:color w:val="000000" w:themeColor="text1"/>
                <w:sz w:val="24"/>
              </w:rPr>
              <w:t>成交供应商数量</w:t>
            </w:r>
          </w:p>
        </w:tc>
        <w:tc>
          <w:tcPr>
            <w:tcW w:w="3402" w:type="pct"/>
            <w:vAlign w:val="center"/>
          </w:tcPr>
          <w:p w14:paraId="2E9E016C">
            <w:pPr>
              <w:rPr>
                <w:b/>
                <w:color w:val="000000" w:themeColor="text1"/>
                <w:sz w:val="24"/>
              </w:rPr>
            </w:pPr>
            <w:r>
              <w:rPr>
                <w:b/>
                <w:color w:val="000000" w:themeColor="text1"/>
                <w:sz w:val="24"/>
              </w:rPr>
              <w:t>1</w:t>
            </w:r>
            <w:r>
              <w:rPr>
                <w:rFonts w:hint="eastAsia"/>
                <w:b/>
                <w:color w:val="000000" w:themeColor="text1"/>
                <w:sz w:val="24"/>
              </w:rPr>
              <w:t>名成交供应商。</w:t>
            </w:r>
          </w:p>
        </w:tc>
      </w:tr>
      <w:tr w14:paraId="4A5A7885">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blHeader/>
          <w:jc w:val="center"/>
        </w:trPr>
        <w:tc>
          <w:tcPr>
            <w:tcW w:w="394" w:type="pct"/>
            <w:vAlign w:val="center"/>
          </w:tcPr>
          <w:p w14:paraId="3096D8B3">
            <w:pPr>
              <w:jc w:val="center"/>
              <w:rPr>
                <w:color w:val="000000" w:themeColor="text1"/>
                <w:sz w:val="24"/>
              </w:rPr>
            </w:pPr>
            <w:r>
              <w:rPr>
                <w:color w:val="000000" w:themeColor="text1"/>
                <w:sz w:val="24"/>
              </w:rPr>
              <w:t>17</w:t>
            </w:r>
          </w:p>
        </w:tc>
        <w:tc>
          <w:tcPr>
            <w:tcW w:w="490" w:type="pct"/>
            <w:vAlign w:val="center"/>
          </w:tcPr>
          <w:p w14:paraId="5BA95671">
            <w:pPr>
              <w:jc w:val="center"/>
              <w:rPr>
                <w:color w:val="000000" w:themeColor="text1"/>
                <w:sz w:val="24"/>
              </w:rPr>
            </w:pPr>
            <w:r>
              <w:rPr>
                <w:color w:val="000000" w:themeColor="text1"/>
                <w:sz w:val="24"/>
              </w:rPr>
              <w:t>24</w:t>
            </w:r>
          </w:p>
        </w:tc>
        <w:tc>
          <w:tcPr>
            <w:tcW w:w="712" w:type="pct"/>
            <w:vAlign w:val="center"/>
          </w:tcPr>
          <w:p w14:paraId="402D519E">
            <w:pPr>
              <w:jc w:val="center"/>
              <w:rPr>
                <w:color w:val="000000" w:themeColor="text1"/>
                <w:sz w:val="24"/>
              </w:rPr>
            </w:pPr>
            <w:r>
              <w:rPr>
                <w:rFonts w:hint="eastAsia"/>
                <w:color w:val="000000" w:themeColor="text1"/>
                <w:sz w:val="24"/>
              </w:rPr>
              <w:t>签约</w:t>
            </w:r>
          </w:p>
        </w:tc>
        <w:tc>
          <w:tcPr>
            <w:tcW w:w="3402" w:type="pct"/>
            <w:vAlign w:val="center"/>
          </w:tcPr>
          <w:p w14:paraId="71F29B55">
            <w:pPr>
              <w:rPr>
                <w:color w:val="000000" w:themeColor="text1"/>
                <w:sz w:val="24"/>
              </w:rPr>
            </w:pPr>
            <w:r>
              <w:rPr>
                <w:rFonts w:hint="eastAsia"/>
                <w:color w:val="000000" w:themeColor="text1"/>
                <w:sz w:val="24"/>
              </w:rPr>
              <w:t>采购人与本次成交供应商按本竞争性谈判文件第四章合同格式签订合同。</w:t>
            </w:r>
          </w:p>
        </w:tc>
      </w:tr>
    </w:tbl>
    <w:p w14:paraId="23EAD703">
      <w:pPr>
        <w:spacing w:before="312" w:after="312"/>
        <w:ind w:firstLine="484" w:firstLineChars="202"/>
        <w:rPr>
          <w:color w:val="000000" w:themeColor="text1"/>
          <w:sz w:val="24"/>
        </w:rPr>
      </w:pPr>
    </w:p>
    <w:p w14:paraId="34562FA3">
      <w:pPr>
        <w:widowControl/>
        <w:spacing w:before="312" w:after="312"/>
        <w:ind w:firstLine="480"/>
        <w:jc w:val="left"/>
        <w:rPr>
          <w:color w:val="000000" w:themeColor="text1"/>
          <w:sz w:val="24"/>
        </w:rPr>
      </w:pPr>
      <w:r>
        <w:rPr>
          <w:color w:val="000000" w:themeColor="text1"/>
          <w:sz w:val="24"/>
        </w:rPr>
        <w:br w:type="page"/>
      </w:r>
    </w:p>
    <w:p w14:paraId="0EF5067A">
      <w:pPr>
        <w:ind w:firstLine="643"/>
        <w:jc w:val="center"/>
        <w:rPr>
          <w:rFonts w:ascii="宋体" w:hAnsi="宋体"/>
          <w:b/>
          <w:color w:val="000000" w:themeColor="text1"/>
          <w:sz w:val="32"/>
          <w:szCs w:val="32"/>
        </w:rPr>
      </w:pPr>
      <w:r>
        <w:rPr>
          <w:rFonts w:hint="eastAsia" w:ascii="宋体" w:hAnsi="宋体"/>
          <w:b/>
          <w:color w:val="000000" w:themeColor="text1"/>
          <w:sz w:val="32"/>
          <w:szCs w:val="32"/>
        </w:rPr>
        <w:t>供应商须知</w:t>
      </w:r>
    </w:p>
    <w:p w14:paraId="5AA6254D">
      <w:pPr>
        <w:spacing w:line="360" w:lineRule="auto"/>
        <w:ind w:firstLine="562"/>
        <w:rPr>
          <w:rFonts w:ascii="宋体" w:hAnsi="宋体"/>
          <w:b/>
          <w:color w:val="000000" w:themeColor="text1"/>
          <w:sz w:val="28"/>
          <w:szCs w:val="28"/>
        </w:rPr>
      </w:pPr>
      <w:r>
        <w:rPr>
          <w:rFonts w:hint="eastAsia" w:ascii="宋体" w:hAnsi="宋体"/>
          <w:b/>
          <w:color w:val="000000" w:themeColor="text1"/>
          <w:sz w:val="28"/>
          <w:szCs w:val="28"/>
        </w:rPr>
        <w:t>一、说明</w:t>
      </w:r>
    </w:p>
    <w:p w14:paraId="05E17CDB">
      <w:pPr>
        <w:spacing w:line="360" w:lineRule="auto"/>
        <w:ind w:firstLine="48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采购人及合格的供应商</w:t>
      </w:r>
    </w:p>
    <w:p w14:paraId="5001FA28">
      <w:pPr>
        <w:spacing w:line="360" w:lineRule="auto"/>
        <w:ind w:firstLine="480"/>
        <w:rPr>
          <w:rFonts w:ascii="宋体" w:hAnsi="宋体"/>
          <w:color w:val="000000" w:themeColor="text1"/>
          <w:sz w:val="24"/>
        </w:rPr>
      </w:pPr>
      <w:r>
        <w:rPr>
          <w:rFonts w:ascii="宋体" w:hAnsi="宋体"/>
          <w:color w:val="000000" w:themeColor="text1"/>
          <w:sz w:val="24"/>
        </w:rPr>
        <w:t>1.1</w:t>
      </w:r>
      <w:r>
        <w:rPr>
          <w:rFonts w:hint="eastAsia" w:ascii="宋体" w:hAnsi="宋体"/>
          <w:color w:val="000000" w:themeColor="text1"/>
          <w:sz w:val="24"/>
        </w:rPr>
        <w:t xml:space="preserve"> 采购人是指国内采购产品的国家机关、企业、事业单位或其它组织。本项目采购人（详见《供应商须知前附表》）。</w:t>
      </w:r>
    </w:p>
    <w:p w14:paraId="0D93EFC4">
      <w:pPr>
        <w:spacing w:line="360" w:lineRule="auto"/>
        <w:ind w:firstLine="480"/>
        <w:rPr>
          <w:rFonts w:ascii="宋体" w:hAnsi="宋体"/>
          <w:color w:val="000000" w:themeColor="text1"/>
          <w:sz w:val="24"/>
        </w:rPr>
      </w:pPr>
      <w:r>
        <w:rPr>
          <w:rFonts w:ascii="宋体" w:hAnsi="宋体"/>
          <w:color w:val="000000" w:themeColor="text1"/>
          <w:sz w:val="24"/>
        </w:rPr>
        <w:t>1.2</w:t>
      </w:r>
      <w:r>
        <w:rPr>
          <w:rFonts w:hint="eastAsia" w:ascii="宋体" w:hAnsi="宋体"/>
          <w:color w:val="000000" w:themeColor="text1"/>
          <w:sz w:val="24"/>
        </w:rPr>
        <w:t xml:space="preserve"> 合格的供应商（详见《供应商须知前附表》）。</w:t>
      </w:r>
    </w:p>
    <w:p w14:paraId="7CB445DF">
      <w:pPr>
        <w:spacing w:line="360" w:lineRule="auto"/>
        <w:ind w:firstLine="48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费用</w:t>
      </w:r>
    </w:p>
    <w:p w14:paraId="4945833A">
      <w:pPr>
        <w:spacing w:line="360" w:lineRule="auto"/>
        <w:ind w:firstLine="480"/>
        <w:rPr>
          <w:rFonts w:ascii="宋体" w:hAnsi="宋体"/>
          <w:color w:val="000000" w:themeColor="text1"/>
          <w:sz w:val="24"/>
        </w:rPr>
      </w:pPr>
      <w:r>
        <w:rPr>
          <w:rFonts w:ascii="宋体" w:hAnsi="宋体"/>
          <w:color w:val="000000" w:themeColor="text1"/>
          <w:sz w:val="24"/>
        </w:rPr>
        <w:t xml:space="preserve">2.1  </w:t>
      </w:r>
      <w:r>
        <w:rPr>
          <w:rFonts w:hint="eastAsia" w:ascii="宋体" w:hAnsi="宋体"/>
          <w:color w:val="000000" w:themeColor="text1"/>
          <w:sz w:val="24"/>
        </w:rPr>
        <w:t>供应商应承担所有与准备和参加竞争有关的费用。不论结果如何，采购人均无义务和责任承担这些费用。</w:t>
      </w:r>
    </w:p>
    <w:p w14:paraId="62EB8806">
      <w:pPr>
        <w:spacing w:line="360" w:lineRule="auto"/>
        <w:ind w:firstLine="562"/>
        <w:rPr>
          <w:rFonts w:ascii="宋体" w:hAnsi="宋体"/>
          <w:b/>
          <w:color w:val="000000" w:themeColor="text1"/>
          <w:sz w:val="28"/>
          <w:szCs w:val="28"/>
        </w:rPr>
      </w:pPr>
      <w:r>
        <w:rPr>
          <w:rFonts w:hint="eastAsia" w:ascii="宋体" w:hAnsi="宋体"/>
          <w:b/>
          <w:color w:val="000000" w:themeColor="text1"/>
          <w:sz w:val="28"/>
          <w:szCs w:val="28"/>
        </w:rPr>
        <w:t>二、竞争性谈判文件</w:t>
      </w:r>
    </w:p>
    <w:p w14:paraId="26F8339D">
      <w:pPr>
        <w:spacing w:line="360" w:lineRule="auto"/>
        <w:ind w:firstLine="48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竞争性谈判文件构成</w:t>
      </w:r>
    </w:p>
    <w:p w14:paraId="3B3B7DE2">
      <w:pPr>
        <w:spacing w:line="360" w:lineRule="auto"/>
        <w:ind w:firstLine="480"/>
        <w:rPr>
          <w:rFonts w:ascii="宋体" w:hAnsi="宋体"/>
          <w:color w:val="000000" w:themeColor="text1"/>
          <w:sz w:val="24"/>
        </w:rPr>
      </w:pPr>
      <w:r>
        <w:rPr>
          <w:rFonts w:ascii="宋体" w:hAnsi="宋体"/>
          <w:color w:val="000000" w:themeColor="text1"/>
          <w:sz w:val="24"/>
        </w:rPr>
        <w:t xml:space="preserve">3.1 </w:t>
      </w:r>
      <w:r>
        <w:rPr>
          <w:rFonts w:hint="eastAsia" w:ascii="宋体" w:hAnsi="宋体"/>
          <w:color w:val="000000" w:themeColor="text1"/>
          <w:sz w:val="24"/>
        </w:rPr>
        <w:t>竞争性谈判文件共六章，内容如下：</w:t>
      </w:r>
    </w:p>
    <w:p w14:paraId="1B07D5FA">
      <w:pPr>
        <w:spacing w:line="360" w:lineRule="auto"/>
        <w:ind w:firstLine="480"/>
        <w:rPr>
          <w:rFonts w:ascii="宋体" w:hAnsi="宋体"/>
          <w:color w:val="000000" w:themeColor="text1"/>
          <w:sz w:val="24"/>
        </w:rPr>
      </w:pPr>
      <w:r>
        <w:rPr>
          <w:rFonts w:hint="eastAsia" w:ascii="宋体" w:hAnsi="宋体"/>
          <w:color w:val="000000" w:themeColor="text1"/>
          <w:sz w:val="24"/>
        </w:rPr>
        <w:t>第一章竞争性谈判</w:t>
      </w:r>
      <w:r>
        <w:rPr>
          <w:rFonts w:ascii="宋体" w:hAnsi="宋体"/>
          <w:color w:val="000000" w:themeColor="text1"/>
          <w:sz w:val="24"/>
        </w:rPr>
        <w:t>公告</w:t>
      </w:r>
    </w:p>
    <w:p w14:paraId="0D6FEB03">
      <w:pPr>
        <w:spacing w:line="360" w:lineRule="auto"/>
        <w:ind w:firstLine="480"/>
        <w:rPr>
          <w:rFonts w:ascii="宋体" w:hAnsi="宋体"/>
          <w:color w:val="000000" w:themeColor="text1"/>
          <w:sz w:val="24"/>
        </w:rPr>
      </w:pPr>
      <w:r>
        <w:rPr>
          <w:rFonts w:hint="eastAsia" w:ascii="宋体" w:hAnsi="宋体"/>
          <w:color w:val="000000" w:themeColor="text1"/>
          <w:sz w:val="24"/>
        </w:rPr>
        <w:t>第二章竞争性谈判须知</w:t>
      </w:r>
    </w:p>
    <w:p w14:paraId="4E21CCDF">
      <w:pPr>
        <w:spacing w:line="360" w:lineRule="auto"/>
        <w:ind w:firstLine="480"/>
        <w:rPr>
          <w:rFonts w:ascii="宋体" w:hAnsi="宋体"/>
          <w:color w:val="000000" w:themeColor="text1"/>
          <w:sz w:val="24"/>
        </w:rPr>
      </w:pPr>
      <w:r>
        <w:rPr>
          <w:rFonts w:hint="eastAsia" w:ascii="宋体" w:hAnsi="宋体"/>
          <w:color w:val="000000" w:themeColor="text1"/>
          <w:sz w:val="24"/>
        </w:rPr>
        <w:t>第三章评审办法</w:t>
      </w:r>
    </w:p>
    <w:p w14:paraId="4272C4C3">
      <w:pPr>
        <w:spacing w:line="360" w:lineRule="auto"/>
        <w:ind w:firstLine="480"/>
        <w:rPr>
          <w:rFonts w:ascii="宋体" w:hAnsi="宋体"/>
          <w:color w:val="000000" w:themeColor="text1"/>
          <w:sz w:val="24"/>
        </w:rPr>
      </w:pPr>
      <w:r>
        <w:rPr>
          <w:rFonts w:hint="eastAsia" w:ascii="宋体" w:hAnsi="宋体"/>
          <w:color w:val="000000" w:themeColor="text1"/>
          <w:sz w:val="24"/>
        </w:rPr>
        <w:t>第四章合同格式</w:t>
      </w:r>
    </w:p>
    <w:p w14:paraId="368FD9CC">
      <w:pPr>
        <w:spacing w:line="360" w:lineRule="auto"/>
        <w:ind w:firstLine="480"/>
        <w:rPr>
          <w:rFonts w:ascii="宋体" w:hAnsi="宋体"/>
          <w:color w:val="000000" w:themeColor="text1"/>
          <w:sz w:val="24"/>
        </w:rPr>
      </w:pPr>
      <w:r>
        <w:rPr>
          <w:rFonts w:hint="eastAsia" w:ascii="宋体" w:hAnsi="宋体"/>
          <w:color w:val="000000" w:themeColor="text1"/>
          <w:sz w:val="24"/>
        </w:rPr>
        <w:t>第五章技术需求书</w:t>
      </w:r>
    </w:p>
    <w:p w14:paraId="580359F2">
      <w:pPr>
        <w:spacing w:line="360" w:lineRule="auto"/>
        <w:ind w:firstLine="480"/>
        <w:rPr>
          <w:rFonts w:ascii="宋体" w:hAnsi="宋体"/>
          <w:color w:val="000000" w:themeColor="text1"/>
          <w:sz w:val="24"/>
        </w:rPr>
      </w:pPr>
      <w:r>
        <w:rPr>
          <w:rFonts w:hint="eastAsia" w:ascii="宋体" w:hAnsi="宋体"/>
          <w:color w:val="000000" w:themeColor="text1"/>
          <w:sz w:val="24"/>
        </w:rPr>
        <w:t>第六章竞争性谈判响应文件格式</w:t>
      </w:r>
    </w:p>
    <w:p w14:paraId="28359161">
      <w:pPr>
        <w:spacing w:line="360" w:lineRule="auto"/>
        <w:ind w:firstLine="480"/>
        <w:rPr>
          <w:rFonts w:ascii="宋体" w:hAnsi="宋体"/>
          <w:color w:val="000000" w:themeColor="text1"/>
          <w:sz w:val="24"/>
        </w:rPr>
      </w:pPr>
      <w:r>
        <w:rPr>
          <w:rFonts w:ascii="宋体" w:hAnsi="宋体"/>
          <w:color w:val="000000" w:themeColor="text1"/>
          <w:sz w:val="24"/>
        </w:rPr>
        <w:t xml:space="preserve">3.2 </w:t>
      </w:r>
      <w:r>
        <w:rPr>
          <w:rFonts w:hint="eastAsia" w:ascii="宋体" w:hAnsi="宋体"/>
          <w:color w:val="000000" w:themeColor="text1"/>
          <w:sz w:val="24"/>
        </w:rPr>
        <w:t>供应商应认真阅读竞争性谈判文件中所有的事项、格式、条款和技术规范等。供应商没有按照竞争性谈判文件要求提交全部资料，或者响应文件没有对竞争性谈判文件在各方面都作出实质性响应是供应商的风险，并可能导致其响应文件被拒绝。</w:t>
      </w:r>
    </w:p>
    <w:p w14:paraId="58DF920A">
      <w:pPr>
        <w:spacing w:line="360" w:lineRule="auto"/>
        <w:ind w:firstLine="48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竞争性谈判文件的澄清</w:t>
      </w:r>
    </w:p>
    <w:p w14:paraId="3BAC8D2F">
      <w:pPr>
        <w:spacing w:line="360" w:lineRule="auto"/>
        <w:ind w:firstLine="480"/>
        <w:rPr>
          <w:rFonts w:ascii="宋体" w:hAnsi="宋体"/>
          <w:color w:val="000000" w:themeColor="text1"/>
          <w:sz w:val="24"/>
        </w:rPr>
      </w:pPr>
      <w:r>
        <w:rPr>
          <w:rFonts w:ascii="宋体" w:hAnsi="宋体"/>
          <w:color w:val="000000" w:themeColor="text1"/>
          <w:sz w:val="24"/>
        </w:rPr>
        <w:t xml:space="preserve">4.1 </w:t>
      </w:r>
      <w:r>
        <w:rPr>
          <w:rFonts w:hint="eastAsia" w:ascii="宋体" w:hAnsi="宋体"/>
          <w:color w:val="000000" w:themeColor="text1"/>
          <w:sz w:val="24"/>
        </w:rPr>
        <w:t>任何要求对竞争性谈判文件进行澄清的供应商，均应按规定的递交响应文件截止期五（</w:t>
      </w:r>
      <w:r>
        <w:rPr>
          <w:rFonts w:ascii="宋体" w:hAnsi="宋体"/>
          <w:color w:val="000000" w:themeColor="text1"/>
          <w:sz w:val="24"/>
        </w:rPr>
        <w:t>5</w:t>
      </w:r>
      <w:r>
        <w:rPr>
          <w:rFonts w:hint="eastAsia" w:ascii="宋体" w:hAnsi="宋体"/>
          <w:color w:val="000000" w:themeColor="text1"/>
          <w:sz w:val="24"/>
        </w:rPr>
        <w:t>）天前以书面形式通知采购人。逾期的澄清要求将不被接受。</w:t>
      </w:r>
    </w:p>
    <w:p w14:paraId="7258576C">
      <w:pPr>
        <w:spacing w:line="360" w:lineRule="auto"/>
        <w:ind w:firstLine="480"/>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竞争性谈判文件的修改</w:t>
      </w:r>
    </w:p>
    <w:p w14:paraId="11C8E3EC">
      <w:pPr>
        <w:spacing w:line="360" w:lineRule="auto"/>
        <w:ind w:firstLine="480"/>
        <w:rPr>
          <w:rFonts w:ascii="宋体" w:hAnsi="宋体"/>
          <w:color w:val="000000" w:themeColor="text1"/>
          <w:sz w:val="24"/>
        </w:rPr>
      </w:pPr>
      <w:r>
        <w:rPr>
          <w:rFonts w:ascii="宋体" w:hAnsi="宋体"/>
          <w:color w:val="000000" w:themeColor="text1"/>
          <w:sz w:val="24"/>
        </w:rPr>
        <w:t>5.1</w:t>
      </w:r>
      <w:r>
        <w:rPr>
          <w:rFonts w:hint="eastAsia" w:ascii="宋体" w:hAnsi="宋体"/>
          <w:color w:val="000000" w:themeColor="text1"/>
          <w:sz w:val="24"/>
        </w:rPr>
        <w:t>为使供应商准备响应文件时有充分时间对竞争性谈判文件的修改部分进行研究，采购人可自行决定是否延长递交响应文件截止时间。</w:t>
      </w:r>
    </w:p>
    <w:p w14:paraId="4F64D8C4">
      <w:pPr>
        <w:spacing w:line="360" w:lineRule="auto"/>
        <w:ind w:firstLine="480"/>
        <w:rPr>
          <w:rFonts w:ascii="宋体" w:hAnsi="宋体"/>
          <w:color w:val="000000" w:themeColor="text1"/>
          <w:sz w:val="24"/>
        </w:rPr>
      </w:pPr>
      <w:r>
        <w:rPr>
          <w:rFonts w:ascii="宋体" w:hAnsi="宋体"/>
          <w:color w:val="000000" w:themeColor="text1"/>
          <w:sz w:val="24"/>
        </w:rPr>
        <w:t xml:space="preserve">5.2 </w:t>
      </w:r>
      <w:r>
        <w:rPr>
          <w:rFonts w:hint="eastAsia" w:ascii="宋体" w:hAnsi="宋体"/>
          <w:color w:val="000000" w:themeColor="text1"/>
          <w:sz w:val="24"/>
        </w:rPr>
        <w:t>在递交响应文件截止时间（包含延长了的递交响应文件截止时间）五（</w:t>
      </w:r>
      <w:r>
        <w:rPr>
          <w:rFonts w:ascii="宋体" w:hAnsi="宋体"/>
          <w:color w:val="000000" w:themeColor="text1"/>
          <w:sz w:val="24"/>
        </w:rPr>
        <w:t>5</w:t>
      </w:r>
      <w:r>
        <w:rPr>
          <w:rFonts w:hint="eastAsia" w:ascii="宋体" w:hAnsi="宋体"/>
          <w:color w:val="000000" w:themeColor="text1"/>
          <w:sz w:val="24"/>
        </w:rPr>
        <w:t>）天以前的任何时候，无论出于何种原因，采购人可主动地或在解答供应商提出的澄清问题时对竞争性谈判文件进行修改。</w:t>
      </w:r>
    </w:p>
    <w:p w14:paraId="5526C2CE">
      <w:pPr>
        <w:spacing w:line="360" w:lineRule="auto"/>
        <w:ind w:firstLine="480"/>
        <w:rPr>
          <w:rFonts w:ascii="宋体" w:hAnsi="宋体"/>
          <w:color w:val="000000" w:themeColor="text1"/>
          <w:sz w:val="24"/>
        </w:rPr>
      </w:pPr>
      <w:r>
        <w:rPr>
          <w:rFonts w:ascii="宋体" w:hAnsi="宋体"/>
          <w:color w:val="000000" w:themeColor="text1"/>
          <w:sz w:val="24"/>
        </w:rPr>
        <w:t xml:space="preserve">5.3 </w:t>
      </w:r>
      <w:r>
        <w:rPr>
          <w:rFonts w:hint="eastAsia" w:ascii="宋体" w:hAnsi="宋体"/>
          <w:color w:val="000000" w:themeColor="text1"/>
          <w:sz w:val="24"/>
        </w:rPr>
        <w:t>竞争性谈判文件的修改将以书面形式在递交响应文件截止时间（包含延长了的递交响应文件截止时间）五（</w:t>
      </w:r>
      <w:r>
        <w:rPr>
          <w:rFonts w:ascii="宋体" w:hAnsi="宋体"/>
          <w:color w:val="000000" w:themeColor="text1"/>
          <w:sz w:val="24"/>
        </w:rPr>
        <w:t>5</w:t>
      </w:r>
      <w:r>
        <w:rPr>
          <w:rFonts w:hint="eastAsia" w:ascii="宋体" w:hAnsi="宋体"/>
          <w:color w:val="000000" w:themeColor="text1"/>
          <w:sz w:val="24"/>
        </w:rPr>
        <w:t>）天前通知参与竞争性谈判的供应商，并对其具有约束力。供应商在收到上述通知后，应立即向采购人回函确认已收到上述通知，但是供应商的回函不作为其收到上述通知的唯一证据。</w:t>
      </w:r>
    </w:p>
    <w:p w14:paraId="28472C40">
      <w:pPr>
        <w:spacing w:line="360" w:lineRule="auto"/>
        <w:ind w:firstLine="562"/>
        <w:rPr>
          <w:rFonts w:ascii="宋体" w:hAnsi="宋体"/>
          <w:b/>
          <w:color w:val="000000" w:themeColor="text1"/>
          <w:sz w:val="28"/>
          <w:szCs w:val="28"/>
        </w:rPr>
      </w:pPr>
      <w:r>
        <w:rPr>
          <w:rFonts w:hint="eastAsia" w:ascii="宋体" w:hAnsi="宋体"/>
          <w:b/>
          <w:color w:val="000000" w:themeColor="text1"/>
          <w:sz w:val="28"/>
          <w:szCs w:val="28"/>
        </w:rPr>
        <w:t>三、响应文件的编制</w:t>
      </w:r>
    </w:p>
    <w:p w14:paraId="0F0E5B55">
      <w:pPr>
        <w:spacing w:line="360" w:lineRule="auto"/>
        <w:ind w:firstLine="480"/>
        <w:rPr>
          <w:rFonts w:ascii="宋体" w:hAnsi="宋体"/>
          <w:color w:val="000000" w:themeColor="text1"/>
          <w:sz w:val="24"/>
        </w:rPr>
      </w:pPr>
      <w:r>
        <w:rPr>
          <w:rFonts w:ascii="宋体" w:hAnsi="宋体"/>
          <w:color w:val="000000" w:themeColor="text1"/>
          <w:sz w:val="24"/>
        </w:rPr>
        <w:t>6.</w:t>
      </w:r>
      <w:r>
        <w:rPr>
          <w:rFonts w:hint="eastAsia" w:ascii="宋体" w:hAnsi="宋体"/>
          <w:color w:val="000000" w:themeColor="text1"/>
          <w:sz w:val="24"/>
        </w:rPr>
        <w:t>响应文件的语言</w:t>
      </w:r>
    </w:p>
    <w:p w14:paraId="713FB36E">
      <w:pPr>
        <w:spacing w:line="360" w:lineRule="auto"/>
        <w:ind w:firstLine="480"/>
        <w:rPr>
          <w:rFonts w:ascii="宋体" w:hAnsi="宋体"/>
          <w:color w:val="000000" w:themeColor="text1"/>
          <w:sz w:val="24"/>
        </w:rPr>
      </w:pPr>
      <w:r>
        <w:rPr>
          <w:rFonts w:ascii="宋体" w:hAnsi="宋体"/>
          <w:color w:val="000000" w:themeColor="text1"/>
          <w:sz w:val="24"/>
        </w:rPr>
        <w:t xml:space="preserve">6.1 </w:t>
      </w:r>
      <w:r>
        <w:rPr>
          <w:rFonts w:hint="eastAsia" w:ascii="宋体" w:hAnsi="宋体"/>
          <w:color w:val="000000" w:themeColor="text1"/>
          <w:sz w:val="24"/>
        </w:rPr>
        <w:t>供应商提交的响应文件以及供应商与采购人就有关响应文件的所有来往函电均应使用中文书写。供应商提交的支持文件和印制的文献可以用另一种语言，但相应内容应附有中文的翻译本，在解释响应文件时以中文翻译本为准。</w:t>
      </w:r>
    </w:p>
    <w:p w14:paraId="5E928965">
      <w:pPr>
        <w:spacing w:line="360" w:lineRule="auto"/>
        <w:ind w:firstLine="480"/>
        <w:rPr>
          <w:rFonts w:ascii="宋体" w:hAnsi="宋体"/>
          <w:color w:val="000000" w:themeColor="text1"/>
          <w:sz w:val="24"/>
        </w:rPr>
      </w:pPr>
      <w:r>
        <w:rPr>
          <w:rFonts w:ascii="宋体" w:hAnsi="宋体"/>
          <w:color w:val="000000" w:themeColor="text1"/>
          <w:sz w:val="24"/>
        </w:rPr>
        <w:t>7.</w:t>
      </w:r>
      <w:r>
        <w:rPr>
          <w:rFonts w:hint="eastAsia" w:ascii="宋体" w:hAnsi="宋体"/>
          <w:color w:val="000000" w:themeColor="text1"/>
          <w:sz w:val="24"/>
        </w:rPr>
        <w:t>响应文件构成</w:t>
      </w:r>
    </w:p>
    <w:p w14:paraId="60007B18">
      <w:pPr>
        <w:spacing w:line="360" w:lineRule="auto"/>
        <w:ind w:firstLine="480"/>
        <w:rPr>
          <w:rFonts w:ascii="宋体" w:hAnsi="宋体"/>
          <w:color w:val="000000" w:themeColor="text1"/>
          <w:sz w:val="24"/>
        </w:rPr>
      </w:pPr>
      <w:r>
        <w:rPr>
          <w:rFonts w:ascii="宋体" w:hAnsi="宋体"/>
          <w:color w:val="000000" w:themeColor="text1"/>
          <w:sz w:val="24"/>
        </w:rPr>
        <w:t xml:space="preserve">7.1 </w:t>
      </w:r>
      <w:r>
        <w:rPr>
          <w:rFonts w:hint="eastAsia" w:ascii="宋体" w:hAnsi="宋体"/>
          <w:color w:val="000000" w:themeColor="text1"/>
          <w:sz w:val="24"/>
        </w:rPr>
        <w:t>供应商应按下列响应文件格式要求组成响应文件（对以下所要求的响应文件如有任何一项未实质性响应，将可能导致其响应文件被拒绝）：响应文件基本文件；供应商资格证明文件，证明供应商是合格的和有能力履行合同的文件；证明供应商提供的产品及</w:t>
      </w:r>
      <w:r>
        <w:rPr>
          <w:rFonts w:ascii="宋体" w:hAnsi="宋体"/>
          <w:color w:val="000000" w:themeColor="text1"/>
          <w:sz w:val="24"/>
        </w:rPr>
        <w:t>/</w:t>
      </w:r>
      <w:r>
        <w:rPr>
          <w:rFonts w:hint="eastAsia" w:ascii="宋体" w:hAnsi="宋体"/>
          <w:color w:val="000000" w:themeColor="text1"/>
          <w:sz w:val="24"/>
        </w:rPr>
        <w:t>或服务的合格性和符合竞争性谈判文件规定的文件；竞争性谈判文件要求的其它文件；供应商认为其它需提供的文件。</w:t>
      </w:r>
    </w:p>
    <w:p w14:paraId="203E7513">
      <w:pPr>
        <w:spacing w:line="360" w:lineRule="auto"/>
        <w:ind w:firstLine="48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）响应文件基本文件</w:t>
      </w:r>
    </w:p>
    <w:p w14:paraId="4A3EEB21">
      <w:pPr>
        <w:spacing w:line="360" w:lineRule="auto"/>
        <w:ind w:firstLine="480"/>
        <w:rPr>
          <w:rFonts w:ascii="宋体" w:hAnsi="宋体"/>
          <w:color w:val="000000" w:themeColor="text1"/>
          <w:sz w:val="24"/>
        </w:rPr>
      </w:pPr>
      <w:r>
        <w:rPr>
          <w:rFonts w:hint="eastAsia" w:ascii="宋体" w:hAnsi="宋体"/>
          <w:color w:val="000000" w:themeColor="text1"/>
          <w:sz w:val="24"/>
        </w:rPr>
        <w:t>项目方案</w:t>
      </w:r>
    </w:p>
    <w:p w14:paraId="6073F2E6">
      <w:pPr>
        <w:spacing w:line="360" w:lineRule="auto"/>
        <w:ind w:firstLine="480"/>
        <w:rPr>
          <w:rFonts w:ascii="宋体" w:hAnsi="宋体"/>
          <w:color w:val="000000" w:themeColor="text1"/>
          <w:sz w:val="24"/>
        </w:rPr>
      </w:pPr>
      <w:r>
        <w:rPr>
          <w:rFonts w:hint="eastAsia" w:ascii="宋体" w:hAnsi="宋体"/>
          <w:color w:val="000000" w:themeColor="text1"/>
          <w:sz w:val="24"/>
        </w:rPr>
        <w:t>响应函（格式见附件）</w:t>
      </w:r>
    </w:p>
    <w:p w14:paraId="5F5F0BA1">
      <w:pPr>
        <w:spacing w:line="360" w:lineRule="auto"/>
        <w:ind w:firstLine="480"/>
        <w:rPr>
          <w:rFonts w:ascii="宋体" w:hAnsi="宋体"/>
          <w:color w:val="000000" w:themeColor="text1"/>
          <w:sz w:val="24"/>
        </w:rPr>
      </w:pPr>
      <w:r>
        <w:rPr>
          <w:rFonts w:hint="eastAsia" w:ascii="宋体" w:hAnsi="宋体"/>
          <w:color w:val="000000" w:themeColor="text1"/>
          <w:sz w:val="24"/>
        </w:rPr>
        <w:t>报价表（格式见附件）</w:t>
      </w:r>
    </w:p>
    <w:p w14:paraId="75559D89">
      <w:pPr>
        <w:spacing w:line="360" w:lineRule="auto"/>
        <w:ind w:firstLine="48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）供应商提交的证明其合格且中选后有能力履行合同的资格证明文件（详见《竞争性谈判公告》）以及供应商认为需提供的其它文件和证书</w:t>
      </w:r>
    </w:p>
    <w:p w14:paraId="1233AB11">
      <w:pPr>
        <w:spacing w:line="360" w:lineRule="auto"/>
        <w:ind w:firstLine="480"/>
        <w:rPr>
          <w:rFonts w:ascii="宋体" w:hAnsi="宋体"/>
          <w:color w:val="000000" w:themeColor="text1"/>
          <w:sz w:val="24"/>
        </w:rPr>
      </w:pPr>
      <w:r>
        <w:rPr>
          <w:rFonts w:ascii="宋体" w:hAnsi="宋体"/>
          <w:color w:val="000000" w:themeColor="text1"/>
          <w:sz w:val="24"/>
        </w:rPr>
        <w:t>3</w:t>
      </w:r>
      <w:r>
        <w:rPr>
          <w:rFonts w:hint="eastAsia" w:ascii="宋体" w:hAnsi="宋体"/>
          <w:color w:val="000000" w:themeColor="text1"/>
          <w:sz w:val="24"/>
        </w:rPr>
        <w:t>）证明供应商所提供的产品及</w:t>
      </w:r>
      <w:r>
        <w:rPr>
          <w:rFonts w:ascii="宋体" w:hAnsi="宋体"/>
          <w:color w:val="000000" w:themeColor="text1"/>
          <w:sz w:val="24"/>
        </w:rPr>
        <w:t>/</w:t>
      </w:r>
      <w:r>
        <w:rPr>
          <w:rFonts w:hint="eastAsia" w:ascii="宋体" w:hAnsi="宋体"/>
          <w:color w:val="000000" w:themeColor="text1"/>
          <w:sz w:val="24"/>
        </w:rPr>
        <w:t>或服务的合格性和符合竞争性谈判文件规定的文件，包括但不限于：对竞争性谈判文件第五章《技术需求书》的逐项应答，对于某项指标的数据存在证明文件内容不一致的情况，取指标较低的为准。（详见第五章《技术需求书》）</w:t>
      </w:r>
    </w:p>
    <w:p w14:paraId="2895FF32">
      <w:pPr>
        <w:spacing w:line="360" w:lineRule="auto"/>
        <w:ind w:firstLine="480"/>
        <w:rPr>
          <w:rFonts w:ascii="宋体" w:hAnsi="宋体"/>
          <w:color w:val="000000" w:themeColor="text1"/>
          <w:sz w:val="24"/>
        </w:rPr>
      </w:pPr>
      <w:r>
        <w:rPr>
          <w:rFonts w:ascii="宋体" w:hAnsi="宋体"/>
          <w:color w:val="000000" w:themeColor="text1"/>
          <w:sz w:val="24"/>
        </w:rPr>
        <w:t>4</w:t>
      </w:r>
      <w:r>
        <w:rPr>
          <w:rFonts w:hint="eastAsia" w:ascii="宋体" w:hAnsi="宋体"/>
          <w:color w:val="000000" w:themeColor="text1"/>
          <w:sz w:val="24"/>
        </w:rPr>
        <w:t>）竞争性谈判文件要求的其它内容和文件</w:t>
      </w:r>
    </w:p>
    <w:p w14:paraId="082FB4FE">
      <w:pPr>
        <w:spacing w:line="360" w:lineRule="auto"/>
        <w:ind w:firstLine="480"/>
        <w:rPr>
          <w:rFonts w:ascii="宋体" w:hAnsi="宋体"/>
          <w:color w:val="000000" w:themeColor="text1"/>
          <w:sz w:val="24"/>
        </w:rPr>
      </w:pPr>
      <w:r>
        <w:rPr>
          <w:rFonts w:ascii="宋体" w:hAnsi="宋体"/>
          <w:color w:val="000000" w:themeColor="text1"/>
          <w:sz w:val="24"/>
        </w:rPr>
        <w:t>5</w:t>
      </w:r>
      <w:r>
        <w:rPr>
          <w:rFonts w:hint="eastAsia" w:ascii="宋体" w:hAnsi="宋体"/>
          <w:color w:val="000000" w:themeColor="text1"/>
          <w:sz w:val="24"/>
        </w:rPr>
        <w:t>）供应商认为其它需提供的文件或证书</w:t>
      </w:r>
    </w:p>
    <w:p w14:paraId="41B10457">
      <w:pPr>
        <w:spacing w:line="360" w:lineRule="auto"/>
        <w:ind w:firstLine="480"/>
        <w:rPr>
          <w:rFonts w:ascii="宋体" w:hAnsi="宋体"/>
          <w:color w:val="000000" w:themeColor="text1"/>
          <w:sz w:val="24"/>
        </w:rPr>
      </w:pPr>
      <w:r>
        <w:rPr>
          <w:rFonts w:ascii="宋体" w:hAnsi="宋体"/>
          <w:color w:val="000000" w:themeColor="text1"/>
          <w:sz w:val="24"/>
        </w:rPr>
        <w:t>6）合同文本的提供（详见《供应商须知前附表》）</w:t>
      </w:r>
    </w:p>
    <w:p w14:paraId="1F2F6A68">
      <w:pPr>
        <w:spacing w:line="360" w:lineRule="auto"/>
        <w:ind w:firstLine="480"/>
        <w:rPr>
          <w:rFonts w:ascii="宋体" w:hAnsi="宋体"/>
          <w:color w:val="000000" w:themeColor="text1"/>
          <w:sz w:val="24"/>
        </w:rPr>
      </w:pPr>
      <w:r>
        <w:rPr>
          <w:rFonts w:ascii="宋体" w:hAnsi="宋体"/>
          <w:color w:val="000000" w:themeColor="text1"/>
          <w:sz w:val="24"/>
        </w:rPr>
        <w:t xml:space="preserve">7.2 </w:t>
      </w:r>
      <w:r>
        <w:rPr>
          <w:rFonts w:hint="eastAsia" w:ascii="宋体" w:hAnsi="宋体"/>
          <w:color w:val="000000" w:themeColor="text1"/>
          <w:sz w:val="24"/>
        </w:rPr>
        <w:t>供应商提供的以上材料必须真实有效，任何一项的虚假将导致其响应文件被拒绝。</w:t>
      </w:r>
    </w:p>
    <w:p w14:paraId="0FEF83A3">
      <w:pPr>
        <w:spacing w:line="360" w:lineRule="auto"/>
        <w:ind w:firstLine="480"/>
        <w:rPr>
          <w:rFonts w:ascii="宋体" w:hAnsi="宋体"/>
          <w:color w:val="000000" w:themeColor="text1"/>
          <w:sz w:val="24"/>
        </w:rPr>
      </w:pPr>
      <w:r>
        <w:rPr>
          <w:rFonts w:ascii="宋体" w:hAnsi="宋体"/>
          <w:color w:val="000000" w:themeColor="text1"/>
          <w:sz w:val="24"/>
        </w:rPr>
        <w:t>8.</w:t>
      </w:r>
      <w:r>
        <w:rPr>
          <w:rFonts w:hint="eastAsia" w:ascii="宋体" w:hAnsi="宋体"/>
          <w:color w:val="000000" w:themeColor="text1"/>
          <w:sz w:val="24"/>
        </w:rPr>
        <w:t>响应文件的式样和签署（详见《供应商须知前附表》）</w:t>
      </w:r>
    </w:p>
    <w:p w14:paraId="0D37B9DE">
      <w:pPr>
        <w:spacing w:line="360" w:lineRule="auto"/>
        <w:ind w:firstLine="480"/>
        <w:rPr>
          <w:rFonts w:ascii="宋体" w:hAnsi="宋体"/>
          <w:color w:val="000000" w:themeColor="text1"/>
          <w:sz w:val="24"/>
        </w:rPr>
      </w:pPr>
      <w:r>
        <w:rPr>
          <w:rFonts w:ascii="宋体" w:hAnsi="宋体"/>
          <w:color w:val="000000" w:themeColor="text1"/>
          <w:sz w:val="24"/>
        </w:rPr>
        <w:t xml:space="preserve">8.1 </w:t>
      </w:r>
      <w:r>
        <w:rPr>
          <w:rFonts w:hint="eastAsia" w:ascii="宋体" w:hAnsi="宋体"/>
          <w:color w:val="000000" w:themeColor="text1"/>
          <w:sz w:val="24"/>
        </w:rPr>
        <w:t>响应文件一式3份（</w:t>
      </w:r>
      <w:r>
        <w:rPr>
          <w:rFonts w:ascii="宋体" w:hAnsi="宋体"/>
          <w:color w:val="000000" w:themeColor="text1"/>
          <w:sz w:val="24"/>
        </w:rPr>
        <w:t xml:space="preserve">1 </w:t>
      </w:r>
      <w:r>
        <w:rPr>
          <w:rFonts w:hint="eastAsia" w:ascii="宋体" w:hAnsi="宋体"/>
          <w:color w:val="000000" w:themeColor="text1"/>
          <w:sz w:val="24"/>
        </w:rPr>
        <w:t>份正本、2份副本），电子版本一份。响应文件用中文编写，</w:t>
      </w:r>
      <w:r>
        <w:rPr>
          <w:rFonts w:ascii="宋体" w:hAnsi="宋体"/>
          <w:color w:val="000000" w:themeColor="text1"/>
          <w:sz w:val="24"/>
        </w:rPr>
        <w:t>A4</w:t>
      </w:r>
      <w:r>
        <w:rPr>
          <w:rFonts w:hint="eastAsia" w:ascii="宋体" w:hAnsi="宋体"/>
          <w:color w:val="000000" w:themeColor="text1"/>
          <w:sz w:val="24"/>
        </w:rPr>
        <w:t>纸胶装。其中正本必须注明“正本”字样，正、副本及电子版本内容必须保持一致，副本可以用复印件。若正本和副本或电子版本不符，以正本为准。</w:t>
      </w:r>
    </w:p>
    <w:p w14:paraId="71E07E86">
      <w:pPr>
        <w:spacing w:line="360" w:lineRule="auto"/>
        <w:ind w:firstLine="480"/>
        <w:rPr>
          <w:rFonts w:ascii="宋体" w:hAnsi="宋体"/>
          <w:color w:val="000000" w:themeColor="text1"/>
          <w:sz w:val="24"/>
        </w:rPr>
      </w:pPr>
      <w:r>
        <w:rPr>
          <w:rFonts w:ascii="宋体" w:hAnsi="宋体"/>
          <w:color w:val="000000" w:themeColor="text1"/>
          <w:sz w:val="24"/>
        </w:rPr>
        <w:t xml:space="preserve">8.2 </w:t>
      </w:r>
      <w:r>
        <w:rPr>
          <w:rFonts w:hint="eastAsia" w:ascii="宋体" w:hAnsi="宋体"/>
          <w:color w:val="000000" w:themeColor="text1"/>
          <w:sz w:val="24"/>
        </w:rPr>
        <w:t>响应文件需由供应商法定代表人或经法定代表人正式授权并对供应商有约束力的代表在响应文件上签字。响应文件如是授权代表签字，须将“法定代表人授权书”附在响应文件中。响应文件无法定代表人签字，或签字无法定代表人有效授权，响应文件将被拒绝。</w:t>
      </w:r>
    </w:p>
    <w:p w14:paraId="6A20DBA7">
      <w:pPr>
        <w:spacing w:line="360" w:lineRule="auto"/>
        <w:ind w:firstLine="480"/>
        <w:rPr>
          <w:rFonts w:ascii="宋体" w:hAnsi="宋体"/>
          <w:color w:val="000000" w:themeColor="text1"/>
          <w:sz w:val="24"/>
        </w:rPr>
      </w:pPr>
      <w:r>
        <w:rPr>
          <w:rFonts w:ascii="宋体" w:hAnsi="宋体"/>
          <w:color w:val="000000" w:themeColor="text1"/>
          <w:sz w:val="24"/>
        </w:rPr>
        <w:t xml:space="preserve">8.3 </w:t>
      </w:r>
      <w:r>
        <w:rPr>
          <w:rFonts w:hint="eastAsia" w:ascii="宋体" w:hAnsi="宋体"/>
          <w:color w:val="000000" w:themeColor="text1"/>
          <w:sz w:val="24"/>
        </w:rPr>
        <w:t>如供应商对竞争性谈判文件个别内容不能接受，应在响应文件中另做声明，否则将视为供应商接受竞争性谈判文件全部内容。</w:t>
      </w:r>
    </w:p>
    <w:p w14:paraId="3FC575D3">
      <w:pPr>
        <w:spacing w:line="360" w:lineRule="auto"/>
        <w:ind w:firstLine="480"/>
        <w:rPr>
          <w:rFonts w:ascii="宋体" w:hAnsi="宋体"/>
          <w:color w:val="000000" w:themeColor="text1"/>
          <w:sz w:val="24"/>
        </w:rPr>
      </w:pPr>
      <w:r>
        <w:rPr>
          <w:rFonts w:ascii="宋体" w:hAnsi="宋体"/>
          <w:color w:val="000000" w:themeColor="text1"/>
          <w:sz w:val="24"/>
        </w:rPr>
        <w:t xml:space="preserve">8.4 </w:t>
      </w:r>
      <w:r>
        <w:rPr>
          <w:rFonts w:hint="eastAsia" w:ascii="宋体" w:hAnsi="宋体"/>
          <w:color w:val="000000" w:themeColor="text1"/>
          <w:sz w:val="24"/>
        </w:rPr>
        <w:t>任何对响应文件行间插字、涂改和增删，必须由响应文件签字人签字或盖章后才有效。</w:t>
      </w:r>
    </w:p>
    <w:p w14:paraId="4F1F1F63">
      <w:pPr>
        <w:spacing w:line="360" w:lineRule="auto"/>
        <w:ind w:firstLine="480"/>
        <w:rPr>
          <w:rFonts w:ascii="宋体" w:hAnsi="宋体"/>
          <w:color w:val="000000" w:themeColor="text1"/>
          <w:sz w:val="24"/>
        </w:rPr>
      </w:pPr>
      <w:r>
        <w:rPr>
          <w:rFonts w:ascii="宋体" w:hAnsi="宋体"/>
          <w:color w:val="000000" w:themeColor="text1"/>
          <w:sz w:val="24"/>
        </w:rPr>
        <w:t xml:space="preserve">8.5 </w:t>
      </w:r>
      <w:r>
        <w:rPr>
          <w:rFonts w:hint="eastAsia" w:ascii="宋体" w:hAnsi="宋体"/>
          <w:color w:val="000000" w:themeColor="text1"/>
          <w:sz w:val="24"/>
        </w:rPr>
        <w:t>响应文件因字迹潦草或表达不清所引起的后果由供应商负责。</w:t>
      </w:r>
    </w:p>
    <w:p w14:paraId="78AB7599">
      <w:pPr>
        <w:spacing w:line="360" w:lineRule="auto"/>
        <w:ind w:firstLine="480"/>
        <w:rPr>
          <w:rFonts w:ascii="宋体" w:hAnsi="宋体"/>
          <w:color w:val="000000" w:themeColor="text1"/>
          <w:sz w:val="24"/>
        </w:rPr>
      </w:pPr>
      <w:r>
        <w:rPr>
          <w:rFonts w:ascii="宋体" w:hAnsi="宋体"/>
          <w:color w:val="000000" w:themeColor="text1"/>
          <w:sz w:val="24"/>
        </w:rPr>
        <w:t>9.</w:t>
      </w:r>
      <w:r>
        <w:rPr>
          <w:rFonts w:hint="eastAsia" w:ascii="宋体" w:hAnsi="宋体"/>
          <w:color w:val="000000" w:themeColor="text1"/>
          <w:sz w:val="24"/>
        </w:rPr>
        <w:t>报价</w:t>
      </w:r>
    </w:p>
    <w:p w14:paraId="43485796">
      <w:pPr>
        <w:spacing w:line="360" w:lineRule="auto"/>
        <w:ind w:firstLine="480"/>
        <w:rPr>
          <w:rFonts w:ascii="宋体" w:hAnsi="宋体"/>
          <w:color w:val="000000" w:themeColor="text1"/>
          <w:sz w:val="24"/>
        </w:rPr>
      </w:pPr>
      <w:r>
        <w:rPr>
          <w:rFonts w:ascii="宋体" w:hAnsi="宋体"/>
          <w:color w:val="000000" w:themeColor="text1"/>
          <w:sz w:val="24"/>
        </w:rPr>
        <w:t xml:space="preserve">9.1 </w:t>
      </w:r>
      <w:r>
        <w:rPr>
          <w:rFonts w:hint="eastAsia" w:ascii="宋体" w:hAnsi="宋体"/>
          <w:color w:val="000000" w:themeColor="text1"/>
          <w:sz w:val="24"/>
        </w:rPr>
        <w:t>报价：人民币报价。供应商应按照竞争性谈判文件要求，在响应文件中报出本项目包含的所有产品和服务的报价（格式见附件）。</w:t>
      </w:r>
    </w:p>
    <w:p w14:paraId="3FDDB5DF">
      <w:pPr>
        <w:spacing w:line="360" w:lineRule="auto"/>
        <w:ind w:firstLine="480"/>
        <w:rPr>
          <w:rFonts w:ascii="宋体" w:hAnsi="宋体"/>
          <w:color w:val="000000" w:themeColor="text1"/>
          <w:sz w:val="24"/>
        </w:rPr>
      </w:pPr>
      <w:r>
        <w:rPr>
          <w:rFonts w:ascii="宋体" w:hAnsi="宋体"/>
          <w:color w:val="000000" w:themeColor="text1"/>
          <w:sz w:val="24"/>
        </w:rPr>
        <w:t xml:space="preserve">9.2 </w:t>
      </w:r>
      <w:r>
        <w:rPr>
          <w:rFonts w:hint="eastAsia" w:ascii="宋体" w:hAnsi="宋体"/>
          <w:color w:val="000000" w:themeColor="text1"/>
          <w:sz w:val="24"/>
        </w:rPr>
        <w:t>供应商的报价包括供应商为完成采购人的项目建设所发生的一切费用（包括全部产品及相关服务）且已包括与所报产品</w:t>
      </w:r>
      <w:r>
        <w:rPr>
          <w:rFonts w:ascii="宋体" w:hAnsi="宋体"/>
          <w:color w:val="000000" w:themeColor="text1"/>
          <w:sz w:val="24"/>
        </w:rPr>
        <w:t>/</w:t>
      </w:r>
      <w:r>
        <w:rPr>
          <w:rFonts w:hint="eastAsia" w:ascii="宋体" w:hAnsi="宋体"/>
          <w:color w:val="000000" w:themeColor="text1"/>
          <w:sz w:val="24"/>
        </w:rPr>
        <w:t>服务相关的所有税费。供应商估算错误或漏项的风险一律由供应商承担。</w:t>
      </w:r>
    </w:p>
    <w:p w14:paraId="677B059C">
      <w:pPr>
        <w:spacing w:line="360" w:lineRule="auto"/>
        <w:ind w:firstLine="480"/>
        <w:rPr>
          <w:rFonts w:ascii="宋体" w:hAnsi="宋体"/>
          <w:color w:val="000000" w:themeColor="text1"/>
          <w:sz w:val="24"/>
        </w:rPr>
      </w:pPr>
      <w:r>
        <w:rPr>
          <w:rFonts w:ascii="宋体" w:hAnsi="宋体"/>
          <w:color w:val="000000" w:themeColor="text1"/>
          <w:sz w:val="24"/>
        </w:rPr>
        <w:t xml:space="preserve">9.3 </w:t>
      </w:r>
      <w:r>
        <w:rPr>
          <w:rFonts w:hint="eastAsia" w:ascii="宋体" w:hAnsi="宋体"/>
          <w:color w:val="000000" w:themeColor="text1"/>
          <w:sz w:val="24"/>
        </w:rPr>
        <w:t>中选的价格在合同执行过程中是固定不变的，未经采购人许可不得以任何理由予以变更。以可调整或可选择的价格提交的响应文件将作为非响应性文件而予以拒绝。</w:t>
      </w:r>
    </w:p>
    <w:p w14:paraId="77ACEFD9">
      <w:pPr>
        <w:spacing w:line="360" w:lineRule="auto"/>
        <w:ind w:firstLine="480"/>
        <w:rPr>
          <w:rFonts w:ascii="宋体" w:hAnsi="宋体"/>
          <w:color w:val="000000" w:themeColor="text1"/>
          <w:sz w:val="24"/>
        </w:rPr>
      </w:pPr>
      <w:r>
        <w:rPr>
          <w:rFonts w:ascii="宋体" w:hAnsi="宋体"/>
          <w:color w:val="000000" w:themeColor="text1"/>
          <w:sz w:val="24"/>
        </w:rPr>
        <w:t xml:space="preserve">9.4 </w:t>
      </w:r>
      <w:r>
        <w:rPr>
          <w:rFonts w:hint="eastAsia" w:ascii="宋体" w:hAnsi="宋体"/>
          <w:color w:val="000000" w:themeColor="text1"/>
          <w:sz w:val="24"/>
        </w:rPr>
        <w:t>供应商根据本须知规定将报价分成几部分并按附件格式填写分项报价表，是为了方便采购人对响应文件进行比较，并不限制采购人以上述任何条件订立合同的权利。</w:t>
      </w:r>
    </w:p>
    <w:p w14:paraId="7618DA41">
      <w:pPr>
        <w:spacing w:line="360" w:lineRule="auto"/>
        <w:ind w:firstLine="480"/>
        <w:rPr>
          <w:rFonts w:ascii="宋体" w:hAnsi="宋体"/>
          <w:color w:val="000000" w:themeColor="text1"/>
          <w:sz w:val="24"/>
        </w:rPr>
      </w:pPr>
      <w:r>
        <w:rPr>
          <w:rFonts w:ascii="宋体" w:hAnsi="宋体"/>
          <w:color w:val="000000" w:themeColor="text1"/>
          <w:sz w:val="24"/>
        </w:rPr>
        <w:t>10. 响应有效期（详见《供应商须知前附表》）</w:t>
      </w:r>
    </w:p>
    <w:p w14:paraId="73F31315">
      <w:pPr>
        <w:spacing w:line="360" w:lineRule="auto"/>
        <w:ind w:firstLine="480"/>
        <w:rPr>
          <w:rFonts w:ascii="宋体" w:hAnsi="宋体"/>
          <w:color w:val="000000" w:themeColor="text1"/>
          <w:sz w:val="24"/>
        </w:rPr>
      </w:pPr>
      <w:r>
        <w:rPr>
          <w:rFonts w:ascii="宋体" w:hAnsi="宋体"/>
          <w:color w:val="000000" w:themeColor="text1"/>
          <w:sz w:val="24"/>
        </w:rPr>
        <w:t>10.1</w:t>
      </w:r>
      <w:r>
        <w:rPr>
          <w:rFonts w:hint="eastAsia" w:ascii="宋体" w:hAnsi="宋体"/>
          <w:color w:val="000000" w:themeColor="text1"/>
          <w:sz w:val="24"/>
        </w:rPr>
        <w:t>供应商递交的响应文件应在规定的递交响应文件截止日后的</w:t>
      </w:r>
      <w:r>
        <w:rPr>
          <w:rFonts w:ascii="宋体" w:hAnsi="宋体"/>
          <w:color w:val="000000" w:themeColor="text1"/>
          <w:sz w:val="24"/>
        </w:rPr>
        <w:t>90</w:t>
      </w:r>
      <w:r>
        <w:rPr>
          <w:rFonts w:hint="eastAsia" w:ascii="宋体" w:hAnsi="宋体"/>
          <w:color w:val="000000" w:themeColor="text1"/>
          <w:sz w:val="24"/>
        </w:rPr>
        <w:t>天内保持有效。有效期不满足要求的响应文件将被视为非响应性文件而予以拒绝。</w:t>
      </w:r>
    </w:p>
    <w:p w14:paraId="31AB9118">
      <w:pPr>
        <w:spacing w:line="360" w:lineRule="auto"/>
        <w:ind w:firstLine="480"/>
        <w:rPr>
          <w:rFonts w:ascii="宋体" w:hAnsi="宋体"/>
          <w:color w:val="000000" w:themeColor="text1"/>
          <w:sz w:val="24"/>
        </w:rPr>
      </w:pPr>
      <w:r>
        <w:rPr>
          <w:rFonts w:ascii="宋体" w:hAnsi="宋体"/>
          <w:color w:val="000000" w:themeColor="text1"/>
          <w:sz w:val="24"/>
        </w:rPr>
        <w:t xml:space="preserve">10.2 </w:t>
      </w:r>
      <w:r>
        <w:rPr>
          <w:rFonts w:hint="eastAsia" w:ascii="宋体" w:hAnsi="宋体"/>
          <w:color w:val="000000" w:themeColor="text1"/>
          <w:sz w:val="24"/>
        </w:rPr>
        <w:t>特殊情况下，在原响应有效期截止之前，采购人可要求供应商同意延长响应有效期。这种要求与答复均应以书面形式提交。供应商可拒绝采购人的这种要求。接受延长响应有效期的供应商将不会被要求和允许修正其响应文件。</w:t>
      </w:r>
    </w:p>
    <w:p w14:paraId="11A43077">
      <w:pPr>
        <w:spacing w:line="360" w:lineRule="auto"/>
        <w:ind w:firstLine="562"/>
        <w:rPr>
          <w:rFonts w:ascii="宋体" w:hAnsi="宋体"/>
          <w:b/>
          <w:color w:val="000000" w:themeColor="text1"/>
          <w:sz w:val="28"/>
          <w:szCs w:val="28"/>
        </w:rPr>
      </w:pPr>
      <w:r>
        <w:rPr>
          <w:rFonts w:hint="eastAsia" w:ascii="宋体" w:hAnsi="宋体"/>
          <w:b/>
          <w:color w:val="000000" w:themeColor="text1"/>
          <w:sz w:val="28"/>
          <w:szCs w:val="28"/>
        </w:rPr>
        <w:t>四、响应文件的递交</w:t>
      </w:r>
    </w:p>
    <w:p w14:paraId="7774BE58">
      <w:pPr>
        <w:spacing w:line="360" w:lineRule="auto"/>
        <w:ind w:firstLine="480"/>
        <w:rPr>
          <w:rFonts w:ascii="宋体" w:hAnsi="宋体"/>
          <w:color w:val="000000" w:themeColor="text1"/>
          <w:sz w:val="24"/>
        </w:rPr>
      </w:pPr>
      <w:r>
        <w:rPr>
          <w:rFonts w:ascii="宋体" w:hAnsi="宋体"/>
          <w:color w:val="000000" w:themeColor="text1"/>
          <w:sz w:val="24"/>
        </w:rPr>
        <w:t>11.</w:t>
      </w:r>
      <w:r>
        <w:rPr>
          <w:rFonts w:hint="eastAsia" w:ascii="宋体" w:hAnsi="宋体"/>
          <w:color w:val="000000" w:themeColor="text1"/>
          <w:sz w:val="24"/>
        </w:rPr>
        <w:t>响应文件的密封和标记</w:t>
      </w:r>
    </w:p>
    <w:p w14:paraId="53CC4986">
      <w:pPr>
        <w:spacing w:line="360" w:lineRule="auto"/>
        <w:ind w:firstLine="480"/>
        <w:rPr>
          <w:rFonts w:ascii="宋体" w:hAnsi="宋体"/>
          <w:color w:val="000000" w:themeColor="text1"/>
          <w:sz w:val="24"/>
        </w:rPr>
      </w:pPr>
      <w:r>
        <w:rPr>
          <w:rFonts w:ascii="宋体" w:hAnsi="宋体"/>
          <w:color w:val="000000" w:themeColor="text1"/>
          <w:sz w:val="24"/>
        </w:rPr>
        <w:t xml:space="preserve">11.1 </w:t>
      </w:r>
      <w:r>
        <w:rPr>
          <w:rFonts w:hint="eastAsia" w:ascii="宋体" w:hAnsi="宋体"/>
          <w:color w:val="000000" w:themeColor="text1"/>
          <w:sz w:val="24"/>
        </w:rPr>
        <w:t>供应商应将响应文件正本和所有的副本、电子文档分开密封装在单独的信封中，且在信封上标明“正本”、“副本”、“电子文档”字样。</w:t>
      </w:r>
    </w:p>
    <w:p w14:paraId="70477A4B">
      <w:pPr>
        <w:spacing w:line="360" w:lineRule="auto"/>
        <w:ind w:firstLine="480"/>
        <w:rPr>
          <w:rFonts w:ascii="宋体" w:hAnsi="宋体"/>
          <w:color w:val="000000" w:themeColor="text1"/>
          <w:sz w:val="24"/>
        </w:rPr>
      </w:pPr>
      <w:r>
        <w:rPr>
          <w:rFonts w:ascii="宋体" w:hAnsi="宋体"/>
          <w:color w:val="000000" w:themeColor="text1"/>
          <w:sz w:val="24"/>
        </w:rPr>
        <w:t>11.2</w:t>
      </w:r>
      <w:r>
        <w:rPr>
          <w:rFonts w:hint="eastAsia" w:ascii="宋体" w:hAnsi="宋体"/>
          <w:color w:val="000000" w:themeColor="text1"/>
          <w:sz w:val="24"/>
        </w:rPr>
        <w:t>内外层信封均应：</w:t>
      </w:r>
    </w:p>
    <w:p w14:paraId="25520115">
      <w:pPr>
        <w:spacing w:line="360" w:lineRule="auto"/>
        <w:ind w:firstLine="480"/>
        <w:rPr>
          <w:rFonts w:ascii="宋体" w:hAnsi="宋体"/>
          <w:color w:val="000000" w:themeColor="text1"/>
          <w:sz w:val="24"/>
        </w:rPr>
      </w:pPr>
      <w:r>
        <w:rPr>
          <w:rFonts w:ascii="宋体" w:hAnsi="宋体"/>
          <w:color w:val="000000" w:themeColor="text1"/>
          <w:sz w:val="24"/>
        </w:rPr>
        <w:t>1</w:t>
      </w:r>
      <w:r>
        <w:rPr>
          <w:rFonts w:hint="eastAsia" w:ascii="宋体" w:hAnsi="宋体"/>
          <w:color w:val="000000" w:themeColor="text1"/>
          <w:sz w:val="24"/>
        </w:rPr>
        <w:t>）标明递交至“</w:t>
      </w:r>
      <w:r>
        <w:rPr>
          <w:rFonts w:ascii="宋体" w:hAnsi="宋体"/>
          <w:color w:val="000000" w:themeColor="text1"/>
          <w:sz w:val="24"/>
        </w:rPr>
        <w:t>采购公告</w:t>
      </w:r>
      <w:r>
        <w:rPr>
          <w:rFonts w:hint="eastAsia" w:ascii="宋体" w:hAnsi="宋体"/>
          <w:color w:val="000000" w:themeColor="text1"/>
          <w:sz w:val="24"/>
        </w:rPr>
        <w:t>”中指明的地点。</w:t>
      </w:r>
    </w:p>
    <w:p w14:paraId="60A685BD">
      <w:pPr>
        <w:spacing w:line="360" w:lineRule="auto"/>
        <w:ind w:firstLine="480"/>
        <w:rPr>
          <w:rFonts w:ascii="宋体" w:hAnsi="宋体"/>
          <w:color w:val="000000" w:themeColor="text1"/>
          <w:sz w:val="24"/>
        </w:rPr>
      </w:pPr>
      <w:r>
        <w:rPr>
          <w:rFonts w:ascii="宋体" w:hAnsi="宋体"/>
          <w:color w:val="000000" w:themeColor="text1"/>
          <w:sz w:val="24"/>
        </w:rPr>
        <w:t>2</w:t>
      </w:r>
      <w:r>
        <w:rPr>
          <w:rFonts w:hint="eastAsia" w:ascii="宋体" w:hAnsi="宋体"/>
          <w:color w:val="000000" w:themeColor="text1"/>
          <w:sz w:val="24"/>
        </w:rPr>
        <w:t>）注明“</w:t>
      </w:r>
      <w:r>
        <w:rPr>
          <w:rFonts w:ascii="宋体" w:hAnsi="宋体"/>
          <w:color w:val="000000" w:themeColor="text1"/>
          <w:sz w:val="24"/>
        </w:rPr>
        <w:t>采购公告</w:t>
      </w:r>
      <w:r>
        <w:rPr>
          <w:rFonts w:hint="eastAsia" w:ascii="宋体" w:hAnsi="宋体"/>
          <w:color w:val="000000" w:themeColor="text1"/>
          <w:sz w:val="24"/>
        </w:rPr>
        <w:t>”中指明的项目名称、编号和“在”之前不得启封的字样，并填入“</w:t>
      </w:r>
      <w:r>
        <w:rPr>
          <w:rFonts w:ascii="宋体" w:hAnsi="宋体"/>
          <w:color w:val="000000" w:themeColor="text1"/>
          <w:sz w:val="24"/>
        </w:rPr>
        <w:t>采购公告</w:t>
      </w:r>
      <w:r>
        <w:rPr>
          <w:rFonts w:hint="eastAsia" w:ascii="宋体" w:hAnsi="宋体"/>
          <w:color w:val="000000" w:themeColor="text1"/>
          <w:sz w:val="24"/>
        </w:rPr>
        <w:t>”中规定的日期和时间。</w:t>
      </w:r>
    </w:p>
    <w:p w14:paraId="6318B3EA">
      <w:pPr>
        <w:spacing w:line="360" w:lineRule="auto"/>
        <w:ind w:firstLine="480"/>
        <w:rPr>
          <w:rFonts w:ascii="宋体" w:hAnsi="宋体"/>
          <w:color w:val="000000" w:themeColor="text1"/>
          <w:sz w:val="24"/>
        </w:rPr>
      </w:pPr>
      <w:r>
        <w:rPr>
          <w:rFonts w:ascii="宋体" w:hAnsi="宋体"/>
          <w:color w:val="000000" w:themeColor="text1"/>
          <w:sz w:val="24"/>
        </w:rPr>
        <w:t xml:space="preserve">11.3 </w:t>
      </w:r>
      <w:r>
        <w:rPr>
          <w:rFonts w:hint="eastAsia" w:ascii="宋体" w:hAnsi="宋体"/>
          <w:color w:val="000000" w:themeColor="text1"/>
          <w:sz w:val="24"/>
        </w:rPr>
        <w:t>内层信封应写明供应商名称和地址，以便若其响应文件被宣布为“迟到”响应文件时，能原封退回。</w:t>
      </w:r>
    </w:p>
    <w:p w14:paraId="4B4E2053">
      <w:pPr>
        <w:spacing w:line="360" w:lineRule="auto"/>
        <w:ind w:firstLine="480"/>
        <w:rPr>
          <w:rFonts w:ascii="宋体" w:hAnsi="宋体"/>
          <w:color w:val="000000" w:themeColor="text1"/>
          <w:sz w:val="24"/>
        </w:rPr>
      </w:pPr>
      <w:r>
        <w:rPr>
          <w:rFonts w:ascii="宋体" w:hAnsi="宋体"/>
          <w:color w:val="000000" w:themeColor="text1"/>
          <w:sz w:val="24"/>
        </w:rPr>
        <w:t xml:space="preserve">11.4 </w:t>
      </w:r>
      <w:r>
        <w:rPr>
          <w:rFonts w:hint="eastAsia" w:ascii="宋体" w:hAnsi="宋体"/>
          <w:color w:val="000000" w:themeColor="text1"/>
          <w:sz w:val="24"/>
        </w:rPr>
        <w:t>如果外层信封未按本须知第</w:t>
      </w:r>
      <w:r>
        <w:rPr>
          <w:rFonts w:ascii="宋体" w:hAnsi="宋体"/>
          <w:color w:val="000000" w:themeColor="text1"/>
          <w:sz w:val="24"/>
        </w:rPr>
        <w:t>12.2</w:t>
      </w:r>
      <w:r>
        <w:rPr>
          <w:rFonts w:hint="eastAsia" w:ascii="宋体" w:hAnsi="宋体"/>
          <w:color w:val="000000" w:themeColor="text1"/>
          <w:sz w:val="24"/>
        </w:rPr>
        <w:t>条要求加写标记和密封，采购人对误投或过早启封概不负责。</w:t>
      </w:r>
    </w:p>
    <w:p w14:paraId="79FA35A3">
      <w:pPr>
        <w:spacing w:line="360" w:lineRule="auto"/>
        <w:ind w:firstLine="480"/>
        <w:rPr>
          <w:rFonts w:ascii="宋体" w:hAnsi="宋体"/>
          <w:color w:val="000000" w:themeColor="text1"/>
          <w:sz w:val="24"/>
        </w:rPr>
      </w:pPr>
      <w:r>
        <w:rPr>
          <w:rFonts w:ascii="宋体" w:hAnsi="宋体"/>
          <w:color w:val="000000" w:themeColor="text1"/>
          <w:sz w:val="24"/>
        </w:rPr>
        <w:t xml:space="preserve">11.5 </w:t>
      </w:r>
      <w:r>
        <w:rPr>
          <w:rFonts w:hint="eastAsia" w:ascii="宋体" w:hAnsi="宋体"/>
          <w:color w:val="000000" w:themeColor="text1"/>
          <w:sz w:val="24"/>
        </w:rPr>
        <w:t>供应商须由其合法的授权人在递交响应文件截止时间之前将响应文件送达采购人并签字确认。供应商须承担因未送达并签字所造成的一切责任。</w:t>
      </w:r>
    </w:p>
    <w:p w14:paraId="07D277F7">
      <w:pPr>
        <w:spacing w:line="360" w:lineRule="auto"/>
        <w:ind w:firstLine="480"/>
        <w:rPr>
          <w:rFonts w:ascii="宋体" w:hAnsi="宋体"/>
          <w:color w:val="000000" w:themeColor="text1"/>
          <w:sz w:val="24"/>
        </w:rPr>
      </w:pPr>
      <w:r>
        <w:rPr>
          <w:rFonts w:ascii="宋体" w:hAnsi="宋体"/>
          <w:color w:val="000000" w:themeColor="text1"/>
          <w:sz w:val="24"/>
        </w:rPr>
        <w:t>12.</w:t>
      </w:r>
      <w:r>
        <w:rPr>
          <w:rFonts w:hint="eastAsia" w:ascii="宋体" w:hAnsi="宋体"/>
          <w:color w:val="000000" w:themeColor="text1"/>
          <w:sz w:val="24"/>
        </w:rPr>
        <w:t>递交响应文件截止时间</w:t>
      </w:r>
    </w:p>
    <w:p w14:paraId="1FBA7AE3">
      <w:pPr>
        <w:spacing w:line="360" w:lineRule="auto"/>
        <w:ind w:firstLine="480"/>
        <w:rPr>
          <w:rFonts w:ascii="宋体" w:hAnsi="宋体"/>
          <w:color w:val="000000" w:themeColor="text1"/>
          <w:sz w:val="24"/>
        </w:rPr>
      </w:pPr>
      <w:r>
        <w:rPr>
          <w:rFonts w:ascii="宋体" w:hAnsi="宋体"/>
          <w:color w:val="000000" w:themeColor="text1"/>
          <w:sz w:val="24"/>
        </w:rPr>
        <w:t xml:space="preserve">12.1 </w:t>
      </w:r>
      <w:r>
        <w:rPr>
          <w:rFonts w:hint="eastAsia" w:ascii="宋体" w:hAnsi="宋体"/>
          <w:color w:val="000000" w:themeColor="text1"/>
          <w:sz w:val="24"/>
        </w:rPr>
        <w:t>采购人收到响应文件的时间不迟于（详见《竞争性谈判公告》）</w:t>
      </w:r>
    </w:p>
    <w:p w14:paraId="4D99EC1C">
      <w:pPr>
        <w:spacing w:line="360" w:lineRule="auto"/>
        <w:ind w:firstLine="480"/>
        <w:rPr>
          <w:rFonts w:ascii="宋体" w:hAnsi="宋体"/>
          <w:color w:val="000000" w:themeColor="text1"/>
          <w:sz w:val="24"/>
        </w:rPr>
      </w:pPr>
      <w:r>
        <w:rPr>
          <w:rFonts w:ascii="宋体" w:hAnsi="宋体"/>
          <w:color w:val="000000" w:themeColor="text1"/>
          <w:sz w:val="24"/>
        </w:rPr>
        <w:t xml:space="preserve">12.2 </w:t>
      </w:r>
      <w:r>
        <w:rPr>
          <w:rFonts w:hint="eastAsia" w:ascii="宋体" w:hAnsi="宋体"/>
          <w:color w:val="000000" w:themeColor="text1"/>
          <w:sz w:val="24"/>
        </w:rPr>
        <w:t>采购人可以按本须知第</w:t>
      </w:r>
      <w:r>
        <w:rPr>
          <w:rFonts w:ascii="宋体" w:hAnsi="宋体"/>
          <w:color w:val="000000" w:themeColor="text1"/>
          <w:sz w:val="24"/>
        </w:rPr>
        <w:t>5</w:t>
      </w:r>
      <w:r>
        <w:rPr>
          <w:rFonts w:hint="eastAsia" w:ascii="宋体" w:hAnsi="宋体"/>
          <w:color w:val="000000" w:themeColor="text1"/>
          <w:sz w:val="24"/>
        </w:rPr>
        <w:t>条规定，通过修改竞争性谈判文件自行决定酌情延长递交响应文件截止时间。在此情况下，采购人和供应商受递交响应文件截止时间制约的所有权利和义务均应延长至新的截止期。</w:t>
      </w:r>
    </w:p>
    <w:p w14:paraId="18B13AF6">
      <w:pPr>
        <w:spacing w:line="360" w:lineRule="auto"/>
        <w:ind w:firstLine="480"/>
        <w:rPr>
          <w:rFonts w:ascii="宋体" w:hAnsi="宋体"/>
          <w:color w:val="000000" w:themeColor="text1"/>
          <w:sz w:val="24"/>
        </w:rPr>
      </w:pPr>
      <w:r>
        <w:rPr>
          <w:rFonts w:ascii="宋体" w:hAnsi="宋体"/>
          <w:color w:val="000000" w:themeColor="text1"/>
          <w:sz w:val="24"/>
        </w:rPr>
        <w:t>13.</w:t>
      </w:r>
      <w:r>
        <w:rPr>
          <w:rFonts w:hint="eastAsia" w:ascii="宋体" w:hAnsi="宋体"/>
          <w:color w:val="000000" w:themeColor="text1"/>
          <w:sz w:val="24"/>
        </w:rPr>
        <w:t>迟交的响应文件</w:t>
      </w:r>
    </w:p>
    <w:p w14:paraId="6301CAC5">
      <w:pPr>
        <w:spacing w:line="360" w:lineRule="auto"/>
        <w:ind w:firstLine="480"/>
        <w:rPr>
          <w:rFonts w:ascii="宋体" w:hAnsi="宋体"/>
          <w:color w:val="000000" w:themeColor="text1"/>
          <w:sz w:val="24"/>
        </w:rPr>
      </w:pPr>
      <w:r>
        <w:rPr>
          <w:rFonts w:ascii="宋体" w:hAnsi="宋体"/>
          <w:color w:val="000000" w:themeColor="text1"/>
          <w:sz w:val="24"/>
        </w:rPr>
        <w:t xml:space="preserve">13.1 </w:t>
      </w:r>
      <w:r>
        <w:rPr>
          <w:rFonts w:hint="eastAsia" w:ascii="宋体" w:hAnsi="宋体"/>
          <w:color w:val="000000" w:themeColor="text1"/>
          <w:sz w:val="24"/>
        </w:rPr>
        <w:t>采购人将拒绝并原封退回在规定的递交响应文件截止时间后收到的任何响应文件。</w:t>
      </w:r>
    </w:p>
    <w:p w14:paraId="526B2F8F">
      <w:pPr>
        <w:spacing w:line="360" w:lineRule="auto"/>
        <w:ind w:firstLine="480"/>
        <w:rPr>
          <w:rFonts w:ascii="宋体" w:hAnsi="宋体"/>
          <w:color w:val="000000" w:themeColor="text1"/>
          <w:sz w:val="24"/>
        </w:rPr>
      </w:pPr>
      <w:r>
        <w:rPr>
          <w:rFonts w:ascii="宋体" w:hAnsi="宋体"/>
          <w:color w:val="000000" w:themeColor="text1"/>
          <w:sz w:val="24"/>
        </w:rPr>
        <w:t>14.</w:t>
      </w:r>
      <w:r>
        <w:rPr>
          <w:rFonts w:hint="eastAsia" w:ascii="宋体" w:hAnsi="宋体"/>
          <w:color w:val="000000" w:themeColor="text1"/>
          <w:sz w:val="24"/>
        </w:rPr>
        <w:t>响应文件的修改与撤回</w:t>
      </w:r>
    </w:p>
    <w:p w14:paraId="42D36BF6">
      <w:pPr>
        <w:spacing w:line="360" w:lineRule="auto"/>
        <w:ind w:firstLine="480"/>
        <w:rPr>
          <w:rFonts w:ascii="宋体" w:hAnsi="宋体"/>
          <w:color w:val="000000" w:themeColor="text1"/>
          <w:sz w:val="24"/>
        </w:rPr>
      </w:pPr>
      <w:r>
        <w:rPr>
          <w:rFonts w:ascii="宋体" w:hAnsi="宋体"/>
          <w:color w:val="000000" w:themeColor="text1"/>
          <w:sz w:val="24"/>
        </w:rPr>
        <w:t xml:space="preserve">14.1 </w:t>
      </w:r>
      <w:r>
        <w:rPr>
          <w:rFonts w:hint="eastAsia" w:ascii="宋体" w:hAnsi="宋体"/>
          <w:color w:val="000000" w:themeColor="text1"/>
          <w:sz w:val="24"/>
        </w:rPr>
        <w:t>供应商在递交响应文件后，可以修改或撤回其响应文件，但采购人必须在规定的递交响应文件截止时间之前，收到供应商发出的修改或撤回的书面通知。</w:t>
      </w:r>
    </w:p>
    <w:p w14:paraId="08FE7AFC">
      <w:pPr>
        <w:spacing w:line="360" w:lineRule="auto"/>
        <w:ind w:firstLine="480"/>
        <w:rPr>
          <w:rFonts w:ascii="宋体" w:hAnsi="宋体"/>
          <w:color w:val="000000" w:themeColor="text1"/>
          <w:sz w:val="24"/>
        </w:rPr>
      </w:pPr>
      <w:r>
        <w:rPr>
          <w:rFonts w:ascii="宋体" w:hAnsi="宋体"/>
          <w:color w:val="000000" w:themeColor="text1"/>
          <w:sz w:val="24"/>
        </w:rPr>
        <w:t xml:space="preserve">14.2 </w:t>
      </w:r>
      <w:r>
        <w:rPr>
          <w:rFonts w:hint="eastAsia" w:ascii="宋体" w:hAnsi="宋体"/>
          <w:color w:val="000000" w:themeColor="text1"/>
          <w:sz w:val="24"/>
        </w:rPr>
        <w:t>供应商的修改或撤回通知应按本须知第</w:t>
      </w:r>
      <w:r>
        <w:rPr>
          <w:rFonts w:ascii="宋体" w:hAnsi="宋体"/>
          <w:color w:val="000000" w:themeColor="text1"/>
          <w:sz w:val="24"/>
        </w:rPr>
        <w:t>12</w:t>
      </w:r>
      <w:r>
        <w:rPr>
          <w:rFonts w:hint="eastAsia" w:ascii="宋体" w:hAnsi="宋体"/>
          <w:color w:val="000000" w:themeColor="text1"/>
          <w:sz w:val="24"/>
        </w:rPr>
        <w:t>条规定编制、密封、标记和发送。</w:t>
      </w:r>
    </w:p>
    <w:p w14:paraId="43A37954">
      <w:pPr>
        <w:spacing w:line="360" w:lineRule="auto"/>
        <w:ind w:firstLine="480"/>
        <w:rPr>
          <w:rFonts w:ascii="宋体" w:hAnsi="宋体"/>
          <w:color w:val="000000" w:themeColor="text1"/>
          <w:sz w:val="24"/>
        </w:rPr>
      </w:pPr>
      <w:r>
        <w:rPr>
          <w:rFonts w:ascii="宋体" w:hAnsi="宋体"/>
          <w:color w:val="000000" w:themeColor="text1"/>
          <w:sz w:val="24"/>
        </w:rPr>
        <w:t xml:space="preserve">14.3 </w:t>
      </w:r>
      <w:r>
        <w:rPr>
          <w:rFonts w:hint="eastAsia" w:ascii="宋体" w:hAnsi="宋体"/>
          <w:color w:val="000000" w:themeColor="text1"/>
          <w:sz w:val="24"/>
        </w:rPr>
        <w:t>在递交响应文件截止时间之后，供应商不得对其响应文件做任何修改。</w:t>
      </w:r>
    </w:p>
    <w:p w14:paraId="15F45543">
      <w:pPr>
        <w:spacing w:line="360" w:lineRule="auto"/>
        <w:ind w:firstLine="480"/>
        <w:rPr>
          <w:rFonts w:ascii="宋体" w:hAnsi="宋体"/>
          <w:color w:val="000000" w:themeColor="text1"/>
          <w:sz w:val="24"/>
        </w:rPr>
      </w:pPr>
      <w:r>
        <w:rPr>
          <w:rFonts w:ascii="宋体" w:hAnsi="宋体"/>
          <w:color w:val="000000" w:themeColor="text1"/>
          <w:sz w:val="24"/>
        </w:rPr>
        <w:t xml:space="preserve">14.4 </w:t>
      </w:r>
      <w:r>
        <w:rPr>
          <w:rFonts w:hint="eastAsia" w:ascii="宋体" w:hAnsi="宋体"/>
          <w:color w:val="000000" w:themeColor="text1"/>
          <w:sz w:val="24"/>
        </w:rPr>
        <w:t>从递交响应文件截止时间至供应商在响应函格式中确定的响应有效期之间的这段时间内，供应商不得撤回其响应文件，否则将取消供应商参与本项目资格。</w:t>
      </w:r>
    </w:p>
    <w:p w14:paraId="4E2688AB">
      <w:pPr>
        <w:spacing w:line="360" w:lineRule="auto"/>
        <w:ind w:firstLine="562"/>
        <w:rPr>
          <w:rFonts w:ascii="宋体" w:hAnsi="宋体"/>
          <w:b/>
          <w:color w:val="000000" w:themeColor="text1"/>
          <w:sz w:val="28"/>
          <w:szCs w:val="28"/>
        </w:rPr>
      </w:pPr>
      <w:r>
        <w:rPr>
          <w:rFonts w:hint="eastAsia" w:ascii="宋体" w:hAnsi="宋体"/>
          <w:b/>
          <w:color w:val="000000" w:themeColor="text1"/>
          <w:sz w:val="28"/>
          <w:szCs w:val="28"/>
        </w:rPr>
        <w:t>五、评审</w:t>
      </w:r>
    </w:p>
    <w:p w14:paraId="3F288C6F">
      <w:pPr>
        <w:spacing w:line="360" w:lineRule="auto"/>
        <w:ind w:firstLine="480"/>
        <w:rPr>
          <w:rFonts w:ascii="宋体" w:hAnsi="宋体"/>
          <w:color w:val="000000" w:themeColor="text1"/>
          <w:sz w:val="24"/>
        </w:rPr>
      </w:pPr>
      <w:r>
        <w:rPr>
          <w:rFonts w:ascii="宋体" w:hAnsi="宋体"/>
          <w:color w:val="000000" w:themeColor="text1"/>
          <w:sz w:val="24"/>
        </w:rPr>
        <w:t>15.</w:t>
      </w:r>
      <w:r>
        <w:rPr>
          <w:rFonts w:hint="eastAsia" w:ascii="宋体" w:hAnsi="宋体"/>
          <w:color w:val="000000" w:themeColor="text1"/>
          <w:sz w:val="24"/>
        </w:rPr>
        <w:t>评审委员会</w:t>
      </w:r>
    </w:p>
    <w:p w14:paraId="2915776E">
      <w:pPr>
        <w:spacing w:line="360" w:lineRule="auto"/>
        <w:ind w:firstLine="480"/>
        <w:rPr>
          <w:rFonts w:ascii="宋体" w:hAnsi="宋体"/>
          <w:color w:val="000000" w:themeColor="text1"/>
          <w:sz w:val="24"/>
        </w:rPr>
      </w:pPr>
      <w:r>
        <w:rPr>
          <w:rFonts w:ascii="宋体" w:hAnsi="宋体"/>
          <w:color w:val="000000" w:themeColor="text1"/>
          <w:sz w:val="24"/>
        </w:rPr>
        <w:t>15.1</w:t>
      </w:r>
      <w:r>
        <w:rPr>
          <w:rFonts w:hint="eastAsia" w:ascii="宋体" w:hAnsi="宋体"/>
          <w:color w:val="000000" w:themeColor="text1"/>
          <w:sz w:val="24"/>
        </w:rPr>
        <w:t>采购人根据要求组建评审委员会。评审委员会负责整个项目的评审工作。</w:t>
      </w:r>
    </w:p>
    <w:p w14:paraId="36C6780A">
      <w:pPr>
        <w:spacing w:line="360" w:lineRule="auto"/>
        <w:ind w:firstLine="480"/>
        <w:rPr>
          <w:rFonts w:ascii="宋体" w:hAnsi="宋体"/>
          <w:color w:val="000000" w:themeColor="text1"/>
          <w:sz w:val="24"/>
        </w:rPr>
      </w:pPr>
      <w:r>
        <w:rPr>
          <w:rFonts w:ascii="宋体" w:hAnsi="宋体"/>
          <w:color w:val="000000" w:themeColor="text1"/>
          <w:sz w:val="24"/>
        </w:rPr>
        <w:t>16.</w:t>
      </w:r>
      <w:r>
        <w:rPr>
          <w:rFonts w:hint="eastAsia" w:ascii="宋体" w:hAnsi="宋体"/>
          <w:color w:val="000000" w:themeColor="text1"/>
          <w:sz w:val="24"/>
        </w:rPr>
        <w:t>响应文件的澄清</w:t>
      </w:r>
    </w:p>
    <w:p w14:paraId="7D31D96C">
      <w:pPr>
        <w:spacing w:line="360" w:lineRule="auto"/>
        <w:ind w:firstLine="480"/>
        <w:rPr>
          <w:rFonts w:ascii="宋体" w:hAnsi="宋体"/>
          <w:color w:val="000000" w:themeColor="text1"/>
          <w:sz w:val="24"/>
        </w:rPr>
      </w:pPr>
      <w:r>
        <w:rPr>
          <w:rFonts w:ascii="宋体" w:hAnsi="宋体"/>
          <w:color w:val="000000" w:themeColor="text1"/>
          <w:sz w:val="24"/>
        </w:rPr>
        <w:t xml:space="preserve">16.1 </w:t>
      </w:r>
      <w:r>
        <w:rPr>
          <w:rFonts w:hint="eastAsia" w:ascii="宋体" w:hAnsi="宋体"/>
          <w:color w:val="000000" w:themeColor="text1"/>
          <w:sz w:val="24"/>
        </w:rPr>
        <w:t>在评审期间，评审委员会可要求供应商对其响应文件的任何内容进行澄清或者说明，但是澄清或者说明不得超出响应文件的范围或者改变竞争性谈判文件的实质性内容。有关澄清的要求和答复均应以书面形式提交。</w:t>
      </w:r>
    </w:p>
    <w:p w14:paraId="3D790D48">
      <w:pPr>
        <w:spacing w:line="360" w:lineRule="auto"/>
        <w:ind w:firstLine="480"/>
        <w:rPr>
          <w:rFonts w:ascii="宋体" w:hAnsi="宋体"/>
          <w:color w:val="000000" w:themeColor="text1"/>
          <w:sz w:val="24"/>
        </w:rPr>
      </w:pPr>
      <w:r>
        <w:rPr>
          <w:rFonts w:ascii="宋体" w:hAnsi="宋体"/>
          <w:color w:val="000000" w:themeColor="text1"/>
          <w:sz w:val="24"/>
        </w:rPr>
        <w:t>16.2</w:t>
      </w:r>
      <w:r>
        <w:rPr>
          <w:rFonts w:hint="eastAsia" w:ascii="宋体" w:hAnsi="宋体"/>
          <w:color w:val="000000" w:themeColor="text1"/>
          <w:sz w:val="24"/>
        </w:rPr>
        <w:t>接到评审委员会澄清要求的供应商应派人按评审委员会通知的时间和地点做出书面澄清，书面澄清的内容须由供应商法定代表人或授权代表签署，并作为响应文件的补充部分。</w:t>
      </w:r>
    </w:p>
    <w:p w14:paraId="3F5A1863">
      <w:pPr>
        <w:spacing w:line="360" w:lineRule="auto"/>
        <w:ind w:firstLine="480"/>
        <w:rPr>
          <w:rFonts w:ascii="宋体" w:hAnsi="宋体"/>
          <w:color w:val="000000" w:themeColor="text1"/>
          <w:sz w:val="24"/>
        </w:rPr>
      </w:pPr>
      <w:r>
        <w:rPr>
          <w:rFonts w:ascii="宋体" w:hAnsi="宋体"/>
          <w:color w:val="000000" w:themeColor="text1"/>
          <w:sz w:val="24"/>
        </w:rPr>
        <w:t xml:space="preserve">16.4 </w:t>
      </w:r>
      <w:r>
        <w:rPr>
          <w:rFonts w:hint="eastAsia" w:ascii="宋体" w:hAnsi="宋体"/>
          <w:color w:val="000000" w:themeColor="text1"/>
          <w:sz w:val="24"/>
        </w:rPr>
        <w:t>接到评审委员会澄清要求的供应商如未按规定做出澄清，其风险由供应商自行承担。</w:t>
      </w:r>
    </w:p>
    <w:p w14:paraId="4F5792A2">
      <w:pPr>
        <w:spacing w:line="360" w:lineRule="auto"/>
        <w:ind w:firstLine="480"/>
        <w:rPr>
          <w:rFonts w:ascii="宋体" w:hAnsi="宋体"/>
          <w:color w:val="000000" w:themeColor="text1"/>
          <w:sz w:val="24"/>
        </w:rPr>
      </w:pPr>
      <w:r>
        <w:rPr>
          <w:rFonts w:ascii="宋体" w:hAnsi="宋体"/>
          <w:color w:val="000000" w:themeColor="text1"/>
          <w:sz w:val="24"/>
        </w:rPr>
        <w:t>17.</w:t>
      </w:r>
      <w:r>
        <w:rPr>
          <w:rFonts w:hint="eastAsia" w:ascii="宋体" w:hAnsi="宋体"/>
          <w:color w:val="000000" w:themeColor="text1"/>
          <w:sz w:val="24"/>
        </w:rPr>
        <w:t>响应文件的初审</w:t>
      </w:r>
    </w:p>
    <w:p w14:paraId="6ECE95CB">
      <w:pPr>
        <w:spacing w:line="360" w:lineRule="auto"/>
        <w:ind w:firstLine="480"/>
        <w:rPr>
          <w:rFonts w:ascii="宋体" w:hAnsi="宋体"/>
          <w:color w:val="000000" w:themeColor="text1"/>
          <w:sz w:val="24"/>
        </w:rPr>
      </w:pPr>
      <w:r>
        <w:rPr>
          <w:rFonts w:ascii="宋体" w:hAnsi="宋体"/>
          <w:color w:val="000000" w:themeColor="text1"/>
          <w:sz w:val="24"/>
        </w:rPr>
        <w:t xml:space="preserve">17.1 </w:t>
      </w:r>
      <w:r>
        <w:rPr>
          <w:rFonts w:hint="eastAsia" w:ascii="宋体" w:hAnsi="宋体"/>
          <w:color w:val="000000" w:themeColor="text1"/>
          <w:sz w:val="24"/>
        </w:rPr>
        <w:t>评审委员会将初步审查响应文件是否完整、总体编排是否有序、文件签署是否合格、有无计算上的错误等。只有通过初步评审的供应商才能进入资格预审的详细评审。</w:t>
      </w:r>
    </w:p>
    <w:p w14:paraId="6912BDEC">
      <w:pPr>
        <w:spacing w:line="360" w:lineRule="auto"/>
        <w:ind w:firstLine="480"/>
        <w:rPr>
          <w:rFonts w:ascii="宋体" w:hAnsi="宋体"/>
          <w:color w:val="000000" w:themeColor="text1"/>
          <w:sz w:val="24"/>
        </w:rPr>
      </w:pPr>
      <w:r>
        <w:rPr>
          <w:rFonts w:ascii="宋体" w:hAnsi="宋体"/>
          <w:color w:val="000000" w:themeColor="text1"/>
          <w:sz w:val="24"/>
        </w:rPr>
        <w:t xml:space="preserve">17.2 </w:t>
      </w:r>
      <w:r>
        <w:rPr>
          <w:rFonts w:hint="eastAsia" w:ascii="宋体" w:hAnsi="宋体"/>
          <w:color w:val="000000" w:themeColor="text1"/>
          <w:sz w:val="24"/>
        </w:rPr>
        <w:t>算术错误将按以下方法更正：若单价计算的结果与总价不一致，以单价为准修改总价；若用文字表示的数值与用数字表示的数值不一致，以文字表示的数值为准。如果供应商不接受对其错误的更正，其响应文件将被拒绝。</w:t>
      </w:r>
    </w:p>
    <w:p w14:paraId="5A244B4C">
      <w:pPr>
        <w:spacing w:line="360" w:lineRule="auto"/>
        <w:ind w:firstLine="480"/>
        <w:rPr>
          <w:rFonts w:ascii="宋体" w:hAnsi="宋体"/>
          <w:color w:val="000000" w:themeColor="text1"/>
          <w:sz w:val="24"/>
        </w:rPr>
      </w:pPr>
      <w:r>
        <w:rPr>
          <w:rFonts w:ascii="宋体" w:hAnsi="宋体"/>
          <w:color w:val="000000" w:themeColor="text1"/>
          <w:sz w:val="24"/>
        </w:rPr>
        <w:t xml:space="preserve">17.3 </w:t>
      </w:r>
      <w:r>
        <w:rPr>
          <w:rFonts w:hint="eastAsia" w:ascii="宋体" w:hAnsi="宋体"/>
          <w:color w:val="000000" w:themeColor="text1"/>
          <w:sz w:val="24"/>
        </w:rPr>
        <w:t>对于响应文件中不构成实质性偏差的不正规、不一致或不规则，评审委员会可以接受，但这种接受不能损害或影响任何供应商的相对排序。</w:t>
      </w:r>
    </w:p>
    <w:p w14:paraId="4CE4BF92">
      <w:pPr>
        <w:spacing w:line="360" w:lineRule="auto"/>
        <w:ind w:firstLine="480"/>
        <w:rPr>
          <w:rFonts w:ascii="宋体" w:hAnsi="宋体"/>
          <w:color w:val="000000" w:themeColor="text1"/>
          <w:sz w:val="24"/>
        </w:rPr>
      </w:pPr>
      <w:r>
        <w:rPr>
          <w:rFonts w:ascii="宋体" w:hAnsi="宋体"/>
          <w:color w:val="000000" w:themeColor="text1"/>
          <w:sz w:val="24"/>
        </w:rPr>
        <w:t xml:space="preserve">17.4 </w:t>
      </w:r>
      <w:r>
        <w:rPr>
          <w:rFonts w:hint="eastAsia" w:ascii="宋体" w:hAnsi="宋体"/>
          <w:color w:val="000000" w:themeColor="text1"/>
          <w:sz w:val="24"/>
        </w:rPr>
        <w:t>在详细评审之前，评审委员会要审查每份响应文件是否实质上响应了竞争性谈判文件的要求。实质上响应的响应文件应该是与竞争性谈判文件要求的全部条款、条件和规格相符，没有重大偏离的响应文件。对关键条文的偏离、保留或反对，例如关于适用法律、税及关税等内容的偏离将被认为是实质上的偏离。评审委员会决定响应文件的响应性只根据响应文件本身的内容，而不寻求外部的证据。</w:t>
      </w:r>
    </w:p>
    <w:p w14:paraId="6DEA05B5">
      <w:pPr>
        <w:spacing w:line="360" w:lineRule="auto"/>
        <w:ind w:firstLine="480"/>
        <w:rPr>
          <w:rFonts w:ascii="宋体" w:hAnsi="宋体"/>
          <w:color w:val="000000" w:themeColor="text1"/>
          <w:sz w:val="24"/>
        </w:rPr>
      </w:pPr>
      <w:r>
        <w:rPr>
          <w:rFonts w:ascii="宋体" w:hAnsi="宋体"/>
          <w:color w:val="000000" w:themeColor="text1"/>
          <w:sz w:val="24"/>
        </w:rPr>
        <w:t xml:space="preserve">17.5 </w:t>
      </w:r>
      <w:r>
        <w:rPr>
          <w:rFonts w:hint="eastAsia" w:ascii="宋体" w:hAnsi="宋体"/>
          <w:color w:val="000000" w:themeColor="text1"/>
          <w:sz w:val="24"/>
        </w:rPr>
        <w:t>实质上没有响应竞争性谈判文件要求的响应文件将被拒绝。供应商不得通过修正或撤消不合要求的偏离或保留从而使其响应文件成为实质上响应的响应文件。如发现下列情况之一的，其响应文件将可能被拒绝：（详见《供应商须知前附表》）</w:t>
      </w:r>
    </w:p>
    <w:p w14:paraId="32ED19C4">
      <w:pPr>
        <w:spacing w:line="360" w:lineRule="auto"/>
        <w:ind w:firstLine="480"/>
        <w:rPr>
          <w:rFonts w:ascii="宋体" w:hAnsi="宋体"/>
          <w:color w:val="000000" w:themeColor="text1"/>
          <w:sz w:val="24"/>
        </w:rPr>
      </w:pPr>
      <w:r>
        <w:rPr>
          <w:rFonts w:ascii="宋体" w:hAnsi="宋体"/>
          <w:color w:val="000000" w:themeColor="text1"/>
          <w:sz w:val="24"/>
        </w:rPr>
        <w:t>17.6</w:t>
      </w:r>
      <w:r>
        <w:rPr>
          <w:rFonts w:hint="eastAsia" w:ascii="宋体" w:hAnsi="宋体"/>
          <w:color w:val="000000" w:themeColor="text1"/>
          <w:sz w:val="24"/>
        </w:rPr>
        <w:t>采购人保留对通过初审的供应商进行进一步审查的权利。采购人在认为必要的情况下，有权要求已通过初审的供应商提交有关资质证明文件的原件，如发现供应商提供的响应文件与资质原件有不符、伪造或涂改等情况，将取消该供应商的资格。</w:t>
      </w:r>
    </w:p>
    <w:p w14:paraId="0BCA7782">
      <w:pPr>
        <w:spacing w:line="360" w:lineRule="auto"/>
        <w:ind w:firstLine="480"/>
        <w:rPr>
          <w:rFonts w:ascii="宋体" w:hAnsi="宋体"/>
          <w:color w:val="000000" w:themeColor="text1"/>
          <w:sz w:val="24"/>
        </w:rPr>
      </w:pPr>
      <w:r>
        <w:rPr>
          <w:rFonts w:ascii="宋体" w:hAnsi="宋体"/>
          <w:color w:val="000000" w:themeColor="text1"/>
          <w:sz w:val="24"/>
        </w:rPr>
        <w:t xml:space="preserve">17.7 </w:t>
      </w:r>
      <w:r>
        <w:rPr>
          <w:rFonts w:hint="eastAsia" w:ascii="宋体" w:hAnsi="宋体"/>
          <w:color w:val="000000" w:themeColor="text1"/>
          <w:sz w:val="24"/>
        </w:rPr>
        <w:t>采购人保留对通过初审的供应商进行进一步谈判或议价的权利。</w:t>
      </w:r>
    </w:p>
    <w:bookmarkEnd w:id="7"/>
    <w:bookmarkEnd w:id="8"/>
    <w:bookmarkEnd w:id="9"/>
    <w:p w14:paraId="1811EB47">
      <w:pPr>
        <w:spacing w:line="360" w:lineRule="auto"/>
        <w:ind w:firstLine="562"/>
        <w:rPr>
          <w:rFonts w:ascii="宋体" w:hAnsi="宋体"/>
          <w:b/>
          <w:color w:val="000000" w:themeColor="text1"/>
          <w:sz w:val="28"/>
          <w:szCs w:val="28"/>
        </w:rPr>
      </w:pPr>
      <w:bookmarkStart w:id="10" w:name="_Toc226969316"/>
      <w:bookmarkStart w:id="11" w:name="_Toc107822520"/>
      <w:bookmarkStart w:id="12" w:name="_Toc227057922"/>
      <w:r>
        <w:rPr>
          <w:rFonts w:hint="eastAsia" w:ascii="宋体" w:hAnsi="宋体"/>
          <w:b/>
          <w:color w:val="000000" w:themeColor="text1"/>
          <w:sz w:val="28"/>
          <w:szCs w:val="28"/>
        </w:rPr>
        <w:t>六、谈判和成交供应商评审</w:t>
      </w:r>
    </w:p>
    <w:p w14:paraId="6F9ABCCD">
      <w:pPr>
        <w:spacing w:line="360" w:lineRule="auto"/>
        <w:ind w:firstLine="480"/>
        <w:rPr>
          <w:rFonts w:ascii="宋体" w:hAnsi="宋体"/>
          <w:color w:val="000000" w:themeColor="text1"/>
          <w:sz w:val="24"/>
        </w:rPr>
      </w:pPr>
      <w:r>
        <w:rPr>
          <w:rFonts w:ascii="宋体" w:hAnsi="宋体"/>
          <w:color w:val="000000" w:themeColor="text1"/>
          <w:sz w:val="24"/>
        </w:rPr>
        <w:t>18.</w:t>
      </w:r>
      <w:r>
        <w:rPr>
          <w:rFonts w:hint="eastAsia" w:ascii="宋体" w:hAnsi="宋体"/>
          <w:color w:val="000000" w:themeColor="text1"/>
          <w:sz w:val="24"/>
        </w:rPr>
        <w:t>谈判</w:t>
      </w:r>
    </w:p>
    <w:p w14:paraId="3D991EEB">
      <w:pPr>
        <w:spacing w:line="360" w:lineRule="auto"/>
        <w:ind w:firstLine="480"/>
        <w:rPr>
          <w:rFonts w:ascii="宋体" w:hAnsi="宋体"/>
          <w:color w:val="000000" w:themeColor="text1"/>
          <w:sz w:val="24"/>
        </w:rPr>
      </w:pPr>
      <w:r>
        <w:rPr>
          <w:rFonts w:ascii="宋体" w:hAnsi="宋体"/>
          <w:color w:val="000000" w:themeColor="text1"/>
          <w:sz w:val="24"/>
        </w:rPr>
        <w:t>18.1</w:t>
      </w:r>
      <w:r>
        <w:rPr>
          <w:rFonts w:hint="eastAsia" w:ascii="宋体" w:hAnsi="宋体"/>
          <w:color w:val="000000" w:themeColor="text1"/>
          <w:sz w:val="24"/>
        </w:rPr>
        <w:t>获得谈判资格的供应商应按本须知及谈判通知要求准时参加谈判，并在谈判后按要求提供递交其最终报价和相关承诺，否则将视为在报价有效期内撤回竞争性谈判响应文件，其响应文件将被拒绝。</w:t>
      </w:r>
    </w:p>
    <w:p w14:paraId="2ADDC3B9">
      <w:pPr>
        <w:spacing w:line="360" w:lineRule="auto"/>
        <w:ind w:firstLine="480"/>
        <w:rPr>
          <w:rFonts w:ascii="宋体" w:hAnsi="宋体"/>
          <w:color w:val="000000" w:themeColor="text1"/>
          <w:sz w:val="24"/>
        </w:rPr>
      </w:pPr>
      <w:r>
        <w:rPr>
          <w:rFonts w:ascii="宋体" w:hAnsi="宋体"/>
          <w:color w:val="000000" w:themeColor="text1"/>
          <w:sz w:val="24"/>
        </w:rPr>
        <w:t>18.2</w:t>
      </w:r>
      <w:r>
        <w:rPr>
          <w:rFonts w:hint="eastAsia" w:ascii="宋体" w:hAnsi="宋体"/>
          <w:color w:val="000000" w:themeColor="text1"/>
          <w:sz w:val="24"/>
        </w:rPr>
        <w:t>谈判</w:t>
      </w:r>
      <w:r>
        <w:rPr>
          <w:rFonts w:ascii="宋体" w:hAnsi="宋体"/>
          <w:color w:val="000000" w:themeColor="text1"/>
          <w:sz w:val="24"/>
        </w:rPr>
        <w:t>开始时间预计为：递交竞争性</w:t>
      </w:r>
      <w:r>
        <w:rPr>
          <w:rFonts w:hint="eastAsia" w:ascii="宋体" w:hAnsi="宋体"/>
          <w:color w:val="000000" w:themeColor="text1"/>
          <w:sz w:val="24"/>
        </w:rPr>
        <w:t>谈判</w:t>
      </w:r>
      <w:r>
        <w:rPr>
          <w:rFonts w:ascii="宋体" w:hAnsi="宋体"/>
          <w:color w:val="000000" w:themeColor="text1"/>
          <w:sz w:val="24"/>
        </w:rPr>
        <w:t>响应文件截止时间后当天（包括法定节假日，具体时间以采购人的通知为准），供应商应提前做好</w:t>
      </w:r>
      <w:r>
        <w:rPr>
          <w:rFonts w:hint="eastAsia" w:ascii="宋体" w:hAnsi="宋体"/>
          <w:color w:val="000000" w:themeColor="text1"/>
          <w:sz w:val="24"/>
        </w:rPr>
        <w:t>谈判</w:t>
      </w:r>
      <w:r>
        <w:rPr>
          <w:rFonts w:ascii="宋体" w:hAnsi="宋体"/>
          <w:color w:val="000000" w:themeColor="text1"/>
          <w:sz w:val="24"/>
        </w:rPr>
        <w:t>准备。</w:t>
      </w:r>
    </w:p>
    <w:p w14:paraId="1D09168C">
      <w:pPr>
        <w:spacing w:line="360" w:lineRule="auto"/>
        <w:ind w:firstLine="480"/>
        <w:rPr>
          <w:rFonts w:ascii="宋体" w:hAnsi="宋体"/>
          <w:color w:val="000000" w:themeColor="text1"/>
          <w:sz w:val="24"/>
        </w:rPr>
      </w:pPr>
      <w:r>
        <w:rPr>
          <w:rFonts w:ascii="宋体" w:hAnsi="宋体"/>
          <w:color w:val="000000" w:themeColor="text1"/>
          <w:sz w:val="24"/>
        </w:rPr>
        <w:t>18.3进行</w:t>
      </w:r>
      <w:r>
        <w:rPr>
          <w:rFonts w:hint="eastAsia" w:ascii="宋体" w:hAnsi="宋体"/>
          <w:color w:val="000000" w:themeColor="text1"/>
          <w:sz w:val="24"/>
        </w:rPr>
        <w:t>谈判</w:t>
      </w:r>
      <w:r>
        <w:rPr>
          <w:rFonts w:ascii="宋体" w:hAnsi="宋体"/>
          <w:color w:val="000000" w:themeColor="text1"/>
          <w:sz w:val="24"/>
        </w:rPr>
        <w:t>的各供应商应由其法定代表人或本项目的授权代表作为</w:t>
      </w:r>
      <w:r>
        <w:rPr>
          <w:rFonts w:hint="eastAsia" w:ascii="宋体" w:hAnsi="宋体"/>
          <w:color w:val="000000" w:themeColor="text1"/>
          <w:sz w:val="24"/>
        </w:rPr>
        <w:t>谈判</w:t>
      </w:r>
      <w:r>
        <w:rPr>
          <w:rFonts w:ascii="宋体" w:hAnsi="宋体"/>
          <w:color w:val="000000" w:themeColor="text1"/>
          <w:sz w:val="24"/>
        </w:rPr>
        <w:t>代表，</w:t>
      </w:r>
      <w:r>
        <w:rPr>
          <w:rFonts w:hint="eastAsia" w:ascii="宋体" w:hAnsi="宋体"/>
          <w:color w:val="000000" w:themeColor="text1"/>
          <w:sz w:val="24"/>
        </w:rPr>
        <w:t>谈判</w:t>
      </w:r>
      <w:r>
        <w:rPr>
          <w:rFonts w:ascii="宋体" w:hAnsi="宋体"/>
          <w:color w:val="000000" w:themeColor="text1"/>
          <w:sz w:val="24"/>
        </w:rPr>
        <w:t>过程中可有商务、技术及售后服务等人员（总人数不超过5人）共同参加</w:t>
      </w:r>
      <w:r>
        <w:rPr>
          <w:rFonts w:hint="eastAsia" w:ascii="宋体" w:hAnsi="宋体"/>
          <w:color w:val="000000" w:themeColor="text1"/>
          <w:sz w:val="24"/>
        </w:rPr>
        <w:t>谈判</w:t>
      </w:r>
      <w:r>
        <w:rPr>
          <w:rFonts w:ascii="宋体" w:hAnsi="宋体"/>
          <w:color w:val="000000" w:themeColor="text1"/>
          <w:sz w:val="24"/>
        </w:rPr>
        <w:t>。</w:t>
      </w:r>
    </w:p>
    <w:p w14:paraId="3F42FC4E">
      <w:pPr>
        <w:spacing w:line="360" w:lineRule="auto"/>
        <w:ind w:firstLine="480"/>
        <w:rPr>
          <w:rFonts w:ascii="宋体" w:hAnsi="宋体"/>
          <w:color w:val="000000" w:themeColor="text1"/>
          <w:sz w:val="24"/>
        </w:rPr>
      </w:pPr>
      <w:r>
        <w:rPr>
          <w:rFonts w:ascii="宋体" w:hAnsi="宋体"/>
          <w:color w:val="000000" w:themeColor="text1"/>
          <w:sz w:val="24"/>
        </w:rPr>
        <w:t xml:space="preserve">18.4 </w:t>
      </w:r>
      <w:r>
        <w:rPr>
          <w:rFonts w:hint="eastAsia" w:ascii="宋体" w:hAnsi="宋体"/>
          <w:color w:val="000000" w:themeColor="text1"/>
          <w:sz w:val="24"/>
        </w:rPr>
        <w:t>评审委员会将与获得谈判资格的各供应商分别进行谈判，谈判内容包括但不限于报价、技术、实施及服务等。在谈判中，谈判的任何一方不得透漏与谈判有关的其它供应商的技术资料、价格和其它信息。</w:t>
      </w:r>
    </w:p>
    <w:p w14:paraId="3D628758">
      <w:pPr>
        <w:spacing w:line="360" w:lineRule="auto"/>
        <w:ind w:firstLine="480"/>
        <w:rPr>
          <w:rFonts w:ascii="宋体" w:hAnsi="宋体"/>
          <w:color w:val="000000" w:themeColor="text1"/>
          <w:sz w:val="24"/>
        </w:rPr>
      </w:pPr>
      <w:r>
        <w:rPr>
          <w:rFonts w:ascii="宋体" w:hAnsi="宋体"/>
          <w:color w:val="000000" w:themeColor="text1"/>
          <w:sz w:val="24"/>
        </w:rPr>
        <w:t xml:space="preserve">18.5 </w:t>
      </w:r>
      <w:r>
        <w:rPr>
          <w:rFonts w:hint="eastAsia" w:ascii="宋体" w:hAnsi="宋体"/>
          <w:color w:val="000000" w:themeColor="text1"/>
          <w:sz w:val="24"/>
        </w:rPr>
        <w:t>谈判后，参加谈判的供应商应当在规定的时间内按评审委员会的要求递交针对本项目的最终报价和相关承诺。最终报价和相关承诺须由法定代表人或本项目的授权代表签字。</w:t>
      </w:r>
    </w:p>
    <w:p w14:paraId="018EBBB0">
      <w:pPr>
        <w:spacing w:line="360" w:lineRule="auto"/>
        <w:ind w:firstLine="480"/>
        <w:rPr>
          <w:rFonts w:ascii="宋体" w:hAnsi="宋体"/>
          <w:color w:val="000000" w:themeColor="text1"/>
          <w:sz w:val="24"/>
        </w:rPr>
      </w:pPr>
      <w:r>
        <w:rPr>
          <w:rFonts w:ascii="宋体" w:hAnsi="宋体"/>
          <w:color w:val="000000" w:themeColor="text1"/>
          <w:sz w:val="24"/>
        </w:rPr>
        <w:t xml:space="preserve">18.6 </w:t>
      </w:r>
      <w:r>
        <w:rPr>
          <w:rFonts w:hint="eastAsia" w:ascii="宋体" w:hAnsi="宋体"/>
          <w:color w:val="000000" w:themeColor="text1"/>
          <w:sz w:val="24"/>
        </w:rPr>
        <w:t>供应商应将其最终报价和相关承诺的正本一份密封装在一个信封中，信封上标明“项目名称及编号”、“供应商名称和地址”字样，并在规定的时间内递交至采购人。</w:t>
      </w:r>
    </w:p>
    <w:p w14:paraId="7049DEE2">
      <w:pPr>
        <w:spacing w:line="360" w:lineRule="auto"/>
        <w:ind w:firstLine="480"/>
        <w:rPr>
          <w:rFonts w:ascii="宋体" w:hAnsi="宋体"/>
          <w:color w:val="000000" w:themeColor="text1"/>
          <w:sz w:val="24"/>
        </w:rPr>
      </w:pPr>
      <w:r>
        <w:rPr>
          <w:rFonts w:ascii="宋体" w:hAnsi="宋体"/>
          <w:color w:val="000000" w:themeColor="text1"/>
          <w:sz w:val="24"/>
        </w:rPr>
        <w:t xml:space="preserve">18.7 </w:t>
      </w:r>
      <w:r>
        <w:rPr>
          <w:rFonts w:hint="eastAsia" w:ascii="宋体" w:hAnsi="宋体"/>
          <w:color w:val="000000" w:themeColor="text1"/>
          <w:sz w:val="24"/>
        </w:rPr>
        <w:t>供应商逾期递交的或不满足要求的最终报价和相关承诺将被拒绝，并将导致其竞争性谈判响应文件实质上没有响应竞争性谈判文件的要求。最终报价和相关承诺在递交后将不得更改，并将作为成交供应商的评审依据。</w:t>
      </w:r>
    </w:p>
    <w:p w14:paraId="7CB10564">
      <w:pPr>
        <w:spacing w:line="360" w:lineRule="auto"/>
        <w:ind w:firstLine="480"/>
        <w:rPr>
          <w:rFonts w:ascii="宋体" w:hAnsi="宋体"/>
          <w:color w:val="000000" w:themeColor="text1"/>
          <w:sz w:val="24"/>
        </w:rPr>
      </w:pPr>
      <w:r>
        <w:rPr>
          <w:rFonts w:ascii="宋体" w:hAnsi="宋体"/>
          <w:color w:val="000000" w:themeColor="text1"/>
          <w:sz w:val="24"/>
        </w:rPr>
        <w:t>19.成交供应商的评审</w:t>
      </w:r>
    </w:p>
    <w:p w14:paraId="40ABD306">
      <w:pPr>
        <w:spacing w:line="360" w:lineRule="auto"/>
        <w:ind w:firstLine="480"/>
        <w:rPr>
          <w:rFonts w:ascii="宋体" w:hAnsi="宋体"/>
          <w:color w:val="000000" w:themeColor="text1"/>
          <w:sz w:val="24"/>
        </w:rPr>
      </w:pPr>
      <w:r>
        <w:rPr>
          <w:rFonts w:ascii="宋体" w:hAnsi="宋体"/>
          <w:color w:val="000000" w:themeColor="text1"/>
          <w:sz w:val="24"/>
        </w:rPr>
        <w:t xml:space="preserve">19.1 </w:t>
      </w:r>
      <w:r>
        <w:rPr>
          <w:rFonts w:hint="eastAsia" w:ascii="宋体" w:hAnsi="宋体"/>
          <w:color w:val="000000" w:themeColor="text1"/>
          <w:sz w:val="24"/>
        </w:rPr>
        <w:t>评审委员会将对参加谈判且实质上响应竞争性谈判文件要求的各供应商进行成交供应商的评价和比价。评审的依据为供应商递交的竞争性谈判响应文件和谈判后递交的谈判报价、最终报价及承诺。</w:t>
      </w:r>
    </w:p>
    <w:p w14:paraId="7599E2D5">
      <w:pPr>
        <w:spacing w:line="360" w:lineRule="auto"/>
        <w:ind w:firstLine="480"/>
        <w:rPr>
          <w:rFonts w:ascii="宋体" w:hAnsi="宋体"/>
          <w:color w:val="000000" w:themeColor="text1"/>
          <w:sz w:val="24"/>
        </w:rPr>
      </w:pPr>
      <w:r>
        <w:rPr>
          <w:rFonts w:ascii="宋体" w:hAnsi="宋体"/>
          <w:color w:val="000000" w:themeColor="text1"/>
          <w:sz w:val="24"/>
        </w:rPr>
        <w:t xml:space="preserve">19.2 </w:t>
      </w:r>
      <w:r>
        <w:rPr>
          <w:rFonts w:hint="eastAsia" w:ascii="宋体" w:hAnsi="宋体"/>
          <w:color w:val="000000" w:themeColor="text1"/>
          <w:sz w:val="24"/>
        </w:rPr>
        <w:t>谈判后，评审委员会将对参加谈判的供应商进行综合评审，采用综合评审法并考虑以下因素：</w:t>
      </w:r>
    </w:p>
    <w:p w14:paraId="6BE84E66">
      <w:pPr>
        <w:spacing w:line="360" w:lineRule="auto"/>
        <w:ind w:firstLine="480"/>
        <w:rPr>
          <w:rFonts w:ascii="宋体" w:hAnsi="宋体"/>
          <w:color w:val="000000" w:themeColor="text1"/>
          <w:sz w:val="24"/>
        </w:rPr>
      </w:pPr>
      <w:r>
        <w:rPr>
          <w:rFonts w:hint="eastAsia" w:ascii="宋体" w:hAnsi="宋体"/>
          <w:color w:val="000000" w:themeColor="text1"/>
          <w:sz w:val="24"/>
        </w:rPr>
        <w:t>注：具体评审办法详见第三章评审办法。</w:t>
      </w:r>
    </w:p>
    <w:p w14:paraId="25D0AD92">
      <w:pPr>
        <w:spacing w:line="360" w:lineRule="auto"/>
        <w:ind w:firstLine="480"/>
        <w:rPr>
          <w:rFonts w:ascii="宋体" w:hAnsi="宋体"/>
          <w:color w:val="000000" w:themeColor="text1"/>
          <w:sz w:val="24"/>
        </w:rPr>
      </w:pPr>
      <w:r>
        <w:rPr>
          <w:rFonts w:ascii="宋体" w:hAnsi="宋体"/>
          <w:color w:val="000000" w:themeColor="text1"/>
          <w:sz w:val="24"/>
        </w:rPr>
        <w:t>19.3评审委员会将根据综合评估结果，对参加</w:t>
      </w:r>
      <w:r>
        <w:rPr>
          <w:rFonts w:hint="eastAsia" w:ascii="宋体" w:hAnsi="宋体"/>
          <w:color w:val="000000" w:themeColor="text1"/>
          <w:sz w:val="24"/>
        </w:rPr>
        <w:t>谈判</w:t>
      </w:r>
      <w:r>
        <w:rPr>
          <w:rFonts w:ascii="宋体" w:hAnsi="宋体"/>
          <w:color w:val="000000" w:themeColor="text1"/>
          <w:sz w:val="24"/>
        </w:rPr>
        <w:t>且实质上响应竞争性</w:t>
      </w:r>
      <w:r>
        <w:rPr>
          <w:rFonts w:hint="eastAsia" w:ascii="宋体" w:hAnsi="宋体"/>
          <w:color w:val="000000" w:themeColor="text1"/>
          <w:sz w:val="24"/>
        </w:rPr>
        <w:t>谈判</w:t>
      </w:r>
      <w:r>
        <w:rPr>
          <w:rFonts w:ascii="宋体" w:hAnsi="宋体"/>
          <w:color w:val="000000" w:themeColor="text1"/>
          <w:sz w:val="24"/>
        </w:rPr>
        <w:t>文件要求的供应商按综合得分排序向采购人推荐本项目的成交供应商候选人。</w:t>
      </w:r>
    </w:p>
    <w:p w14:paraId="593C1CA5">
      <w:pPr>
        <w:spacing w:line="360" w:lineRule="auto"/>
        <w:ind w:firstLine="480"/>
        <w:rPr>
          <w:rFonts w:ascii="宋体" w:hAnsi="宋体"/>
          <w:color w:val="000000" w:themeColor="text1"/>
          <w:sz w:val="24"/>
        </w:rPr>
      </w:pPr>
      <w:r>
        <w:rPr>
          <w:rFonts w:ascii="宋体" w:hAnsi="宋体"/>
          <w:color w:val="000000" w:themeColor="text1"/>
          <w:sz w:val="24"/>
        </w:rPr>
        <w:t>19.4评</w:t>
      </w:r>
      <w:r>
        <w:rPr>
          <w:rFonts w:hint="eastAsia" w:ascii="宋体" w:hAnsi="宋体"/>
          <w:color w:val="000000" w:themeColor="text1"/>
          <w:sz w:val="24"/>
        </w:rPr>
        <w:t>审</w:t>
      </w:r>
      <w:r>
        <w:rPr>
          <w:rFonts w:ascii="宋体" w:hAnsi="宋体"/>
          <w:color w:val="000000" w:themeColor="text1"/>
          <w:sz w:val="24"/>
        </w:rPr>
        <w:t>委员会发现</w:t>
      </w:r>
      <w:r>
        <w:rPr>
          <w:rFonts w:hint="eastAsia" w:ascii="宋体" w:hAnsi="宋体"/>
          <w:color w:val="000000" w:themeColor="text1"/>
          <w:sz w:val="24"/>
        </w:rPr>
        <w:t>供应商</w:t>
      </w:r>
      <w:r>
        <w:rPr>
          <w:rFonts w:ascii="宋体" w:hAnsi="宋体"/>
          <w:color w:val="000000" w:themeColor="text1"/>
          <w:sz w:val="24"/>
        </w:rPr>
        <w:t>的报价明显低于其他报价，有可能影响产品质量或者不能诚信履约的，且无法在评</w:t>
      </w:r>
      <w:r>
        <w:rPr>
          <w:rFonts w:hint="eastAsia" w:ascii="宋体" w:hAnsi="宋体"/>
          <w:color w:val="000000" w:themeColor="text1"/>
          <w:sz w:val="24"/>
        </w:rPr>
        <w:t>审</w:t>
      </w:r>
      <w:r>
        <w:rPr>
          <w:rFonts w:ascii="宋体" w:hAnsi="宋体"/>
          <w:color w:val="000000" w:themeColor="text1"/>
          <w:sz w:val="24"/>
        </w:rPr>
        <w:t>现场合理的时间内提供书面说明并在必要时提交相关证明材料，以证明其报价合理性的，评</w:t>
      </w:r>
      <w:r>
        <w:rPr>
          <w:rFonts w:hint="eastAsia" w:ascii="宋体" w:hAnsi="宋体"/>
          <w:color w:val="000000" w:themeColor="text1"/>
          <w:sz w:val="24"/>
        </w:rPr>
        <w:t>审</w:t>
      </w:r>
      <w:r>
        <w:rPr>
          <w:rFonts w:ascii="宋体" w:hAnsi="宋体"/>
          <w:color w:val="000000" w:themeColor="text1"/>
          <w:sz w:val="24"/>
        </w:rPr>
        <w:t>委员会认定该</w:t>
      </w:r>
      <w:r>
        <w:rPr>
          <w:rFonts w:hint="eastAsia" w:ascii="宋体" w:hAnsi="宋体"/>
          <w:color w:val="000000" w:themeColor="text1"/>
          <w:sz w:val="24"/>
        </w:rPr>
        <w:t>供应商</w:t>
      </w:r>
      <w:r>
        <w:rPr>
          <w:rFonts w:ascii="宋体" w:hAnsi="宋体"/>
          <w:color w:val="000000" w:themeColor="text1"/>
          <w:sz w:val="24"/>
        </w:rPr>
        <w:t>以低于成本报价竞标，其</w:t>
      </w:r>
      <w:r>
        <w:rPr>
          <w:rFonts w:hint="eastAsia" w:ascii="宋体" w:hAnsi="宋体"/>
          <w:color w:val="000000" w:themeColor="text1"/>
          <w:sz w:val="24"/>
        </w:rPr>
        <w:t>竞争性谈判响应文件</w:t>
      </w:r>
      <w:r>
        <w:rPr>
          <w:rFonts w:ascii="宋体" w:hAnsi="宋体"/>
          <w:color w:val="000000" w:themeColor="text1"/>
          <w:sz w:val="24"/>
        </w:rPr>
        <w:t>应作为无效处理。</w:t>
      </w:r>
    </w:p>
    <w:p w14:paraId="115FC0EA">
      <w:pPr>
        <w:spacing w:line="360" w:lineRule="auto"/>
        <w:ind w:firstLine="562"/>
        <w:rPr>
          <w:rFonts w:ascii="宋体" w:hAnsi="宋体"/>
          <w:b/>
          <w:color w:val="000000" w:themeColor="text1"/>
          <w:sz w:val="28"/>
          <w:szCs w:val="28"/>
        </w:rPr>
      </w:pPr>
      <w:r>
        <w:rPr>
          <w:rFonts w:hint="eastAsia" w:ascii="宋体" w:hAnsi="宋体"/>
          <w:b/>
          <w:color w:val="000000" w:themeColor="text1"/>
          <w:sz w:val="28"/>
          <w:szCs w:val="28"/>
        </w:rPr>
        <w:t>七、保密</w:t>
      </w:r>
    </w:p>
    <w:p w14:paraId="44B97B7F">
      <w:pPr>
        <w:spacing w:line="360" w:lineRule="auto"/>
        <w:ind w:firstLine="480"/>
        <w:rPr>
          <w:rFonts w:ascii="宋体" w:hAnsi="宋体"/>
          <w:color w:val="000000" w:themeColor="text1"/>
          <w:sz w:val="24"/>
        </w:rPr>
      </w:pPr>
      <w:r>
        <w:rPr>
          <w:rFonts w:ascii="宋体" w:hAnsi="宋体"/>
          <w:color w:val="000000" w:themeColor="text1"/>
          <w:sz w:val="24"/>
        </w:rPr>
        <w:t>20.</w:t>
      </w:r>
      <w:r>
        <w:rPr>
          <w:rFonts w:hint="eastAsia" w:ascii="宋体" w:hAnsi="宋体"/>
          <w:color w:val="000000" w:themeColor="text1"/>
          <w:sz w:val="24"/>
        </w:rPr>
        <w:t>与采购人的接触</w:t>
      </w:r>
    </w:p>
    <w:p w14:paraId="4C4D4D66">
      <w:pPr>
        <w:spacing w:line="360" w:lineRule="auto"/>
        <w:ind w:firstLine="480"/>
        <w:rPr>
          <w:rFonts w:ascii="宋体" w:hAnsi="宋体"/>
          <w:color w:val="000000" w:themeColor="text1"/>
          <w:sz w:val="24"/>
        </w:rPr>
      </w:pPr>
      <w:r>
        <w:rPr>
          <w:rFonts w:ascii="宋体" w:hAnsi="宋体"/>
          <w:color w:val="000000" w:themeColor="text1"/>
          <w:sz w:val="24"/>
        </w:rPr>
        <w:t>20.1</w:t>
      </w:r>
      <w:r>
        <w:rPr>
          <w:rFonts w:hint="eastAsia" w:ascii="宋体" w:hAnsi="宋体"/>
          <w:color w:val="000000" w:themeColor="text1"/>
          <w:sz w:val="24"/>
        </w:rPr>
        <w:t>除本须知第</w:t>
      </w:r>
      <w:r>
        <w:rPr>
          <w:rFonts w:ascii="宋体" w:hAnsi="宋体"/>
          <w:color w:val="000000" w:themeColor="text1"/>
          <w:sz w:val="24"/>
        </w:rPr>
        <w:t>17条和第19条规定外，从递交竞争性</w:t>
      </w:r>
      <w:r>
        <w:rPr>
          <w:rFonts w:hint="eastAsia" w:ascii="宋体" w:hAnsi="宋体"/>
          <w:color w:val="000000" w:themeColor="text1"/>
          <w:sz w:val="24"/>
        </w:rPr>
        <w:t>谈判</w:t>
      </w:r>
      <w:r>
        <w:rPr>
          <w:rFonts w:ascii="宋体" w:hAnsi="宋体"/>
          <w:color w:val="000000" w:themeColor="text1"/>
          <w:sz w:val="24"/>
        </w:rPr>
        <w:t>响应文件之日起至授予合同期间，供应商不得就与其竞争性</w:t>
      </w:r>
      <w:r>
        <w:rPr>
          <w:rFonts w:hint="eastAsia" w:ascii="宋体" w:hAnsi="宋体"/>
          <w:color w:val="000000" w:themeColor="text1"/>
          <w:sz w:val="24"/>
        </w:rPr>
        <w:t>谈判</w:t>
      </w:r>
      <w:r>
        <w:rPr>
          <w:rFonts w:ascii="宋体" w:hAnsi="宋体"/>
          <w:color w:val="000000" w:themeColor="text1"/>
          <w:sz w:val="24"/>
        </w:rPr>
        <w:t>响应文件有关的事项与采购人接触。</w:t>
      </w:r>
    </w:p>
    <w:p w14:paraId="24BF7483">
      <w:pPr>
        <w:spacing w:line="360" w:lineRule="auto"/>
        <w:ind w:firstLine="480"/>
        <w:rPr>
          <w:rFonts w:ascii="宋体" w:hAnsi="宋体"/>
          <w:color w:val="000000" w:themeColor="text1"/>
          <w:sz w:val="24"/>
        </w:rPr>
      </w:pPr>
      <w:r>
        <w:rPr>
          <w:rFonts w:ascii="宋体" w:hAnsi="宋体"/>
          <w:color w:val="000000" w:themeColor="text1"/>
          <w:sz w:val="24"/>
        </w:rPr>
        <w:t xml:space="preserve">20.2 </w:t>
      </w:r>
      <w:r>
        <w:rPr>
          <w:rFonts w:hint="eastAsia" w:ascii="宋体" w:hAnsi="宋体"/>
          <w:color w:val="000000" w:themeColor="text1"/>
          <w:sz w:val="24"/>
        </w:rPr>
        <w:t>供应商试图对评审委员会的评审、比较或授予合同的决定进行影响，都可能导致其响应文件被拒绝。</w:t>
      </w:r>
    </w:p>
    <w:p w14:paraId="40BA9234">
      <w:pPr>
        <w:spacing w:line="360" w:lineRule="auto"/>
        <w:ind w:firstLine="562"/>
        <w:rPr>
          <w:rFonts w:ascii="宋体" w:hAnsi="宋体"/>
          <w:b/>
          <w:color w:val="000000" w:themeColor="text1"/>
          <w:sz w:val="28"/>
          <w:szCs w:val="28"/>
        </w:rPr>
      </w:pPr>
      <w:r>
        <w:rPr>
          <w:rFonts w:hint="eastAsia" w:ascii="宋体" w:hAnsi="宋体"/>
          <w:b/>
          <w:color w:val="000000" w:themeColor="text1"/>
          <w:sz w:val="28"/>
          <w:szCs w:val="28"/>
        </w:rPr>
        <w:t>八、合同的签订</w:t>
      </w:r>
    </w:p>
    <w:p w14:paraId="5602D3FA">
      <w:pPr>
        <w:spacing w:line="360" w:lineRule="auto"/>
        <w:ind w:firstLine="480"/>
        <w:rPr>
          <w:rFonts w:ascii="宋体" w:hAnsi="宋体"/>
          <w:color w:val="000000" w:themeColor="text1"/>
          <w:sz w:val="24"/>
        </w:rPr>
      </w:pPr>
      <w:r>
        <w:rPr>
          <w:rFonts w:ascii="宋体" w:hAnsi="宋体"/>
          <w:color w:val="000000" w:themeColor="text1"/>
          <w:sz w:val="24"/>
        </w:rPr>
        <w:t xml:space="preserve">21. </w:t>
      </w:r>
      <w:r>
        <w:rPr>
          <w:rFonts w:hint="eastAsia" w:ascii="宋体" w:hAnsi="宋体"/>
          <w:color w:val="000000" w:themeColor="text1"/>
          <w:sz w:val="24"/>
        </w:rPr>
        <w:t>合同的签订（详见《供应商须知前附表》）</w:t>
      </w:r>
    </w:p>
    <w:p w14:paraId="05E0D707">
      <w:pPr>
        <w:spacing w:line="360" w:lineRule="auto"/>
        <w:ind w:firstLine="480"/>
        <w:rPr>
          <w:rFonts w:ascii="宋体" w:hAnsi="宋体"/>
          <w:color w:val="000000" w:themeColor="text1"/>
          <w:sz w:val="24"/>
        </w:rPr>
      </w:pPr>
      <w:r>
        <w:rPr>
          <w:rFonts w:ascii="宋体" w:hAnsi="宋体"/>
          <w:color w:val="000000" w:themeColor="text1"/>
          <w:sz w:val="24"/>
        </w:rPr>
        <w:t>21.1评审委员会将根据供应商综合评估结果，按综合得分排序向采购人推荐本项目的</w:t>
      </w:r>
      <w:r>
        <w:rPr>
          <w:rFonts w:hint="eastAsia" w:ascii="宋体" w:hAnsi="宋体"/>
          <w:color w:val="000000" w:themeColor="text1"/>
          <w:sz w:val="24"/>
        </w:rPr>
        <w:t>成交</w:t>
      </w:r>
      <w:r>
        <w:rPr>
          <w:rFonts w:ascii="宋体" w:hAnsi="宋体"/>
          <w:color w:val="000000" w:themeColor="text1"/>
          <w:sz w:val="24"/>
        </w:rPr>
        <w:t>供应商候选人。</w:t>
      </w:r>
    </w:p>
    <w:p w14:paraId="03A05FB9">
      <w:pPr>
        <w:spacing w:line="360" w:lineRule="auto"/>
        <w:ind w:firstLine="480"/>
        <w:rPr>
          <w:rFonts w:ascii="宋体" w:hAnsi="宋体"/>
          <w:color w:val="000000" w:themeColor="text1"/>
          <w:sz w:val="24"/>
        </w:rPr>
      </w:pPr>
      <w:r>
        <w:rPr>
          <w:rFonts w:ascii="宋体" w:hAnsi="宋体"/>
          <w:color w:val="000000" w:themeColor="text1"/>
          <w:sz w:val="24"/>
        </w:rPr>
        <w:t xml:space="preserve">21.2 </w:t>
      </w:r>
      <w:r>
        <w:rPr>
          <w:rFonts w:hint="eastAsia" w:ascii="宋体" w:hAnsi="宋体"/>
          <w:color w:val="000000" w:themeColor="text1"/>
          <w:sz w:val="24"/>
        </w:rPr>
        <w:t>在签订合同前，如评审委员会发现供应商存在提供虚假不实资料的，将拒绝其响应文件，并取消供应商推荐资格，同时按综合评估排序对下一个候选人能否令人满意地履行合同作类似的审查。</w:t>
      </w:r>
    </w:p>
    <w:p w14:paraId="72EEF773">
      <w:pPr>
        <w:spacing w:line="360" w:lineRule="auto"/>
        <w:ind w:firstLine="480"/>
        <w:rPr>
          <w:rFonts w:ascii="宋体" w:hAnsi="宋体"/>
          <w:color w:val="000000" w:themeColor="text1"/>
          <w:sz w:val="24"/>
        </w:rPr>
      </w:pPr>
      <w:r>
        <w:rPr>
          <w:rFonts w:ascii="宋体" w:hAnsi="宋体"/>
          <w:color w:val="000000" w:themeColor="text1"/>
          <w:sz w:val="24"/>
        </w:rPr>
        <w:t xml:space="preserve">22. </w:t>
      </w:r>
      <w:r>
        <w:rPr>
          <w:rFonts w:hint="eastAsia" w:ascii="宋体" w:hAnsi="宋体"/>
          <w:color w:val="000000" w:themeColor="text1"/>
          <w:sz w:val="24"/>
        </w:rPr>
        <w:t>接受和拒绝任何或所有响应文件的权力</w:t>
      </w:r>
    </w:p>
    <w:p w14:paraId="79BE9A0B">
      <w:pPr>
        <w:spacing w:line="360" w:lineRule="auto"/>
        <w:ind w:firstLine="480"/>
        <w:rPr>
          <w:rFonts w:ascii="宋体" w:hAnsi="宋体"/>
          <w:color w:val="000000" w:themeColor="text1"/>
          <w:sz w:val="24"/>
        </w:rPr>
      </w:pPr>
      <w:r>
        <w:rPr>
          <w:rFonts w:ascii="宋体" w:hAnsi="宋体"/>
          <w:color w:val="000000" w:themeColor="text1"/>
          <w:sz w:val="24"/>
        </w:rPr>
        <w:t>22.1</w:t>
      </w:r>
      <w:r>
        <w:rPr>
          <w:rFonts w:hint="eastAsia" w:ascii="宋体" w:hAnsi="宋体"/>
          <w:color w:val="000000" w:themeColor="text1"/>
          <w:sz w:val="24"/>
        </w:rPr>
        <w:t>采购人保留在签订合同之前任何时候接受或拒绝任何响应文件，以及宣布本次采购无效或拒绝所有响应文件的权力，对受影响的供应商不承担任何责任，也无义务向受影响的供应商解释采取这一行动的理由。</w:t>
      </w:r>
    </w:p>
    <w:p w14:paraId="4504774C">
      <w:pPr>
        <w:spacing w:line="360" w:lineRule="auto"/>
        <w:ind w:firstLine="480"/>
        <w:rPr>
          <w:rFonts w:ascii="宋体" w:hAnsi="宋体"/>
          <w:color w:val="000000" w:themeColor="text1"/>
          <w:sz w:val="24"/>
        </w:rPr>
      </w:pPr>
      <w:r>
        <w:rPr>
          <w:rFonts w:ascii="宋体" w:hAnsi="宋体"/>
          <w:color w:val="000000" w:themeColor="text1"/>
          <w:sz w:val="24"/>
        </w:rPr>
        <w:t>23.</w:t>
      </w:r>
      <w:r>
        <w:rPr>
          <w:rFonts w:hint="eastAsia" w:ascii="宋体" w:hAnsi="宋体"/>
          <w:color w:val="000000" w:themeColor="text1"/>
          <w:sz w:val="24"/>
        </w:rPr>
        <w:t>授予合同通知书</w:t>
      </w:r>
    </w:p>
    <w:p w14:paraId="70C6392E">
      <w:pPr>
        <w:spacing w:line="360" w:lineRule="auto"/>
        <w:ind w:firstLine="480"/>
        <w:rPr>
          <w:rFonts w:ascii="宋体" w:hAnsi="宋体"/>
          <w:color w:val="000000" w:themeColor="text1"/>
          <w:sz w:val="24"/>
        </w:rPr>
      </w:pPr>
      <w:r>
        <w:rPr>
          <w:rFonts w:ascii="宋体" w:hAnsi="宋体"/>
          <w:color w:val="000000" w:themeColor="text1"/>
          <w:sz w:val="24"/>
        </w:rPr>
        <w:t xml:space="preserve">23.1 </w:t>
      </w:r>
      <w:r>
        <w:rPr>
          <w:rFonts w:hint="eastAsia" w:ascii="宋体" w:hAnsi="宋体"/>
          <w:color w:val="000000" w:themeColor="text1"/>
          <w:sz w:val="24"/>
        </w:rPr>
        <w:t>采购人确定供应商后，将向成交供应商发出授予合同通知书。</w:t>
      </w:r>
    </w:p>
    <w:p w14:paraId="37CF09C8">
      <w:pPr>
        <w:spacing w:line="360" w:lineRule="auto"/>
        <w:ind w:firstLine="480"/>
        <w:rPr>
          <w:rFonts w:ascii="宋体" w:hAnsi="宋体"/>
          <w:color w:val="000000" w:themeColor="text1"/>
          <w:sz w:val="24"/>
        </w:rPr>
      </w:pPr>
      <w:r>
        <w:rPr>
          <w:rFonts w:ascii="宋体" w:hAnsi="宋体"/>
          <w:color w:val="000000" w:themeColor="text1"/>
          <w:sz w:val="24"/>
        </w:rPr>
        <w:t xml:space="preserve">23.2 </w:t>
      </w:r>
      <w:r>
        <w:rPr>
          <w:rFonts w:hint="eastAsia" w:ascii="宋体" w:hAnsi="宋体"/>
          <w:color w:val="000000" w:themeColor="text1"/>
          <w:sz w:val="24"/>
        </w:rPr>
        <w:t>授予合同通知书是合同的一个组成部分。</w:t>
      </w:r>
    </w:p>
    <w:p w14:paraId="694F2DA1">
      <w:pPr>
        <w:spacing w:line="360" w:lineRule="auto"/>
        <w:ind w:firstLine="480"/>
        <w:rPr>
          <w:rFonts w:ascii="宋体" w:hAnsi="宋体"/>
          <w:color w:val="000000" w:themeColor="text1"/>
          <w:sz w:val="24"/>
        </w:rPr>
      </w:pPr>
      <w:r>
        <w:rPr>
          <w:rFonts w:ascii="宋体" w:hAnsi="宋体"/>
          <w:color w:val="000000" w:themeColor="text1"/>
          <w:sz w:val="24"/>
        </w:rPr>
        <w:t>24.</w:t>
      </w:r>
      <w:r>
        <w:rPr>
          <w:rFonts w:hint="eastAsia" w:ascii="宋体" w:hAnsi="宋体"/>
          <w:color w:val="000000" w:themeColor="text1"/>
          <w:sz w:val="24"/>
        </w:rPr>
        <w:t>签订合同</w:t>
      </w:r>
    </w:p>
    <w:p w14:paraId="4DDD842C">
      <w:pPr>
        <w:spacing w:line="360" w:lineRule="auto"/>
        <w:ind w:firstLine="480"/>
        <w:rPr>
          <w:rFonts w:ascii="宋体" w:hAnsi="宋体"/>
          <w:color w:val="000000" w:themeColor="text1"/>
          <w:sz w:val="24"/>
        </w:rPr>
      </w:pPr>
      <w:r>
        <w:rPr>
          <w:rFonts w:ascii="宋体" w:hAnsi="宋体"/>
          <w:color w:val="000000" w:themeColor="text1"/>
          <w:sz w:val="24"/>
        </w:rPr>
        <w:t>24.1</w:t>
      </w:r>
      <w:r>
        <w:rPr>
          <w:rFonts w:hint="eastAsia" w:ascii="宋体" w:hAnsi="宋体"/>
          <w:color w:val="000000" w:themeColor="text1"/>
          <w:sz w:val="24"/>
        </w:rPr>
        <w:t>成交供应商应按授予合同通知书规定的时间、地点与采购人签订合同（格式见第四章《合同格式》），否则按响应有效期内撤回响应文件处理。</w:t>
      </w:r>
    </w:p>
    <w:p w14:paraId="568FF9DE">
      <w:pPr>
        <w:spacing w:line="360" w:lineRule="auto"/>
        <w:ind w:firstLine="480"/>
        <w:rPr>
          <w:rFonts w:eastAsia="黑体"/>
          <w:bCs/>
          <w:color w:val="000000" w:themeColor="text1"/>
          <w:kern w:val="44"/>
          <w:sz w:val="30"/>
          <w:szCs w:val="44"/>
        </w:rPr>
      </w:pPr>
      <w:r>
        <w:rPr>
          <w:rFonts w:ascii="宋体" w:hAnsi="宋体"/>
          <w:color w:val="000000" w:themeColor="text1"/>
          <w:sz w:val="24"/>
        </w:rPr>
        <w:t xml:space="preserve">24.2 </w:t>
      </w:r>
      <w:r>
        <w:rPr>
          <w:rFonts w:hint="eastAsia" w:ascii="宋体" w:hAnsi="宋体"/>
          <w:color w:val="000000" w:themeColor="text1"/>
          <w:sz w:val="24"/>
        </w:rPr>
        <w:t>如果成交供应商没有按照上述规定执行，采购人将有充分理由取消该中选决定。在此情况下，采购人可与下一个候选人签订合同，或重新采购。</w:t>
      </w:r>
      <w:r>
        <w:rPr>
          <w:color w:val="000000" w:themeColor="text1"/>
        </w:rPr>
        <w:br w:type="page"/>
      </w:r>
    </w:p>
    <w:bookmarkEnd w:id="10"/>
    <w:bookmarkEnd w:id="11"/>
    <w:bookmarkEnd w:id="12"/>
    <w:p w14:paraId="32582581">
      <w:pPr>
        <w:pStyle w:val="3"/>
      </w:pPr>
      <w:bookmarkStart w:id="13" w:name="_Toc21730"/>
      <w:bookmarkStart w:id="14" w:name="_Toc107822556"/>
      <w:bookmarkStart w:id="15" w:name="_Toc227057958"/>
      <w:bookmarkStart w:id="16" w:name="_Toc226969352"/>
      <w:r>
        <w:rPr>
          <w:rFonts w:hint="eastAsia"/>
        </w:rPr>
        <w:t>第三章评审办法</w:t>
      </w:r>
      <w:bookmarkEnd w:id="13"/>
    </w:p>
    <w:p w14:paraId="384890FE">
      <w:pPr>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供应商</w:t>
      </w:r>
      <w:r>
        <w:rPr>
          <w:rFonts w:ascii="宋体" w:hAnsi="宋体"/>
          <w:color w:val="000000" w:themeColor="text1"/>
          <w:sz w:val="24"/>
        </w:rPr>
        <w:t>须对第三章《</w:t>
      </w:r>
      <w:r>
        <w:rPr>
          <w:rFonts w:hint="eastAsia" w:ascii="宋体" w:hAnsi="宋体"/>
          <w:color w:val="000000" w:themeColor="text1"/>
          <w:sz w:val="24"/>
        </w:rPr>
        <w:t>评审</w:t>
      </w:r>
      <w:r>
        <w:rPr>
          <w:rFonts w:ascii="宋体" w:hAnsi="宋体"/>
          <w:color w:val="000000" w:themeColor="text1"/>
          <w:sz w:val="24"/>
        </w:rPr>
        <w:t>办法》中的评分要求逐项说明在</w:t>
      </w:r>
      <w:r>
        <w:rPr>
          <w:rFonts w:hint="eastAsia" w:ascii="宋体" w:hAnsi="宋体"/>
          <w:color w:val="000000" w:themeColor="text1"/>
          <w:sz w:val="24"/>
        </w:rPr>
        <w:t>响应文件</w:t>
      </w:r>
      <w:r>
        <w:rPr>
          <w:rFonts w:ascii="宋体" w:hAnsi="宋体"/>
          <w:color w:val="000000" w:themeColor="text1"/>
          <w:sz w:val="24"/>
        </w:rPr>
        <w:t>中的装订页码，并将该页装订在</w:t>
      </w:r>
      <w:r>
        <w:rPr>
          <w:rFonts w:hint="eastAsia" w:ascii="宋体" w:hAnsi="宋体"/>
          <w:color w:val="000000" w:themeColor="text1"/>
          <w:sz w:val="24"/>
        </w:rPr>
        <w:t>响应文件</w:t>
      </w:r>
      <w:r>
        <w:rPr>
          <w:rFonts w:ascii="宋体" w:hAnsi="宋体"/>
          <w:color w:val="000000" w:themeColor="text1"/>
          <w:sz w:val="24"/>
        </w:rPr>
        <w:t>的首页。</w:t>
      </w:r>
    </w:p>
    <w:p w14:paraId="6B767C96">
      <w:pPr>
        <w:spacing w:before="312" w:after="312" w:line="360" w:lineRule="auto"/>
        <w:ind w:firstLine="480"/>
        <w:jc w:val="left"/>
        <w:rPr>
          <w:rFonts w:ascii="宋体" w:hAnsi="宋体"/>
          <w:color w:val="000000" w:themeColor="text1"/>
          <w:sz w:val="24"/>
        </w:rPr>
      </w:pPr>
    </w:p>
    <w:p w14:paraId="45332650">
      <w:pPr>
        <w:spacing w:before="312" w:after="312"/>
        <w:ind w:firstLine="480"/>
        <w:rPr>
          <w:rFonts w:ascii="宋体" w:hAnsi="宋体"/>
          <w:color w:val="000000" w:themeColor="text1"/>
          <w:sz w:val="24"/>
        </w:rPr>
      </w:pPr>
    </w:p>
    <w:p w14:paraId="66D2C1D9">
      <w:pPr>
        <w:spacing w:line="360" w:lineRule="auto"/>
        <w:jc w:val="center"/>
        <w:rPr>
          <w:rFonts w:ascii="黑体" w:hAnsi="黑体" w:eastAsia="黑体"/>
          <w:color w:val="000000" w:themeColor="text1"/>
          <w:sz w:val="37"/>
          <w:szCs w:val="37"/>
        </w:rPr>
      </w:pPr>
      <w:r>
        <w:rPr>
          <w:rFonts w:ascii="宋体" w:hAnsi="宋体"/>
          <w:color w:val="000000" w:themeColor="text1"/>
        </w:rPr>
        <w:br w:type="page"/>
      </w:r>
      <w:r>
        <w:rPr>
          <w:rFonts w:hint="eastAsia" w:ascii="黑体" w:hAnsi="黑体" w:eastAsia="黑体"/>
          <w:color w:val="000000" w:themeColor="text1"/>
          <w:sz w:val="37"/>
          <w:szCs w:val="37"/>
        </w:rPr>
        <w:t>详细</w:t>
      </w:r>
      <w:r>
        <w:rPr>
          <w:rFonts w:ascii="黑体" w:hAnsi="黑体" w:eastAsia="黑体"/>
          <w:color w:val="000000" w:themeColor="text1"/>
          <w:sz w:val="37"/>
          <w:szCs w:val="37"/>
        </w:rPr>
        <w:t>评分表</w:t>
      </w:r>
    </w:p>
    <w:p w14:paraId="44F47D96">
      <w:pPr>
        <w:spacing w:line="360" w:lineRule="auto"/>
        <w:jc w:val="center"/>
        <w:rPr>
          <w:rFonts w:ascii="黑体" w:hAnsi="黑体" w:eastAsia="黑体"/>
          <w:color w:val="000000" w:themeColor="text1"/>
          <w:sz w:val="24"/>
        </w:rPr>
      </w:pPr>
      <w:r>
        <w:rPr>
          <w:rFonts w:ascii="黑体" w:hAnsi="黑体" w:eastAsia="黑体"/>
          <w:color w:val="000000" w:themeColor="text1"/>
          <w:sz w:val="24"/>
        </w:rPr>
        <w:t>（满分100分）</w:t>
      </w:r>
    </w:p>
    <w:tbl>
      <w:tblPr>
        <w:tblStyle w:val="53"/>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981"/>
        <w:gridCol w:w="816"/>
        <w:gridCol w:w="5799"/>
      </w:tblGrid>
      <w:tr w14:paraId="6140D6E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gridSpan w:val="2"/>
            <w:vAlign w:val="center"/>
          </w:tcPr>
          <w:p w14:paraId="6C6E9545">
            <w:pPr>
              <w:snapToGrid w:val="0"/>
              <w:spacing w:beforeLines="20" w:afterLines="20"/>
              <w:jc w:val="center"/>
              <w:rPr>
                <w:color w:val="000000"/>
                <w:kern w:val="0"/>
                <w:szCs w:val="21"/>
              </w:rPr>
            </w:pPr>
            <w:bookmarkStart w:id="17" w:name="_Toc22799"/>
            <w:r>
              <w:rPr>
                <w:color w:val="000000"/>
                <w:kern w:val="0"/>
                <w:szCs w:val="21"/>
              </w:rPr>
              <w:t>评分项目</w:t>
            </w:r>
          </w:p>
        </w:tc>
        <w:tc>
          <w:tcPr>
            <w:tcW w:w="816" w:type="dxa"/>
            <w:vAlign w:val="center"/>
          </w:tcPr>
          <w:p w14:paraId="234AC423">
            <w:pPr>
              <w:snapToGrid w:val="0"/>
              <w:spacing w:beforeLines="20" w:afterLines="20"/>
              <w:jc w:val="center"/>
              <w:rPr>
                <w:color w:val="000000"/>
                <w:kern w:val="0"/>
                <w:szCs w:val="21"/>
              </w:rPr>
            </w:pPr>
            <w:r>
              <w:rPr>
                <w:color w:val="000000"/>
                <w:kern w:val="0"/>
                <w:szCs w:val="21"/>
              </w:rPr>
              <w:t>分值</w:t>
            </w:r>
          </w:p>
        </w:tc>
        <w:tc>
          <w:tcPr>
            <w:tcW w:w="5799" w:type="dxa"/>
            <w:vAlign w:val="center"/>
          </w:tcPr>
          <w:p w14:paraId="2B480671">
            <w:pPr>
              <w:snapToGrid w:val="0"/>
              <w:spacing w:beforeLines="20" w:afterLines="20"/>
              <w:jc w:val="center"/>
              <w:rPr>
                <w:color w:val="000000"/>
                <w:kern w:val="0"/>
                <w:szCs w:val="21"/>
              </w:rPr>
            </w:pPr>
            <w:r>
              <w:rPr>
                <w:color w:val="000000"/>
                <w:kern w:val="0"/>
                <w:szCs w:val="21"/>
              </w:rPr>
              <w:t>评审标准</w:t>
            </w:r>
          </w:p>
        </w:tc>
      </w:tr>
      <w:tr w14:paraId="4AF4D48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gridSpan w:val="2"/>
            <w:vAlign w:val="center"/>
          </w:tcPr>
          <w:p w14:paraId="25A1D835">
            <w:pPr>
              <w:widowControl/>
              <w:jc w:val="center"/>
              <w:rPr>
                <w:b/>
                <w:bCs/>
                <w:color w:val="000000"/>
                <w:kern w:val="0"/>
                <w:szCs w:val="21"/>
              </w:rPr>
            </w:pPr>
            <w:r>
              <w:rPr>
                <w:b/>
                <w:bCs/>
                <w:color w:val="000000"/>
                <w:kern w:val="0"/>
                <w:szCs w:val="21"/>
              </w:rPr>
              <w:t>价格部分</w:t>
            </w:r>
          </w:p>
          <w:p w14:paraId="1EF6F557">
            <w:pPr>
              <w:widowControl/>
              <w:jc w:val="center"/>
              <w:rPr>
                <w:b/>
                <w:bCs/>
                <w:color w:val="000000"/>
                <w:kern w:val="0"/>
                <w:szCs w:val="21"/>
              </w:rPr>
            </w:pPr>
            <w:r>
              <w:rPr>
                <w:b/>
                <w:bCs/>
                <w:color w:val="000000"/>
                <w:kern w:val="0"/>
                <w:szCs w:val="21"/>
              </w:rPr>
              <w:t>（</w:t>
            </w:r>
            <w:r>
              <w:rPr>
                <w:rFonts w:hint="eastAsia"/>
                <w:b/>
                <w:bCs/>
                <w:color w:val="000000"/>
                <w:kern w:val="0"/>
                <w:szCs w:val="21"/>
              </w:rPr>
              <w:t>60</w:t>
            </w:r>
            <w:r>
              <w:rPr>
                <w:b/>
                <w:bCs/>
                <w:color w:val="000000"/>
                <w:kern w:val="0"/>
                <w:szCs w:val="21"/>
              </w:rPr>
              <w:t>分）</w:t>
            </w:r>
          </w:p>
        </w:tc>
        <w:tc>
          <w:tcPr>
            <w:tcW w:w="816" w:type="dxa"/>
            <w:vAlign w:val="center"/>
          </w:tcPr>
          <w:p w14:paraId="7A01C51B">
            <w:pPr>
              <w:widowControl/>
              <w:jc w:val="center"/>
              <w:rPr>
                <w:color w:val="000000"/>
                <w:kern w:val="0"/>
                <w:szCs w:val="21"/>
              </w:rPr>
            </w:pPr>
            <w:r>
              <w:rPr>
                <w:rFonts w:hint="eastAsia"/>
                <w:b/>
                <w:bCs/>
                <w:color w:val="000000"/>
                <w:kern w:val="0"/>
                <w:szCs w:val="21"/>
              </w:rPr>
              <w:t>60</w:t>
            </w:r>
          </w:p>
        </w:tc>
        <w:tc>
          <w:tcPr>
            <w:tcW w:w="5799" w:type="dxa"/>
            <w:vAlign w:val="center"/>
          </w:tcPr>
          <w:p w14:paraId="0BF63B49">
            <w:pPr>
              <w:widowControl/>
              <w:numPr>
                <w:ilvl w:val="0"/>
                <w:numId w:val="5"/>
              </w:numPr>
              <w:tabs>
                <w:tab w:val="left" w:pos="0"/>
              </w:tabs>
              <w:ind w:left="0"/>
              <w:rPr>
                <w:b/>
                <w:kern w:val="0"/>
                <w:szCs w:val="21"/>
              </w:rPr>
            </w:pPr>
            <w:r>
              <w:rPr>
                <w:b/>
                <w:kern w:val="0"/>
                <w:szCs w:val="21"/>
              </w:rPr>
              <w:t>A、评标价的计算：</w:t>
            </w:r>
          </w:p>
          <w:p w14:paraId="56AAD79B">
            <w:pPr>
              <w:widowControl/>
              <w:tabs>
                <w:tab w:val="left" w:pos="360"/>
                <w:tab w:val="left" w:pos="402"/>
              </w:tabs>
              <w:rPr>
                <w:kern w:val="0"/>
                <w:szCs w:val="21"/>
              </w:rPr>
            </w:pPr>
            <w:r>
              <w:rPr>
                <w:kern w:val="0"/>
                <w:szCs w:val="21"/>
              </w:rPr>
              <w:t>1、投标人的投标价如有缺漏项，</w:t>
            </w:r>
            <w:r>
              <w:rPr>
                <w:color w:val="000000"/>
                <w:kern w:val="0"/>
                <w:szCs w:val="21"/>
              </w:rPr>
              <w:t>否决投标</w:t>
            </w:r>
            <w:r>
              <w:rPr>
                <w:kern w:val="0"/>
                <w:szCs w:val="21"/>
              </w:rPr>
              <w:t>；</w:t>
            </w:r>
          </w:p>
          <w:p w14:paraId="3E311295">
            <w:pPr>
              <w:widowControl/>
              <w:tabs>
                <w:tab w:val="left" w:pos="360"/>
                <w:tab w:val="left" w:pos="402"/>
              </w:tabs>
              <w:rPr>
                <w:kern w:val="0"/>
                <w:szCs w:val="21"/>
              </w:rPr>
            </w:pPr>
            <w:r>
              <w:rPr>
                <w:kern w:val="0"/>
                <w:szCs w:val="21"/>
              </w:rPr>
              <w:t>2、不接受选择性报价或者具有附加条件的报价；</w:t>
            </w:r>
          </w:p>
          <w:p w14:paraId="0445A229">
            <w:pPr>
              <w:widowControl/>
              <w:tabs>
                <w:tab w:val="left" w:pos="360"/>
                <w:tab w:val="left" w:pos="402"/>
              </w:tabs>
              <w:rPr>
                <w:kern w:val="0"/>
                <w:szCs w:val="21"/>
              </w:rPr>
            </w:pPr>
            <w:r>
              <w:rPr>
                <w:kern w:val="0"/>
                <w:szCs w:val="21"/>
              </w:rPr>
              <w:t>3、投标文件中如果申报了非招标文件所要求的服务和产品，评审时不予以折价降低评标价。</w:t>
            </w:r>
          </w:p>
          <w:p w14:paraId="293E3F93">
            <w:pPr>
              <w:widowControl/>
              <w:numPr>
                <w:ilvl w:val="0"/>
                <w:numId w:val="5"/>
              </w:numPr>
              <w:tabs>
                <w:tab w:val="left" w:pos="0"/>
              </w:tabs>
              <w:ind w:left="0"/>
              <w:rPr>
                <w:b/>
                <w:kern w:val="0"/>
                <w:szCs w:val="21"/>
              </w:rPr>
            </w:pPr>
            <w:r>
              <w:rPr>
                <w:b/>
                <w:kern w:val="0"/>
                <w:szCs w:val="21"/>
              </w:rPr>
              <w:t>B、价格分的计算（保留小数点后2位）</w:t>
            </w:r>
          </w:p>
          <w:p w14:paraId="76642DD7">
            <w:pPr>
              <w:widowControl/>
              <w:tabs>
                <w:tab w:val="left" w:pos="360"/>
                <w:tab w:val="left" w:pos="402"/>
              </w:tabs>
              <w:rPr>
                <w:kern w:val="0"/>
                <w:szCs w:val="21"/>
              </w:rPr>
            </w:pPr>
            <w:r>
              <w:rPr>
                <w:kern w:val="0"/>
                <w:szCs w:val="21"/>
              </w:rPr>
              <w:t>1、投标人评审价=经评审的该投标人含税总价。</w:t>
            </w:r>
          </w:p>
          <w:p w14:paraId="0E9CEA09">
            <w:pPr>
              <w:widowControl/>
              <w:tabs>
                <w:tab w:val="left" w:pos="360"/>
                <w:tab w:val="left" w:pos="402"/>
              </w:tabs>
              <w:rPr>
                <w:kern w:val="0"/>
                <w:szCs w:val="21"/>
              </w:rPr>
            </w:pPr>
            <w:r>
              <w:rPr>
                <w:kern w:val="0"/>
                <w:szCs w:val="21"/>
              </w:rPr>
              <w:t>2、评标基准价：将满足招标文件要求的所有投标人的最低价为评标基准价。</w:t>
            </w:r>
          </w:p>
          <w:p w14:paraId="03BD1B93">
            <w:pPr>
              <w:jc w:val="left"/>
              <w:rPr>
                <w:color w:val="FF0000"/>
                <w:kern w:val="0"/>
                <w:szCs w:val="21"/>
              </w:rPr>
            </w:pPr>
            <w:r>
              <w:rPr>
                <w:kern w:val="0"/>
                <w:szCs w:val="21"/>
              </w:rPr>
              <w:t>3、计算价格得分：（评标基准价/评标价）×</w:t>
            </w:r>
            <w:r>
              <w:rPr>
                <w:rFonts w:hint="eastAsia"/>
                <w:kern w:val="0"/>
                <w:szCs w:val="21"/>
              </w:rPr>
              <w:t>6</w:t>
            </w:r>
            <w:r>
              <w:rPr>
                <w:kern w:val="0"/>
                <w:szCs w:val="21"/>
              </w:rPr>
              <w:t>0。</w:t>
            </w:r>
          </w:p>
        </w:tc>
      </w:tr>
      <w:tr w14:paraId="7FB2F7A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88" w:type="dxa"/>
            <w:vMerge w:val="restart"/>
            <w:vAlign w:val="center"/>
          </w:tcPr>
          <w:p w14:paraId="62A726D8">
            <w:pPr>
              <w:widowControl/>
              <w:jc w:val="center"/>
              <w:rPr>
                <w:b/>
                <w:bCs/>
                <w:color w:val="000000"/>
                <w:kern w:val="0"/>
                <w:szCs w:val="21"/>
              </w:rPr>
            </w:pPr>
            <w:r>
              <w:rPr>
                <w:b/>
                <w:bCs/>
                <w:color w:val="000000"/>
                <w:kern w:val="0"/>
                <w:szCs w:val="21"/>
              </w:rPr>
              <w:t>商务</w:t>
            </w:r>
          </w:p>
          <w:p w14:paraId="35BFB31C">
            <w:pPr>
              <w:widowControl/>
              <w:jc w:val="center"/>
              <w:rPr>
                <w:b/>
                <w:bCs/>
                <w:color w:val="000000"/>
                <w:kern w:val="0"/>
                <w:szCs w:val="21"/>
              </w:rPr>
            </w:pPr>
            <w:r>
              <w:rPr>
                <w:b/>
                <w:bCs/>
                <w:color w:val="000000"/>
                <w:kern w:val="0"/>
                <w:szCs w:val="21"/>
              </w:rPr>
              <w:t>部分</w:t>
            </w:r>
          </w:p>
          <w:p w14:paraId="790FED81">
            <w:pPr>
              <w:widowControl/>
              <w:jc w:val="center"/>
              <w:rPr>
                <w:b/>
                <w:bCs/>
                <w:color w:val="000000"/>
                <w:kern w:val="0"/>
                <w:szCs w:val="21"/>
              </w:rPr>
            </w:pPr>
            <w:r>
              <w:rPr>
                <w:b/>
                <w:bCs/>
                <w:color w:val="000000"/>
                <w:kern w:val="0"/>
                <w:szCs w:val="21"/>
              </w:rPr>
              <w:t>（</w:t>
            </w:r>
            <w:r>
              <w:rPr>
                <w:rFonts w:hint="eastAsia"/>
                <w:b/>
                <w:bCs/>
                <w:color w:val="000000"/>
                <w:kern w:val="0"/>
                <w:szCs w:val="21"/>
              </w:rPr>
              <w:t>20</w:t>
            </w:r>
            <w:r>
              <w:rPr>
                <w:b/>
                <w:bCs/>
                <w:color w:val="000000"/>
                <w:kern w:val="0"/>
                <w:szCs w:val="21"/>
              </w:rPr>
              <w:t>分）</w:t>
            </w:r>
          </w:p>
        </w:tc>
        <w:tc>
          <w:tcPr>
            <w:tcW w:w="981" w:type="dxa"/>
            <w:vAlign w:val="center"/>
          </w:tcPr>
          <w:p w14:paraId="15B913FC">
            <w:pPr>
              <w:adjustRightInd w:val="0"/>
              <w:snapToGrid w:val="0"/>
              <w:jc w:val="center"/>
              <w:rPr>
                <w:color w:val="000000"/>
                <w:kern w:val="0"/>
                <w:szCs w:val="21"/>
              </w:rPr>
            </w:pPr>
            <w:r>
              <w:rPr>
                <w:b/>
                <w:bCs/>
                <w:kern w:val="0"/>
                <w:szCs w:val="21"/>
              </w:rPr>
              <w:t>综合实力</w:t>
            </w:r>
          </w:p>
        </w:tc>
        <w:tc>
          <w:tcPr>
            <w:tcW w:w="816" w:type="dxa"/>
            <w:vAlign w:val="center"/>
          </w:tcPr>
          <w:p w14:paraId="5719D781">
            <w:pPr>
              <w:widowControl/>
              <w:jc w:val="center"/>
              <w:rPr>
                <w:b/>
                <w:bCs/>
                <w:color w:val="000000"/>
                <w:kern w:val="0"/>
                <w:szCs w:val="21"/>
              </w:rPr>
            </w:pPr>
            <w:r>
              <w:rPr>
                <w:rFonts w:hint="eastAsia"/>
                <w:b/>
                <w:bCs/>
                <w:color w:val="000000"/>
                <w:kern w:val="0"/>
                <w:szCs w:val="21"/>
              </w:rPr>
              <w:t>6</w:t>
            </w:r>
          </w:p>
        </w:tc>
        <w:tc>
          <w:tcPr>
            <w:tcW w:w="5799" w:type="dxa"/>
          </w:tcPr>
          <w:p w14:paraId="2AB5ADB6">
            <w:pPr>
              <w:widowControl/>
              <w:snapToGrid w:val="0"/>
              <w:jc w:val="left"/>
              <w:rPr>
                <w:kern w:val="0"/>
                <w:szCs w:val="21"/>
              </w:rPr>
            </w:pPr>
            <w:r>
              <w:rPr>
                <w:kern w:val="0"/>
                <w:szCs w:val="21"/>
              </w:rPr>
              <w:t>根据</w:t>
            </w:r>
            <w:r>
              <w:rPr>
                <w:rFonts w:hint="eastAsia"/>
                <w:kern w:val="0"/>
                <w:szCs w:val="21"/>
              </w:rPr>
              <w:t>制造商</w:t>
            </w:r>
            <w:r>
              <w:rPr>
                <w:kern w:val="0"/>
                <w:szCs w:val="21"/>
              </w:rPr>
              <w:t>的企业规模、业务范围、组织机构、研发机构、软硬件设施、发展情况、财务状况（总资产、负债率、利润等）打分。</w:t>
            </w:r>
          </w:p>
          <w:p w14:paraId="580CC71A">
            <w:pPr>
              <w:widowControl/>
              <w:snapToGrid w:val="0"/>
              <w:jc w:val="left"/>
              <w:rPr>
                <w:kern w:val="0"/>
                <w:szCs w:val="21"/>
              </w:rPr>
            </w:pPr>
            <w:r>
              <w:rPr>
                <w:kern w:val="0"/>
                <w:szCs w:val="21"/>
              </w:rPr>
              <w:t>优</w:t>
            </w:r>
            <w:r>
              <w:rPr>
                <w:rStyle w:val="393"/>
                <w:rFonts w:hint="default" w:ascii="Times New Roman" w:hAnsi="Times New Roman"/>
                <w:color w:val="000000"/>
                <w:szCs w:val="21"/>
              </w:rPr>
              <w:t>良(4，6]分；较好</w:t>
            </w:r>
            <w:r>
              <w:rPr>
                <w:rStyle w:val="393"/>
                <w:rFonts w:hint="default" w:ascii="Times New Roman" w:hAnsi="Times New Roman"/>
                <w:color w:val="000000"/>
                <w:kern w:val="0"/>
                <w:szCs w:val="21"/>
              </w:rPr>
              <w:t>[2，4]</w:t>
            </w:r>
            <w:r>
              <w:rPr>
                <w:rStyle w:val="393"/>
                <w:rFonts w:hint="default" w:ascii="Times New Roman" w:hAnsi="Times New Roman"/>
                <w:color w:val="000000"/>
                <w:szCs w:val="21"/>
              </w:rPr>
              <w:t>分</w:t>
            </w:r>
            <w:r>
              <w:rPr>
                <w:rStyle w:val="393"/>
                <w:rFonts w:hint="default" w:ascii="Times New Roman" w:hAnsi="Times New Roman"/>
                <w:color w:val="000000"/>
                <w:kern w:val="0"/>
                <w:szCs w:val="21"/>
              </w:rPr>
              <w:t>；</w:t>
            </w:r>
            <w:r>
              <w:rPr>
                <w:rStyle w:val="393"/>
                <w:rFonts w:hint="default" w:ascii="Times New Roman" w:hAnsi="Times New Roman"/>
                <w:color w:val="000000"/>
                <w:szCs w:val="21"/>
              </w:rPr>
              <w:t>一般[0，2)分</w:t>
            </w:r>
            <w:r>
              <w:rPr>
                <w:kern w:val="0"/>
                <w:szCs w:val="21"/>
              </w:rPr>
              <w:t>；未提供不得分。</w:t>
            </w:r>
          </w:p>
        </w:tc>
      </w:tr>
      <w:tr w14:paraId="69EE58C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088" w:type="dxa"/>
            <w:vMerge w:val="continue"/>
            <w:vAlign w:val="center"/>
          </w:tcPr>
          <w:p w14:paraId="6183C168">
            <w:pPr>
              <w:widowControl/>
              <w:jc w:val="center"/>
              <w:rPr>
                <w:b/>
                <w:bCs/>
                <w:color w:val="000000"/>
                <w:kern w:val="0"/>
                <w:szCs w:val="21"/>
              </w:rPr>
            </w:pPr>
          </w:p>
        </w:tc>
        <w:tc>
          <w:tcPr>
            <w:tcW w:w="981" w:type="dxa"/>
            <w:vAlign w:val="center"/>
          </w:tcPr>
          <w:p w14:paraId="17881FC6">
            <w:pPr>
              <w:adjustRightInd w:val="0"/>
              <w:snapToGrid w:val="0"/>
              <w:jc w:val="center"/>
              <w:rPr>
                <w:b/>
                <w:bCs/>
                <w:kern w:val="0"/>
                <w:szCs w:val="21"/>
              </w:rPr>
            </w:pPr>
            <w:r>
              <w:rPr>
                <w:rFonts w:hint="eastAsia"/>
                <w:b/>
                <w:bCs/>
                <w:kern w:val="0"/>
                <w:szCs w:val="21"/>
              </w:rPr>
              <w:t>制造商认证证书</w:t>
            </w:r>
          </w:p>
        </w:tc>
        <w:tc>
          <w:tcPr>
            <w:tcW w:w="816" w:type="dxa"/>
            <w:vAlign w:val="center"/>
          </w:tcPr>
          <w:p w14:paraId="37EE6262">
            <w:pPr>
              <w:widowControl/>
              <w:jc w:val="center"/>
              <w:rPr>
                <w:b/>
                <w:bCs/>
                <w:color w:val="000000"/>
                <w:kern w:val="0"/>
                <w:szCs w:val="21"/>
              </w:rPr>
            </w:pPr>
            <w:r>
              <w:rPr>
                <w:rFonts w:hint="eastAsia"/>
                <w:b/>
                <w:bCs/>
                <w:color w:val="000000"/>
                <w:kern w:val="0"/>
                <w:szCs w:val="21"/>
              </w:rPr>
              <w:t>4</w:t>
            </w:r>
          </w:p>
        </w:tc>
        <w:tc>
          <w:tcPr>
            <w:tcW w:w="5799" w:type="dxa"/>
          </w:tcPr>
          <w:p w14:paraId="62DFDDC1">
            <w:pPr>
              <w:jc w:val="left"/>
              <w:rPr>
                <w:kern w:val="0"/>
                <w:szCs w:val="21"/>
              </w:rPr>
            </w:pPr>
            <w:r>
              <w:rPr>
                <w:rFonts w:hint="eastAsia"/>
                <w:kern w:val="0"/>
                <w:szCs w:val="21"/>
              </w:rPr>
              <w:t>根</w:t>
            </w:r>
            <w:r>
              <w:rPr>
                <w:rFonts w:hint="eastAsia"/>
              </w:rPr>
              <w:t>据制造商提供的有效期内的ISO9001(质量管理体系)、ISO20000(信息技术服务管理体系)、ISO27001(信息安全管理体系)、ISO50001(能源管理体系)系列认证证书打分，每提供一项得1分，最高得4分，未提供不得分，需提供有效期内的证书复印件。</w:t>
            </w:r>
          </w:p>
        </w:tc>
      </w:tr>
      <w:tr w14:paraId="13DBD3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Merge w:val="continue"/>
            <w:vAlign w:val="center"/>
          </w:tcPr>
          <w:p w14:paraId="6BBDB189">
            <w:pPr>
              <w:adjustRightInd w:val="0"/>
              <w:snapToGrid w:val="0"/>
              <w:jc w:val="center"/>
              <w:rPr>
                <w:b/>
                <w:bCs/>
                <w:color w:val="000000"/>
                <w:kern w:val="0"/>
                <w:szCs w:val="21"/>
              </w:rPr>
            </w:pPr>
          </w:p>
        </w:tc>
        <w:tc>
          <w:tcPr>
            <w:tcW w:w="981" w:type="dxa"/>
            <w:vAlign w:val="center"/>
          </w:tcPr>
          <w:p w14:paraId="7E74B905">
            <w:pPr>
              <w:jc w:val="center"/>
              <w:rPr>
                <w:color w:val="000000"/>
                <w:kern w:val="0"/>
                <w:szCs w:val="21"/>
              </w:rPr>
            </w:pPr>
            <w:r>
              <w:rPr>
                <w:b/>
                <w:bCs/>
                <w:kern w:val="0"/>
                <w:szCs w:val="21"/>
              </w:rPr>
              <w:t xml:space="preserve"> 合同业绩</w:t>
            </w:r>
          </w:p>
        </w:tc>
        <w:tc>
          <w:tcPr>
            <w:tcW w:w="816" w:type="dxa"/>
            <w:vAlign w:val="center"/>
          </w:tcPr>
          <w:p w14:paraId="08266CD9">
            <w:pPr>
              <w:widowControl/>
              <w:jc w:val="center"/>
              <w:rPr>
                <w:b/>
                <w:bCs/>
                <w:color w:val="000000"/>
                <w:kern w:val="0"/>
                <w:szCs w:val="21"/>
              </w:rPr>
            </w:pPr>
            <w:r>
              <w:rPr>
                <w:rFonts w:hint="eastAsia"/>
                <w:b/>
                <w:bCs/>
                <w:color w:val="000000"/>
                <w:kern w:val="0"/>
                <w:szCs w:val="21"/>
              </w:rPr>
              <w:t>10</w:t>
            </w:r>
          </w:p>
        </w:tc>
        <w:tc>
          <w:tcPr>
            <w:tcW w:w="5799" w:type="dxa"/>
          </w:tcPr>
          <w:p w14:paraId="5ACA900C">
            <w:pPr>
              <w:widowControl/>
              <w:jc w:val="left"/>
            </w:pPr>
            <w:r>
              <w:t>根据投标产品系列自2022年1月1日到投标截止日前（以合同签订时间为准）在中国大陆地区类似项目的销售数量及金额打分。</w:t>
            </w:r>
            <w:r>
              <w:rPr>
                <w:rFonts w:hint="eastAsia" w:ascii="宋体" w:hAnsi="宋体"/>
                <w:color w:val="000000"/>
                <w:kern w:val="0"/>
                <w:szCs w:val="21"/>
              </w:rPr>
              <w:t>每提供一个业绩得2分，最高得10分。</w:t>
            </w:r>
          </w:p>
          <w:p w14:paraId="31020B47">
            <w:pPr>
              <w:jc w:val="left"/>
            </w:pPr>
            <w:r>
              <w:t>注：需提供</w:t>
            </w:r>
          </w:p>
          <w:p w14:paraId="6B0F55F3">
            <w:pPr>
              <w:jc w:val="left"/>
              <w:rPr>
                <w:szCs w:val="21"/>
              </w:rPr>
            </w:pPr>
            <w:r>
              <w:rPr>
                <w:szCs w:val="21"/>
              </w:rPr>
              <w:t>（1）合同关键页扫描件（至少包含合同封面、内容、金额、货物名称、签字盖章页；或能体现前述内容的合同关键页）、</w:t>
            </w:r>
            <w:r>
              <w:t>采购清单（标明设备型号）</w:t>
            </w:r>
            <w:r>
              <w:rPr>
                <w:szCs w:val="21"/>
              </w:rPr>
              <w:t>；</w:t>
            </w:r>
          </w:p>
          <w:p w14:paraId="35DA7297">
            <w:pPr>
              <w:jc w:val="left"/>
              <w:rPr>
                <w:color w:val="000000"/>
                <w:kern w:val="0"/>
                <w:szCs w:val="21"/>
              </w:rPr>
            </w:pPr>
            <w:r>
              <w:rPr>
                <w:szCs w:val="21"/>
              </w:rPr>
              <w:t>（2）如提供的合同为框架合同且不能体现具体金额的，须另附该合同项下的结算单或订单，该框架合同金额以结算单或订单累计金额为准，仅有订单未有对应合同的，该份业绩不予认可。</w:t>
            </w:r>
          </w:p>
        </w:tc>
      </w:tr>
      <w:tr w14:paraId="742FAD9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1088" w:type="dxa"/>
            <w:vMerge w:val="restart"/>
            <w:vAlign w:val="center"/>
          </w:tcPr>
          <w:p w14:paraId="23006826">
            <w:pPr>
              <w:adjustRightInd w:val="0"/>
              <w:snapToGrid w:val="0"/>
              <w:jc w:val="center"/>
              <w:rPr>
                <w:b/>
                <w:bCs/>
                <w:color w:val="000000"/>
                <w:kern w:val="0"/>
                <w:szCs w:val="21"/>
              </w:rPr>
            </w:pPr>
            <w:r>
              <w:rPr>
                <w:b/>
                <w:bCs/>
                <w:color w:val="000000"/>
                <w:kern w:val="0"/>
                <w:szCs w:val="21"/>
              </w:rPr>
              <w:t>技术</w:t>
            </w:r>
          </w:p>
          <w:p w14:paraId="4F080D9E">
            <w:pPr>
              <w:adjustRightInd w:val="0"/>
              <w:snapToGrid w:val="0"/>
              <w:jc w:val="center"/>
              <w:rPr>
                <w:b/>
                <w:bCs/>
                <w:color w:val="000000"/>
                <w:kern w:val="0"/>
                <w:szCs w:val="21"/>
              </w:rPr>
            </w:pPr>
            <w:r>
              <w:rPr>
                <w:b/>
                <w:bCs/>
                <w:color w:val="000000"/>
                <w:kern w:val="0"/>
                <w:szCs w:val="21"/>
              </w:rPr>
              <w:t>部分</w:t>
            </w:r>
          </w:p>
          <w:p w14:paraId="61C2292A">
            <w:pPr>
              <w:adjustRightInd w:val="0"/>
              <w:snapToGrid w:val="0"/>
              <w:jc w:val="center"/>
              <w:rPr>
                <w:b/>
                <w:bCs/>
                <w:color w:val="000000"/>
                <w:kern w:val="0"/>
                <w:szCs w:val="21"/>
              </w:rPr>
            </w:pPr>
            <w:r>
              <w:rPr>
                <w:b/>
                <w:bCs/>
                <w:color w:val="000000"/>
                <w:kern w:val="0"/>
                <w:szCs w:val="21"/>
              </w:rPr>
              <w:t>（</w:t>
            </w:r>
            <w:r>
              <w:rPr>
                <w:rFonts w:hint="eastAsia"/>
                <w:b/>
                <w:bCs/>
                <w:color w:val="000000"/>
                <w:kern w:val="0"/>
                <w:szCs w:val="21"/>
              </w:rPr>
              <w:t>20</w:t>
            </w:r>
            <w:r>
              <w:rPr>
                <w:b/>
                <w:bCs/>
                <w:color w:val="000000"/>
                <w:kern w:val="0"/>
                <w:szCs w:val="21"/>
              </w:rPr>
              <w:t>分）</w:t>
            </w:r>
          </w:p>
        </w:tc>
        <w:tc>
          <w:tcPr>
            <w:tcW w:w="981" w:type="dxa"/>
            <w:vAlign w:val="center"/>
          </w:tcPr>
          <w:p w14:paraId="2AFE4DCE">
            <w:pPr>
              <w:jc w:val="center"/>
              <w:rPr>
                <w:b/>
                <w:bCs/>
                <w:kern w:val="0"/>
                <w:szCs w:val="21"/>
              </w:rPr>
            </w:pPr>
            <w:r>
              <w:rPr>
                <w:b/>
                <w:bCs/>
                <w:kern w:val="0"/>
                <w:szCs w:val="21"/>
              </w:rPr>
              <w:t>技术响应</w:t>
            </w:r>
          </w:p>
        </w:tc>
        <w:tc>
          <w:tcPr>
            <w:tcW w:w="816" w:type="dxa"/>
            <w:vAlign w:val="center"/>
          </w:tcPr>
          <w:p w14:paraId="55C47355">
            <w:pPr>
              <w:widowControl/>
              <w:jc w:val="center"/>
              <w:rPr>
                <w:b/>
                <w:bCs/>
                <w:color w:val="000000"/>
                <w:kern w:val="0"/>
                <w:szCs w:val="21"/>
              </w:rPr>
            </w:pPr>
            <w:r>
              <w:rPr>
                <w:rFonts w:hint="eastAsia"/>
                <w:b/>
                <w:bCs/>
                <w:color w:val="000000"/>
                <w:kern w:val="0"/>
                <w:szCs w:val="21"/>
              </w:rPr>
              <w:t>5</w:t>
            </w:r>
          </w:p>
        </w:tc>
        <w:tc>
          <w:tcPr>
            <w:tcW w:w="5799" w:type="dxa"/>
            <w:vAlign w:val="center"/>
          </w:tcPr>
          <w:p w14:paraId="0D82E30F">
            <w:pPr>
              <w:jc w:val="left"/>
              <w:rPr>
                <w:szCs w:val="21"/>
              </w:rPr>
            </w:pPr>
            <w:r>
              <w:t>根</w:t>
            </w:r>
            <w:r>
              <w:rPr>
                <w:szCs w:val="21"/>
              </w:rPr>
              <w:t>据投标产品对招标文件第五章《技术需求书》的偏离情况打分，基本分</w:t>
            </w:r>
            <w:r>
              <w:rPr>
                <w:rFonts w:hint="eastAsia"/>
                <w:szCs w:val="21"/>
              </w:rPr>
              <w:t>5</w:t>
            </w:r>
            <w:r>
              <w:rPr>
                <w:szCs w:val="21"/>
              </w:rPr>
              <w:t>分。</w:t>
            </w:r>
          </w:p>
          <w:p w14:paraId="16BFE948">
            <w:pPr>
              <w:pStyle w:val="21"/>
              <w:rPr>
                <w:color w:val="000000"/>
                <w:kern w:val="0"/>
                <w:szCs w:val="21"/>
              </w:rPr>
            </w:pPr>
            <w:r>
              <w:rPr>
                <w:sz w:val="21"/>
                <w:szCs w:val="21"/>
              </w:rPr>
              <w:t>关键条款（“</w:t>
            </w:r>
            <w:r>
              <w:rPr>
                <w:rFonts w:hint="eastAsia"/>
                <w:sz w:val="21"/>
                <w:szCs w:val="21"/>
              </w:rPr>
              <w:t>★</w:t>
            </w:r>
            <w:r>
              <w:rPr>
                <w:sz w:val="21"/>
                <w:szCs w:val="21"/>
              </w:rPr>
              <w:t>”号条款）不满足的直接否决投标。</w:t>
            </w:r>
          </w:p>
        </w:tc>
      </w:tr>
      <w:tr w14:paraId="7F7DE0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88" w:type="dxa"/>
            <w:vMerge w:val="continue"/>
            <w:vAlign w:val="center"/>
          </w:tcPr>
          <w:p w14:paraId="08211282">
            <w:pPr>
              <w:adjustRightInd w:val="0"/>
              <w:snapToGrid w:val="0"/>
              <w:jc w:val="center"/>
              <w:rPr>
                <w:b/>
                <w:bCs/>
                <w:color w:val="000000"/>
                <w:kern w:val="0"/>
                <w:szCs w:val="21"/>
              </w:rPr>
            </w:pPr>
          </w:p>
        </w:tc>
        <w:tc>
          <w:tcPr>
            <w:tcW w:w="981" w:type="dxa"/>
            <w:vAlign w:val="center"/>
          </w:tcPr>
          <w:p w14:paraId="287797F6">
            <w:pPr>
              <w:jc w:val="center"/>
              <w:rPr>
                <w:b/>
                <w:bCs/>
                <w:kern w:val="0"/>
                <w:szCs w:val="21"/>
              </w:rPr>
            </w:pPr>
            <w:r>
              <w:rPr>
                <w:b/>
                <w:bCs/>
                <w:kern w:val="0"/>
                <w:szCs w:val="21"/>
              </w:rPr>
              <w:t>项目实施方案和要求</w:t>
            </w:r>
          </w:p>
        </w:tc>
        <w:tc>
          <w:tcPr>
            <w:tcW w:w="816" w:type="dxa"/>
            <w:vAlign w:val="center"/>
          </w:tcPr>
          <w:p w14:paraId="277D512B">
            <w:pPr>
              <w:jc w:val="center"/>
              <w:rPr>
                <w:b/>
                <w:bCs/>
                <w:color w:val="000000"/>
                <w:kern w:val="0"/>
                <w:szCs w:val="21"/>
              </w:rPr>
            </w:pPr>
            <w:r>
              <w:rPr>
                <w:rFonts w:hint="eastAsia"/>
                <w:b/>
                <w:bCs/>
                <w:color w:val="000000"/>
                <w:kern w:val="0"/>
                <w:szCs w:val="21"/>
              </w:rPr>
              <w:t>10</w:t>
            </w:r>
          </w:p>
        </w:tc>
        <w:tc>
          <w:tcPr>
            <w:tcW w:w="5799" w:type="dxa"/>
            <w:vAlign w:val="center"/>
          </w:tcPr>
          <w:p w14:paraId="2F5C7987">
            <w:pPr>
              <w:widowControl/>
              <w:jc w:val="left"/>
              <w:rPr>
                <w:szCs w:val="21"/>
              </w:rPr>
            </w:pPr>
            <w:r>
              <w:t>根据投标人提供的针对本项目的</w:t>
            </w:r>
            <w:r>
              <w:rPr>
                <w:rFonts w:hint="eastAsia"/>
              </w:rPr>
              <w:t>“2.2.2、用户认证建设方案”和“2.3.2、AI智能运维建设方案”响应情况</w:t>
            </w:r>
            <w:r>
              <w:t>进行评分。</w:t>
            </w:r>
          </w:p>
          <w:p w14:paraId="42057474">
            <w:pPr>
              <w:widowControl/>
              <w:spacing w:line="290" w:lineRule="exact"/>
              <w:jc w:val="left"/>
              <w:rPr>
                <w:kern w:val="0"/>
                <w:szCs w:val="21"/>
              </w:rPr>
            </w:pPr>
            <w:r>
              <w:rPr>
                <w:kern w:val="0"/>
                <w:szCs w:val="21"/>
              </w:rPr>
              <w:t>优</w:t>
            </w:r>
            <w:r>
              <w:rPr>
                <w:rStyle w:val="393"/>
                <w:rFonts w:hint="default" w:ascii="Times New Roman" w:hAnsi="Times New Roman"/>
                <w:color w:val="000000"/>
                <w:szCs w:val="21"/>
              </w:rPr>
              <w:t>良(</w:t>
            </w:r>
            <w:r>
              <w:rPr>
                <w:rStyle w:val="393"/>
                <w:rFonts w:hint="default"/>
                <w:color w:val="000000"/>
                <w:szCs w:val="21"/>
              </w:rPr>
              <w:t>8</w:t>
            </w:r>
            <w:r>
              <w:rPr>
                <w:rStyle w:val="393"/>
                <w:rFonts w:hint="default" w:ascii="Times New Roman" w:hAnsi="Times New Roman"/>
                <w:color w:val="000000"/>
                <w:szCs w:val="21"/>
              </w:rPr>
              <w:t>，</w:t>
            </w:r>
            <w:r>
              <w:rPr>
                <w:rStyle w:val="393"/>
                <w:rFonts w:hint="default"/>
                <w:color w:val="000000"/>
                <w:szCs w:val="21"/>
              </w:rPr>
              <w:t>10</w:t>
            </w:r>
            <w:r>
              <w:rPr>
                <w:rStyle w:val="393"/>
                <w:rFonts w:hint="default" w:ascii="Times New Roman" w:hAnsi="Times New Roman"/>
                <w:color w:val="000000"/>
                <w:szCs w:val="21"/>
              </w:rPr>
              <w:t>]分；较好</w:t>
            </w:r>
            <w:r>
              <w:rPr>
                <w:rStyle w:val="393"/>
                <w:rFonts w:hint="default" w:ascii="Times New Roman" w:hAnsi="Times New Roman"/>
                <w:color w:val="000000"/>
                <w:kern w:val="0"/>
                <w:szCs w:val="21"/>
              </w:rPr>
              <w:t>[</w:t>
            </w:r>
            <w:r>
              <w:rPr>
                <w:rStyle w:val="393"/>
                <w:rFonts w:hint="default"/>
                <w:color w:val="000000"/>
                <w:kern w:val="0"/>
                <w:szCs w:val="21"/>
              </w:rPr>
              <w:t>4</w:t>
            </w:r>
            <w:r>
              <w:rPr>
                <w:rStyle w:val="393"/>
                <w:rFonts w:hint="default" w:ascii="Times New Roman" w:hAnsi="Times New Roman"/>
                <w:color w:val="000000"/>
                <w:kern w:val="0"/>
                <w:szCs w:val="21"/>
              </w:rPr>
              <w:t>，</w:t>
            </w:r>
            <w:r>
              <w:rPr>
                <w:rStyle w:val="393"/>
                <w:rFonts w:hint="default"/>
                <w:color w:val="000000"/>
                <w:kern w:val="0"/>
                <w:szCs w:val="21"/>
              </w:rPr>
              <w:t>8</w:t>
            </w:r>
            <w:r>
              <w:rPr>
                <w:rStyle w:val="393"/>
                <w:rFonts w:hint="default" w:ascii="Times New Roman" w:hAnsi="Times New Roman"/>
                <w:color w:val="000000"/>
                <w:kern w:val="0"/>
                <w:szCs w:val="21"/>
              </w:rPr>
              <w:t>]</w:t>
            </w:r>
            <w:r>
              <w:rPr>
                <w:rStyle w:val="393"/>
                <w:rFonts w:hint="default" w:ascii="Times New Roman" w:hAnsi="Times New Roman"/>
                <w:color w:val="000000"/>
                <w:szCs w:val="21"/>
              </w:rPr>
              <w:t>分</w:t>
            </w:r>
            <w:r>
              <w:rPr>
                <w:rStyle w:val="393"/>
                <w:rFonts w:hint="default" w:ascii="Times New Roman" w:hAnsi="Times New Roman"/>
                <w:color w:val="000000"/>
                <w:kern w:val="0"/>
                <w:szCs w:val="21"/>
              </w:rPr>
              <w:t>；</w:t>
            </w:r>
            <w:r>
              <w:rPr>
                <w:rStyle w:val="393"/>
                <w:rFonts w:hint="default" w:ascii="Times New Roman" w:hAnsi="Times New Roman"/>
                <w:color w:val="000000"/>
                <w:szCs w:val="21"/>
              </w:rPr>
              <w:t>一般[0，</w:t>
            </w:r>
            <w:r>
              <w:rPr>
                <w:rStyle w:val="393"/>
                <w:rFonts w:hint="default"/>
                <w:color w:val="000000"/>
                <w:szCs w:val="21"/>
              </w:rPr>
              <w:t>4</w:t>
            </w:r>
            <w:r>
              <w:rPr>
                <w:rStyle w:val="393"/>
                <w:rFonts w:hint="default" w:ascii="Times New Roman" w:hAnsi="Times New Roman"/>
                <w:color w:val="000000"/>
                <w:szCs w:val="21"/>
              </w:rPr>
              <w:t>)分</w:t>
            </w:r>
            <w:r>
              <w:rPr>
                <w:kern w:val="0"/>
                <w:szCs w:val="21"/>
              </w:rPr>
              <w:t>；未提供不得分。</w:t>
            </w:r>
          </w:p>
        </w:tc>
      </w:tr>
      <w:tr w14:paraId="4D2276F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1088" w:type="dxa"/>
            <w:vMerge w:val="continue"/>
            <w:vAlign w:val="center"/>
          </w:tcPr>
          <w:p w14:paraId="010D03A1">
            <w:pPr>
              <w:adjustRightInd w:val="0"/>
              <w:snapToGrid w:val="0"/>
              <w:jc w:val="center"/>
              <w:rPr>
                <w:b/>
                <w:bCs/>
                <w:color w:val="000000"/>
                <w:kern w:val="0"/>
                <w:szCs w:val="21"/>
              </w:rPr>
            </w:pPr>
          </w:p>
        </w:tc>
        <w:tc>
          <w:tcPr>
            <w:tcW w:w="981" w:type="dxa"/>
            <w:vAlign w:val="center"/>
          </w:tcPr>
          <w:p w14:paraId="0E5DE77F">
            <w:pPr>
              <w:jc w:val="center"/>
              <w:rPr>
                <w:b/>
                <w:bCs/>
                <w:kern w:val="0"/>
                <w:szCs w:val="21"/>
              </w:rPr>
            </w:pPr>
            <w:r>
              <w:rPr>
                <w:b/>
                <w:bCs/>
                <w:kern w:val="0"/>
                <w:szCs w:val="21"/>
              </w:rPr>
              <w:t>服务能力</w:t>
            </w:r>
          </w:p>
        </w:tc>
        <w:tc>
          <w:tcPr>
            <w:tcW w:w="816" w:type="dxa"/>
            <w:vAlign w:val="center"/>
          </w:tcPr>
          <w:p w14:paraId="4A735F54">
            <w:pPr>
              <w:widowControl/>
              <w:jc w:val="center"/>
              <w:rPr>
                <w:b/>
                <w:bCs/>
                <w:color w:val="000000"/>
                <w:kern w:val="0"/>
                <w:szCs w:val="21"/>
              </w:rPr>
            </w:pPr>
            <w:r>
              <w:rPr>
                <w:rFonts w:hint="eastAsia"/>
                <w:b/>
                <w:bCs/>
                <w:color w:val="000000"/>
                <w:kern w:val="0"/>
                <w:szCs w:val="21"/>
              </w:rPr>
              <w:t>5</w:t>
            </w:r>
          </w:p>
        </w:tc>
        <w:tc>
          <w:tcPr>
            <w:tcW w:w="5799" w:type="dxa"/>
            <w:vAlign w:val="center"/>
          </w:tcPr>
          <w:p w14:paraId="1DEDF21E">
            <w:pPr>
              <w:widowControl/>
              <w:rPr>
                <w:rFonts w:ascii="宋体" w:hAnsi="宋体"/>
                <w:color w:val="000000"/>
                <w:kern w:val="0"/>
                <w:szCs w:val="21"/>
              </w:rPr>
            </w:pPr>
            <w:r>
              <w:rPr>
                <w:rFonts w:hint="eastAsia" w:ascii="宋体" w:hAnsi="宋体"/>
                <w:color w:val="000000"/>
                <w:kern w:val="0"/>
                <w:szCs w:val="21"/>
              </w:rPr>
              <w:t>根据投标人产品运维服务方案（包括但不限于售后服务成员安排、维护方案、服务响应、应急方案、应急维护响应时间、故障响应支持、产品升级及维护服务）打分。</w:t>
            </w:r>
          </w:p>
          <w:p w14:paraId="151E64AF">
            <w:pPr>
              <w:widowControl/>
              <w:numPr>
                <w:ilvl w:val="255"/>
                <w:numId w:val="0"/>
              </w:numPr>
              <w:jc w:val="left"/>
              <w:rPr>
                <w:szCs w:val="21"/>
              </w:rPr>
            </w:pPr>
            <w:r>
              <w:rPr>
                <w:kern w:val="0"/>
                <w:szCs w:val="21"/>
              </w:rPr>
              <w:t>优</w:t>
            </w:r>
            <w:r>
              <w:rPr>
                <w:rStyle w:val="393"/>
                <w:rFonts w:hint="default" w:ascii="Times New Roman" w:hAnsi="Times New Roman"/>
                <w:color w:val="000000"/>
                <w:szCs w:val="21"/>
              </w:rPr>
              <w:t>良(4，5]分；较好</w:t>
            </w:r>
            <w:r>
              <w:rPr>
                <w:rStyle w:val="393"/>
                <w:rFonts w:hint="default" w:ascii="Times New Roman" w:hAnsi="Times New Roman"/>
                <w:color w:val="000000"/>
                <w:kern w:val="0"/>
                <w:szCs w:val="21"/>
              </w:rPr>
              <w:t>[2，4]</w:t>
            </w:r>
            <w:r>
              <w:rPr>
                <w:rStyle w:val="393"/>
                <w:rFonts w:hint="default" w:ascii="Times New Roman" w:hAnsi="Times New Roman"/>
                <w:color w:val="000000"/>
                <w:szCs w:val="21"/>
              </w:rPr>
              <w:t>分</w:t>
            </w:r>
            <w:r>
              <w:rPr>
                <w:rStyle w:val="393"/>
                <w:rFonts w:hint="default" w:ascii="Times New Roman" w:hAnsi="Times New Roman"/>
                <w:color w:val="000000"/>
                <w:kern w:val="0"/>
                <w:szCs w:val="21"/>
              </w:rPr>
              <w:t>；</w:t>
            </w:r>
            <w:r>
              <w:rPr>
                <w:rStyle w:val="393"/>
                <w:rFonts w:hint="default" w:ascii="Times New Roman" w:hAnsi="Times New Roman"/>
                <w:color w:val="000000"/>
                <w:szCs w:val="21"/>
              </w:rPr>
              <w:t>一般[0，2)分。</w:t>
            </w:r>
          </w:p>
        </w:tc>
      </w:tr>
    </w:tbl>
    <w:p w14:paraId="1BC33ED7">
      <w:pPr>
        <w:pStyle w:val="2"/>
        <w:rPr>
          <w:rFonts w:eastAsia="黑体"/>
          <w:color w:val="EE0000"/>
          <w:kern w:val="44"/>
          <w:sz w:val="30"/>
          <w:szCs w:val="44"/>
        </w:rPr>
      </w:pPr>
      <w:r>
        <w:rPr>
          <w:color w:val="EE0000"/>
        </w:rPr>
        <w:br w:type="page"/>
      </w:r>
    </w:p>
    <w:p w14:paraId="18F6DA5F">
      <w:pPr>
        <w:pStyle w:val="3"/>
      </w:pPr>
      <w:r>
        <w:rPr>
          <w:rFonts w:hint="eastAsia"/>
        </w:rPr>
        <w:t>第四章</w:t>
      </w:r>
      <w:r>
        <w:t>合同格式</w:t>
      </w:r>
      <w:bookmarkEnd w:id="17"/>
    </w:p>
    <w:p w14:paraId="3C2EB284">
      <w:pPr>
        <w:widowControl/>
        <w:spacing w:line="360" w:lineRule="auto"/>
        <w:ind w:firstLine="480" w:firstLineChars="200"/>
        <w:jc w:val="left"/>
        <w:rPr>
          <w:color w:val="000000" w:themeColor="text1"/>
          <w:sz w:val="24"/>
        </w:rPr>
      </w:pPr>
      <w:r>
        <w:rPr>
          <w:color w:val="000000" w:themeColor="text1"/>
          <w:sz w:val="24"/>
        </w:rPr>
        <w:t>除了对</w:t>
      </w:r>
      <w:r>
        <w:rPr>
          <w:rFonts w:hint="eastAsia"/>
          <w:color w:val="000000" w:themeColor="text1"/>
          <w:sz w:val="24"/>
        </w:rPr>
        <w:t>谈判</w:t>
      </w:r>
      <w:r>
        <w:rPr>
          <w:color w:val="000000" w:themeColor="text1"/>
          <w:sz w:val="24"/>
        </w:rPr>
        <w:t>文件第</w:t>
      </w:r>
      <w:r>
        <w:rPr>
          <w:rFonts w:hint="eastAsia"/>
          <w:color w:val="000000" w:themeColor="text1"/>
          <w:sz w:val="24"/>
        </w:rPr>
        <w:t>四</w:t>
      </w:r>
      <w:r>
        <w:rPr>
          <w:color w:val="000000" w:themeColor="text1"/>
          <w:sz w:val="24"/>
        </w:rPr>
        <w:t>章《合同格式》内容的逐项应答外，供应商还应提供一份完整的合同文本，作为</w:t>
      </w:r>
      <w:r>
        <w:rPr>
          <w:rFonts w:hint="eastAsia"/>
          <w:color w:val="000000" w:themeColor="text1"/>
          <w:sz w:val="24"/>
        </w:rPr>
        <w:t>响应</w:t>
      </w:r>
      <w:r>
        <w:rPr>
          <w:color w:val="000000" w:themeColor="text1"/>
          <w:sz w:val="24"/>
        </w:rPr>
        <w:t>文件的一部分</w:t>
      </w:r>
      <w:r>
        <w:rPr>
          <w:rFonts w:hint="eastAsia"/>
          <w:color w:val="000000" w:themeColor="text1"/>
          <w:sz w:val="24"/>
        </w:rPr>
        <w:t>。</w:t>
      </w:r>
      <w:r>
        <w:rPr>
          <w:color w:val="000000" w:themeColor="text1"/>
          <w:sz w:val="24"/>
        </w:rPr>
        <w:t>对于</w:t>
      </w:r>
      <w:r>
        <w:rPr>
          <w:rFonts w:hint="eastAsia"/>
          <w:color w:val="000000" w:themeColor="text1"/>
          <w:sz w:val="24"/>
        </w:rPr>
        <w:t>谈判</w:t>
      </w:r>
      <w:r>
        <w:rPr>
          <w:color w:val="000000" w:themeColor="text1"/>
          <w:sz w:val="24"/>
        </w:rPr>
        <w:t>文件第</w:t>
      </w:r>
      <w:r>
        <w:rPr>
          <w:rFonts w:hint="eastAsia"/>
          <w:color w:val="000000" w:themeColor="text1"/>
          <w:sz w:val="24"/>
        </w:rPr>
        <w:t>四</w:t>
      </w:r>
      <w:r>
        <w:rPr>
          <w:color w:val="000000" w:themeColor="text1"/>
          <w:sz w:val="24"/>
        </w:rPr>
        <w:t>章《合同格式》内容的任何负偏离均将导致废标。</w:t>
      </w:r>
    </w:p>
    <w:p w14:paraId="1D151474">
      <w:pPr>
        <w:widowControl/>
        <w:spacing w:before="312" w:after="312" w:line="300" w:lineRule="auto"/>
        <w:ind w:firstLine="1040"/>
        <w:jc w:val="left"/>
        <w:rPr>
          <w:b/>
          <w:color w:val="000000" w:themeColor="text1"/>
        </w:rPr>
      </w:pPr>
      <w:r>
        <w:rPr>
          <w:rFonts w:eastAsia="黑体"/>
          <w:bCs/>
          <w:color w:val="000000" w:themeColor="text1"/>
          <w:sz w:val="52"/>
          <w:szCs w:val="52"/>
        </w:rPr>
        <w:br w:type="page"/>
      </w:r>
    </w:p>
    <w:p w14:paraId="00750FDB">
      <w:pPr>
        <w:spacing w:line="360" w:lineRule="auto"/>
        <w:jc w:val="center"/>
        <w:rPr>
          <w:rFonts w:eastAsia="黑体"/>
          <w:color w:val="000000"/>
          <w:sz w:val="37"/>
          <w:szCs w:val="37"/>
        </w:rPr>
      </w:pPr>
      <w:bookmarkStart w:id="18" w:name="_Toc69378621"/>
      <w:r>
        <w:rPr>
          <w:rFonts w:eastAsia="黑体"/>
          <w:color w:val="000000"/>
          <w:sz w:val="37"/>
        </w:rPr>
        <w:t>合同格式</w:t>
      </w:r>
    </w:p>
    <w:p w14:paraId="3DE864B9">
      <w:pPr>
        <w:spacing w:line="360" w:lineRule="auto"/>
        <w:ind w:firstLine="422" w:firstLineChars="200"/>
        <w:rPr>
          <w:rFonts w:ascii="宋体" w:hAnsi="宋体"/>
          <w:szCs w:val="21"/>
        </w:rPr>
      </w:pPr>
      <w:r>
        <w:rPr>
          <w:rFonts w:ascii="宋体" w:hAnsi="宋体"/>
          <w:b/>
          <w:szCs w:val="21"/>
          <w:u w:val="single"/>
        </w:rPr>
        <w:t>江苏省广电有线信息网络股份有限公司（以下简称“甲方”）</w:t>
      </w:r>
      <w:r>
        <w:rPr>
          <w:rFonts w:ascii="宋体" w:hAnsi="宋体"/>
          <w:szCs w:val="21"/>
        </w:rPr>
        <w:t>就</w:t>
      </w:r>
      <w:r>
        <w:rPr>
          <w:rFonts w:hint="eastAsia" w:ascii="宋体" w:hAnsi="宋体"/>
          <w:b/>
          <w:bCs/>
          <w:szCs w:val="21"/>
          <w:u w:val="single"/>
        </w:rPr>
        <w:t>园区1号楼无线网络优化项目</w:t>
      </w:r>
      <w:r>
        <w:rPr>
          <w:rFonts w:ascii="宋体" w:hAnsi="宋体"/>
          <w:szCs w:val="21"/>
        </w:rPr>
        <w:t>的采购及相关服务组织了</w:t>
      </w:r>
      <w:r>
        <w:rPr>
          <w:rFonts w:hint="eastAsia" w:ascii="宋体" w:hAnsi="宋体"/>
          <w:szCs w:val="21"/>
        </w:rPr>
        <w:t>询价</w:t>
      </w:r>
      <w:r>
        <w:rPr>
          <w:rFonts w:ascii="宋体" w:hAnsi="宋体"/>
          <w:szCs w:val="21"/>
        </w:rPr>
        <w:t>，经评委会严格评审，本项目由</w:t>
      </w:r>
      <w:r>
        <w:rPr>
          <w:rFonts w:ascii="宋体" w:hAnsi="宋体"/>
          <w:b/>
          <w:szCs w:val="21"/>
          <w:u w:val="single"/>
        </w:rPr>
        <w:t>公司</w:t>
      </w:r>
      <w:r>
        <w:rPr>
          <w:rFonts w:ascii="宋体" w:hAnsi="宋体"/>
          <w:b/>
          <w:szCs w:val="21"/>
        </w:rPr>
        <w:t>（以下简称“乙方”）</w:t>
      </w:r>
      <w:r>
        <w:rPr>
          <w:rFonts w:ascii="宋体" w:hAnsi="宋体"/>
          <w:szCs w:val="21"/>
        </w:rPr>
        <w:t>中标。</w:t>
      </w:r>
    </w:p>
    <w:p w14:paraId="59B1D2A4">
      <w:pPr>
        <w:spacing w:line="360" w:lineRule="auto"/>
        <w:ind w:firstLine="420" w:firstLineChars="200"/>
        <w:rPr>
          <w:rFonts w:ascii="宋体" w:hAnsi="宋体"/>
          <w:szCs w:val="21"/>
        </w:rPr>
      </w:pPr>
      <w:r>
        <w:rPr>
          <w:rFonts w:hint="eastAsia" w:ascii="宋体" w:hAnsi="宋体"/>
          <w:bCs/>
          <w:szCs w:val="21"/>
        </w:rPr>
        <w:t>甲</w:t>
      </w:r>
      <w:r>
        <w:rPr>
          <w:rFonts w:ascii="宋体" w:hAnsi="宋体"/>
          <w:bCs/>
          <w:szCs w:val="21"/>
        </w:rPr>
        <w:t>、</w:t>
      </w:r>
      <w:r>
        <w:rPr>
          <w:rFonts w:hint="eastAsia" w:ascii="宋体" w:hAnsi="宋体"/>
          <w:bCs/>
          <w:szCs w:val="21"/>
        </w:rPr>
        <w:t>乙</w:t>
      </w:r>
      <w:r>
        <w:rPr>
          <w:rFonts w:ascii="宋体" w:hAnsi="宋体"/>
          <w:bCs/>
          <w:szCs w:val="21"/>
        </w:rPr>
        <w:t>双方根据</w:t>
      </w:r>
      <w:r>
        <w:rPr>
          <w:rFonts w:hint="eastAsia" w:ascii="宋体" w:hAnsi="宋体"/>
          <w:bCs/>
          <w:szCs w:val="21"/>
        </w:rPr>
        <w:t>询价</w:t>
      </w:r>
      <w:r>
        <w:rPr>
          <w:rFonts w:ascii="宋体" w:hAnsi="宋体"/>
          <w:szCs w:val="21"/>
        </w:rPr>
        <w:t>文件的规定、乙方</w:t>
      </w:r>
      <w:r>
        <w:rPr>
          <w:rFonts w:hint="eastAsia" w:ascii="宋体" w:hAnsi="宋体"/>
          <w:szCs w:val="21"/>
        </w:rPr>
        <w:t>响应</w:t>
      </w:r>
      <w:r>
        <w:rPr>
          <w:rFonts w:ascii="宋体" w:hAnsi="宋体"/>
          <w:szCs w:val="21"/>
        </w:rPr>
        <w:t>文件及</w:t>
      </w:r>
      <w:r>
        <w:rPr>
          <w:rFonts w:hint="eastAsia" w:ascii="宋体" w:hAnsi="宋体"/>
          <w:szCs w:val="21"/>
        </w:rPr>
        <w:t>询价</w:t>
      </w:r>
      <w:r>
        <w:rPr>
          <w:rFonts w:ascii="宋体" w:hAnsi="宋体"/>
          <w:szCs w:val="21"/>
        </w:rPr>
        <w:t>时乙方做出的书面承诺，依法签订本合同。</w:t>
      </w:r>
    </w:p>
    <w:p w14:paraId="711618CF">
      <w:pPr>
        <w:pStyle w:val="3"/>
        <w:widowControl/>
        <w:tabs>
          <w:tab w:val="left" w:pos="25"/>
        </w:tabs>
        <w:jc w:val="left"/>
        <w:rPr>
          <w:rFonts w:ascii="宋体" w:hAnsi="宋体" w:cs="宋体"/>
          <w:bCs w:val="0"/>
          <w:sz w:val="21"/>
          <w:szCs w:val="21"/>
        </w:rPr>
      </w:pPr>
      <w:bookmarkStart w:id="19" w:name="_Toc3115"/>
      <w:bookmarkStart w:id="20" w:name="_Toc69378619"/>
      <w:r>
        <w:rPr>
          <w:rFonts w:ascii="宋体" w:hAnsi="宋体" w:cs="宋体"/>
          <w:bCs w:val="0"/>
          <w:sz w:val="21"/>
          <w:szCs w:val="21"/>
        </w:rPr>
        <w:t>一、项目标的和内容</w:t>
      </w:r>
      <w:bookmarkEnd w:id="19"/>
      <w:bookmarkEnd w:id="20"/>
    </w:p>
    <w:p w14:paraId="7C7231FD">
      <w:pPr>
        <w:spacing w:line="360" w:lineRule="auto"/>
        <w:ind w:firstLine="420" w:firstLineChars="200"/>
        <w:rPr>
          <w:szCs w:val="21"/>
        </w:rPr>
      </w:pPr>
      <w:bookmarkStart w:id="21" w:name="_Toc69378620"/>
      <w:r>
        <w:rPr>
          <w:szCs w:val="21"/>
        </w:rPr>
        <w:t>项目标的内容包括乙方按照甲方具体要求供应</w:t>
      </w:r>
      <w:r>
        <w:rPr>
          <w:rFonts w:hint="eastAsia" w:ascii="Tahoma" w:hAnsi="Tahoma"/>
          <w:sz w:val="24"/>
          <w:u w:val="single"/>
        </w:rPr>
        <w:t>“</w:t>
      </w:r>
      <w:r>
        <w:rPr>
          <w:rFonts w:hint="eastAsia"/>
          <w:szCs w:val="21"/>
          <w:u w:val="single"/>
        </w:rPr>
        <w:t>园区1号楼无线网络优化项目</w:t>
      </w:r>
      <w:r>
        <w:rPr>
          <w:rFonts w:hint="eastAsia" w:ascii="Tahoma" w:hAnsi="Tahoma"/>
          <w:sz w:val="24"/>
          <w:u w:val="single"/>
        </w:rPr>
        <w:t>”</w:t>
      </w:r>
      <w:r>
        <w:rPr>
          <w:szCs w:val="21"/>
        </w:rPr>
        <w:t>相关软</w:t>
      </w:r>
      <w:r>
        <w:rPr>
          <w:rFonts w:hint="eastAsia"/>
          <w:szCs w:val="21"/>
        </w:rPr>
        <w:t>硬</w:t>
      </w:r>
      <w:r>
        <w:rPr>
          <w:szCs w:val="21"/>
        </w:rPr>
        <w:t>件、</w:t>
      </w:r>
      <w:r>
        <w:rPr>
          <w:rFonts w:hint="eastAsia"/>
          <w:szCs w:val="21"/>
        </w:rPr>
        <w:t>授权</w:t>
      </w:r>
      <w:r>
        <w:rPr>
          <w:szCs w:val="21"/>
        </w:rPr>
        <w:t>，并完成所有软、硬件的安装、调试及操作培训工作，同时</w:t>
      </w:r>
      <w:r>
        <w:rPr>
          <w:rFonts w:hint="eastAsia"/>
          <w:szCs w:val="21"/>
        </w:rPr>
        <w:t>乙</w:t>
      </w:r>
      <w:r>
        <w:rPr>
          <w:szCs w:val="21"/>
        </w:rPr>
        <w:t>方承诺配合</w:t>
      </w:r>
      <w:r>
        <w:rPr>
          <w:rFonts w:hint="eastAsia"/>
          <w:szCs w:val="21"/>
        </w:rPr>
        <w:t>甲</w:t>
      </w:r>
      <w:r>
        <w:rPr>
          <w:szCs w:val="21"/>
        </w:rPr>
        <w:t>方及</w:t>
      </w:r>
      <w:r>
        <w:rPr>
          <w:rFonts w:hint="eastAsia"/>
          <w:szCs w:val="21"/>
        </w:rPr>
        <w:t>乙</w:t>
      </w:r>
      <w:r>
        <w:rPr>
          <w:szCs w:val="21"/>
        </w:rPr>
        <w:t>方指定的厂商完成相关的系统集成。具体设备名称、规格型号、配置、数量、价格明细及总价等详见附件一：</w:t>
      </w:r>
      <w:r>
        <w:rPr>
          <w:rFonts w:hint="eastAsia"/>
          <w:szCs w:val="21"/>
        </w:rPr>
        <w:t>价格表</w:t>
      </w:r>
      <w:r>
        <w:rPr>
          <w:szCs w:val="21"/>
        </w:rPr>
        <w:t>。</w:t>
      </w:r>
    </w:p>
    <w:p w14:paraId="48C17D13">
      <w:pPr>
        <w:pStyle w:val="3"/>
        <w:widowControl/>
        <w:tabs>
          <w:tab w:val="left" w:pos="25"/>
        </w:tabs>
        <w:jc w:val="left"/>
        <w:rPr>
          <w:rFonts w:ascii="宋体" w:hAnsi="宋体" w:cs="宋体"/>
          <w:bCs w:val="0"/>
          <w:sz w:val="21"/>
          <w:szCs w:val="21"/>
        </w:rPr>
      </w:pPr>
      <w:bookmarkStart w:id="22" w:name="_Toc2311"/>
      <w:r>
        <w:rPr>
          <w:rFonts w:ascii="宋体" w:hAnsi="宋体" w:cs="宋体"/>
          <w:bCs w:val="0"/>
          <w:sz w:val="21"/>
          <w:szCs w:val="21"/>
        </w:rPr>
        <w:t>二、合同总价</w:t>
      </w:r>
      <w:bookmarkEnd w:id="21"/>
      <w:bookmarkEnd w:id="22"/>
    </w:p>
    <w:p w14:paraId="7AC9D044">
      <w:pPr>
        <w:numPr>
          <w:ilvl w:val="1"/>
          <w:numId w:val="6"/>
        </w:numPr>
        <w:tabs>
          <w:tab w:val="left" w:pos="0"/>
          <w:tab w:val="clear" w:pos="1155"/>
        </w:tabs>
        <w:spacing w:line="360" w:lineRule="auto"/>
        <w:ind w:left="0" w:firstLine="0"/>
        <w:rPr>
          <w:rFonts w:ascii="宋体" w:hAnsi="宋体"/>
          <w:szCs w:val="21"/>
        </w:rPr>
      </w:pPr>
      <w:r>
        <w:rPr>
          <w:rFonts w:ascii="宋体" w:hAnsi="宋体"/>
          <w:szCs w:val="21"/>
        </w:rPr>
        <w:t>合同总价</w:t>
      </w:r>
      <w:r>
        <w:rPr>
          <w:rFonts w:ascii="宋体" w:hAnsi="宋体"/>
          <w:b/>
          <w:szCs w:val="21"/>
        </w:rPr>
        <w:t>（人民币大写）：</w:t>
      </w:r>
      <w:r>
        <w:rPr>
          <w:rFonts w:ascii="宋体" w:hAnsi="宋体"/>
          <w:szCs w:val="21"/>
        </w:rPr>
        <w:t>。</w:t>
      </w:r>
    </w:p>
    <w:p w14:paraId="4B7A7D8A">
      <w:pPr>
        <w:spacing w:line="360" w:lineRule="auto"/>
        <w:ind w:firstLine="1265" w:firstLineChars="600"/>
        <w:rPr>
          <w:rFonts w:ascii="宋体" w:hAnsi="宋体"/>
          <w:szCs w:val="21"/>
        </w:rPr>
      </w:pPr>
      <w:r>
        <w:rPr>
          <w:rFonts w:ascii="宋体" w:hAnsi="宋体"/>
          <w:b/>
          <w:szCs w:val="21"/>
        </w:rPr>
        <w:t>（人民币小写）：</w:t>
      </w:r>
      <w:r>
        <w:rPr>
          <w:rFonts w:ascii="宋体" w:hAnsi="宋体"/>
          <w:b/>
          <w:szCs w:val="21"/>
          <w:u w:val="single"/>
        </w:rPr>
        <w:t>￥</w:t>
      </w:r>
      <w:r>
        <w:rPr>
          <w:rFonts w:ascii="宋体" w:hAnsi="宋体"/>
          <w:szCs w:val="21"/>
        </w:rPr>
        <w:t>。</w:t>
      </w:r>
    </w:p>
    <w:p w14:paraId="6DD79AAC">
      <w:pPr>
        <w:numPr>
          <w:ilvl w:val="1"/>
          <w:numId w:val="6"/>
        </w:numPr>
        <w:tabs>
          <w:tab w:val="left" w:pos="0"/>
          <w:tab w:val="clear" w:pos="1155"/>
        </w:tabs>
        <w:spacing w:line="360" w:lineRule="auto"/>
        <w:ind w:left="0" w:firstLine="0"/>
        <w:rPr>
          <w:szCs w:val="21"/>
        </w:rPr>
      </w:pPr>
      <w:bookmarkStart w:id="23" w:name="_Hlk70610090"/>
      <w:r>
        <w:rPr>
          <w:szCs w:val="21"/>
        </w:rPr>
        <w:t>合同总价系指按本合同的规定，</w:t>
      </w:r>
      <w:r>
        <w:rPr>
          <w:rFonts w:hint="eastAsia"/>
          <w:szCs w:val="21"/>
        </w:rPr>
        <w:t>乙</w:t>
      </w:r>
      <w:r>
        <w:rPr>
          <w:szCs w:val="21"/>
        </w:rPr>
        <w:t>方在完全履行了合同的义务后，</w:t>
      </w:r>
      <w:r>
        <w:rPr>
          <w:rFonts w:hint="eastAsia"/>
          <w:szCs w:val="21"/>
        </w:rPr>
        <w:t>甲</w:t>
      </w:r>
      <w:r>
        <w:rPr>
          <w:szCs w:val="21"/>
        </w:rPr>
        <w:t>方支付给</w:t>
      </w:r>
      <w:r>
        <w:rPr>
          <w:rFonts w:hint="eastAsia"/>
          <w:szCs w:val="21"/>
        </w:rPr>
        <w:t>乙</w:t>
      </w:r>
      <w:r>
        <w:rPr>
          <w:szCs w:val="21"/>
        </w:rPr>
        <w:t>方的总价款，包括但不限于软硬件的采购费、包装费、运输费、保险费、安装调试费、随机提供的备品备件和专用工具费、检测验收费、培训费、售后服务费，以及与所供产品和服务有关的一切税费</w:t>
      </w:r>
      <w:r>
        <w:rPr>
          <w:rFonts w:hint="eastAsia"/>
          <w:szCs w:val="21"/>
        </w:rPr>
        <w:t>，除此之外，</w:t>
      </w:r>
      <w:r>
        <w:rPr>
          <w:szCs w:val="21"/>
        </w:rPr>
        <w:t>甲</w:t>
      </w:r>
      <w:r>
        <w:rPr>
          <w:rFonts w:hint="eastAsia"/>
          <w:szCs w:val="21"/>
        </w:rPr>
        <w:t>方不再以任何名义、任何方式向</w:t>
      </w:r>
      <w:r>
        <w:rPr>
          <w:szCs w:val="21"/>
        </w:rPr>
        <w:t>乙</w:t>
      </w:r>
      <w:r>
        <w:rPr>
          <w:rFonts w:hint="eastAsia"/>
          <w:szCs w:val="21"/>
        </w:rPr>
        <w:t>方支付费用</w:t>
      </w:r>
      <w:r>
        <w:rPr>
          <w:szCs w:val="21"/>
        </w:rPr>
        <w:t>。</w:t>
      </w:r>
    </w:p>
    <w:p w14:paraId="242EF3E4">
      <w:pPr>
        <w:numPr>
          <w:ilvl w:val="1"/>
          <w:numId w:val="6"/>
        </w:numPr>
        <w:tabs>
          <w:tab w:val="left" w:pos="0"/>
          <w:tab w:val="clear" w:pos="1155"/>
        </w:tabs>
        <w:spacing w:line="360" w:lineRule="auto"/>
        <w:ind w:left="0" w:firstLine="0"/>
        <w:rPr>
          <w:szCs w:val="21"/>
        </w:rPr>
      </w:pPr>
      <w:r>
        <w:t>当国家法定增值税税率发生变更，甲乙双方约定以含税价格不变作为基准，调整增值税税额</w:t>
      </w:r>
      <w:bookmarkEnd w:id="23"/>
      <w:r>
        <w:rPr>
          <w:rFonts w:hint="eastAsia"/>
        </w:rPr>
        <w:t>。</w:t>
      </w:r>
    </w:p>
    <w:p w14:paraId="332E4B2E">
      <w:pPr>
        <w:pStyle w:val="3"/>
        <w:widowControl/>
        <w:tabs>
          <w:tab w:val="left" w:pos="25"/>
        </w:tabs>
        <w:jc w:val="left"/>
        <w:rPr>
          <w:rFonts w:ascii="宋体" w:hAnsi="宋体" w:cs="宋体"/>
          <w:bCs w:val="0"/>
          <w:sz w:val="21"/>
          <w:szCs w:val="21"/>
        </w:rPr>
      </w:pPr>
      <w:bookmarkStart w:id="24" w:name="_Toc32328"/>
      <w:r>
        <w:rPr>
          <w:rFonts w:hint="eastAsia" w:ascii="宋体" w:hAnsi="宋体" w:cs="宋体"/>
          <w:bCs w:val="0"/>
          <w:sz w:val="21"/>
          <w:szCs w:val="21"/>
        </w:rPr>
        <w:t>三</w:t>
      </w:r>
      <w:r>
        <w:rPr>
          <w:rFonts w:ascii="宋体" w:hAnsi="宋体" w:cs="宋体"/>
          <w:bCs w:val="0"/>
          <w:sz w:val="21"/>
          <w:szCs w:val="21"/>
        </w:rPr>
        <w:t>、付款方式及期限</w:t>
      </w:r>
      <w:bookmarkEnd w:id="24"/>
    </w:p>
    <w:p w14:paraId="5733CDF8">
      <w:pPr>
        <w:pStyle w:val="18"/>
        <w:spacing w:line="360" w:lineRule="auto"/>
        <w:rPr>
          <w:szCs w:val="24"/>
          <w:highlight w:val="yellow"/>
        </w:rPr>
      </w:pPr>
      <w:r>
        <w:rPr>
          <w:szCs w:val="24"/>
        </w:rPr>
        <w:t>1、</w:t>
      </w:r>
      <w:r>
        <w:rPr>
          <w:rFonts w:hint="eastAsia"/>
          <w:szCs w:val="24"/>
        </w:rPr>
        <w:t>付款方式：</w:t>
      </w:r>
      <w:r>
        <w:rPr>
          <w:rFonts w:hint="eastAsia"/>
        </w:rPr>
        <w:t>合同总额的40%以电汇支付的方式汇入乙方账号，60%以半年期银行承兑汇票或供应链金融支付</w:t>
      </w:r>
      <w:r>
        <w:rPr>
          <w:rFonts w:hint="eastAsia"/>
          <w:szCs w:val="24"/>
        </w:rPr>
        <w:t>，禁止将货款划入其他账号或支付现金。如收款方的账号和开户行变更，须及时以书面形式通知付款方，通知上必须同时盖有收款方的公章或财务专用章，乙方须按甲方要求提供增值税专用发票。</w:t>
      </w:r>
    </w:p>
    <w:p w14:paraId="48B4A542">
      <w:pPr>
        <w:tabs>
          <w:tab w:val="left" w:pos="0"/>
        </w:tabs>
        <w:spacing w:line="360" w:lineRule="auto"/>
        <w:rPr>
          <w:szCs w:val="21"/>
        </w:rPr>
      </w:pPr>
      <w:r>
        <w:t>2、</w:t>
      </w:r>
      <w:r>
        <w:rPr>
          <w:rFonts w:hint="eastAsia"/>
        </w:rPr>
        <w:t>付款期限：设备到货安装完成后1个月内，甲方电汇支付乙方合同总额的30%，即人民币；项目通过终验后1个月内，甲方以半年期银行承兑汇票或半年期供应链金融支付乙方合同总额的60%，即人民币；10%余款即人民币，作为质量保证金，在终验合格一年后的10个工作日之内电汇支付7%，如乙方此时向甲方开据合同总额3%的银行保函（此保函须在免费包修期结束后到期），甲方在收到银行保函30日内将尾款结清（即合同总价的10%），否则甲方将在免费包修期结束后的10个工作日之内支付剩余的3%给乙方。如乙方违反本合同第十五条廉洁条款第二点，甲方有权全部扣除合同总额的10%，若此时合同总额已经全部支付或余款不足10%的，甲方有权根据此合同向乙方进一步追诉。</w:t>
      </w:r>
    </w:p>
    <w:p w14:paraId="141F3667">
      <w:pPr>
        <w:spacing w:line="360" w:lineRule="auto"/>
        <w:rPr>
          <w:szCs w:val="21"/>
        </w:rPr>
      </w:pPr>
      <w:r>
        <w:rPr>
          <w:rFonts w:hint="eastAsia"/>
        </w:rPr>
        <w:t>3、</w:t>
      </w:r>
      <w:r>
        <w:t>质量保证金：质量保证金包含对履约的保证、对质量的保证和廉政的保证。在合同履行过程中，如</w:t>
      </w:r>
      <w:r>
        <w:rPr>
          <w:rFonts w:hint="eastAsia"/>
        </w:rPr>
        <w:t>乙</w:t>
      </w:r>
      <w:r>
        <w:t>方应承担履约保证、质量保证或廉政保证中约定的保证责任，</w:t>
      </w:r>
      <w:r>
        <w:rPr>
          <w:rFonts w:hint="eastAsia"/>
        </w:rPr>
        <w:t>甲</w:t>
      </w:r>
      <w:r>
        <w:t>方有权直接在质量保证金中扣除；扣除后保证金不足的，</w:t>
      </w:r>
      <w:r>
        <w:rPr>
          <w:rFonts w:hint="eastAsia"/>
        </w:rPr>
        <w:t>乙</w:t>
      </w:r>
      <w:r>
        <w:t>方应在五个工作日内补足，或由</w:t>
      </w:r>
      <w:r>
        <w:rPr>
          <w:rFonts w:hint="eastAsia"/>
        </w:rPr>
        <w:t>甲</w:t>
      </w:r>
      <w:r>
        <w:t>方直接在应付账款中扣除。</w:t>
      </w:r>
    </w:p>
    <w:p w14:paraId="0E8128CB">
      <w:pPr>
        <w:tabs>
          <w:tab w:val="left" w:pos="0"/>
        </w:tabs>
        <w:spacing w:line="360" w:lineRule="auto"/>
        <w:rPr>
          <w:szCs w:val="21"/>
        </w:rPr>
      </w:pPr>
      <w:r>
        <w:rPr>
          <w:rFonts w:hint="eastAsia"/>
          <w:szCs w:val="21"/>
        </w:rPr>
        <w:t>4、付款前，乙方必须按照国家有关发票管理规定，向甲方一次性提供</w:t>
      </w:r>
      <w:r>
        <w:rPr>
          <w:rFonts w:hint="eastAsia"/>
        </w:rPr>
        <w:t>合同总额的增值税专用发票</w:t>
      </w:r>
      <w:r>
        <w:rPr>
          <w:rFonts w:hint="eastAsia"/>
          <w:szCs w:val="21"/>
        </w:rPr>
        <w:t>，由甲方审核无误后再支付货款，否则甲方有权拒绝或迟延支付货款，且不影响乙方履行本合同项下的义务，给甲方造成的损失由乙方承担。</w:t>
      </w:r>
    </w:p>
    <w:p w14:paraId="089CDBDD">
      <w:pPr>
        <w:tabs>
          <w:tab w:val="left" w:pos="0"/>
        </w:tabs>
        <w:spacing w:line="360" w:lineRule="auto"/>
        <w:rPr>
          <w:szCs w:val="21"/>
        </w:rPr>
      </w:pPr>
      <w:r>
        <w:rPr>
          <w:rFonts w:hint="eastAsia"/>
          <w:szCs w:val="21"/>
        </w:rPr>
        <w:t>5、扣款细则</w:t>
      </w:r>
    </w:p>
    <w:p w14:paraId="0AD9284E">
      <w:pPr>
        <w:spacing w:line="360" w:lineRule="auto"/>
        <w:rPr>
          <w:szCs w:val="21"/>
        </w:rPr>
      </w:pPr>
      <w:r>
        <w:rPr>
          <w:rFonts w:hint="eastAsia"/>
          <w:szCs w:val="21"/>
        </w:rPr>
        <w:t>乙方履行义务期间，存在以下情况时，甲方可视情况进行相应的扣款。</w:t>
      </w:r>
    </w:p>
    <w:tbl>
      <w:tblPr>
        <w:tblStyle w:val="53"/>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
        <w:gridCol w:w="985"/>
        <w:gridCol w:w="2159"/>
        <w:gridCol w:w="2185"/>
        <w:gridCol w:w="1276"/>
        <w:gridCol w:w="2551"/>
      </w:tblGrid>
      <w:tr w14:paraId="3C1C6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0" w:type="auto"/>
            <w:vAlign w:val="center"/>
          </w:tcPr>
          <w:p w14:paraId="27C0ABC4">
            <w:pPr>
              <w:spacing w:line="360" w:lineRule="auto"/>
              <w:jc w:val="center"/>
              <w:rPr>
                <w:rFonts w:ascii="宋体" w:hAnsi="宋体"/>
                <w:b/>
                <w:szCs w:val="21"/>
              </w:rPr>
            </w:pPr>
            <w:r>
              <w:rPr>
                <w:rFonts w:hint="eastAsia" w:ascii="宋体" w:hAnsi="宋体"/>
                <w:b/>
                <w:szCs w:val="21"/>
              </w:rPr>
              <w:t>序号</w:t>
            </w:r>
          </w:p>
        </w:tc>
        <w:tc>
          <w:tcPr>
            <w:tcW w:w="0" w:type="auto"/>
            <w:vAlign w:val="center"/>
          </w:tcPr>
          <w:p w14:paraId="7BBCA8DB">
            <w:pPr>
              <w:spacing w:line="360" w:lineRule="auto"/>
              <w:jc w:val="center"/>
              <w:rPr>
                <w:rFonts w:ascii="宋体" w:hAnsi="宋体"/>
                <w:b/>
                <w:szCs w:val="21"/>
              </w:rPr>
            </w:pPr>
            <w:r>
              <w:rPr>
                <w:rFonts w:hint="eastAsia" w:ascii="宋体" w:hAnsi="宋体"/>
                <w:b/>
                <w:szCs w:val="21"/>
              </w:rPr>
              <w:t>费用类别</w:t>
            </w:r>
          </w:p>
        </w:tc>
        <w:tc>
          <w:tcPr>
            <w:tcW w:w="0" w:type="auto"/>
            <w:vAlign w:val="center"/>
          </w:tcPr>
          <w:p w14:paraId="0EB5BB0D">
            <w:pPr>
              <w:spacing w:line="360" w:lineRule="auto"/>
              <w:jc w:val="center"/>
              <w:rPr>
                <w:rFonts w:ascii="宋体" w:hAnsi="宋体"/>
                <w:b/>
                <w:szCs w:val="21"/>
              </w:rPr>
            </w:pPr>
            <w:r>
              <w:rPr>
                <w:rFonts w:hint="eastAsia" w:ascii="宋体" w:hAnsi="宋体"/>
                <w:b/>
                <w:szCs w:val="21"/>
              </w:rPr>
              <w:t>适用状况</w:t>
            </w:r>
          </w:p>
        </w:tc>
        <w:tc>
          <w:tcPr>
            <w:tcW w:w="2185" w:type="dxa"/>
            <w:vAlign w:val="center"/>
          </w:tcPr>
          <w:p w14:paraId="47FAF0B6">
            <w:pPr>
              <w:spacing w:line="360" w:lineRule="auto"/>
              <w:jc w:val="center"/>
              <w:rPr>
                <w:rFonts w:ascii="宋体" w:hAnsi="宋体"/>
                <w:b/>
                <w:szCs w:val="21"/>
              </w:rPr>
            </w:pPr>
            <w:r>
              <w:rPr>
                <w:rFonts w:hint="eastAsia" w:ascii="宋体" w:hAnsi="宋体"/>
                <w:b/>
                <w:szCs w:val="21"/>
              </w:rPr>
              <w:t>执行方法</w:t>
            </w:r>
          </w:p>
        </w:tc>
        <w:tc>
          <w:tcPr>
            <w:tcW w:w="1276" w:type="dxa"/>
            <w:vAlign w:val="center"/>
          </w:tcPr>
          <w:p w14:paraId="59C27631">
            <w:pPr>
              <w:spacing w:line="360" w:lineRule="auto"/>
              <w:jc w:val="center"/>
              <w:rPr>
                <w:rFonts w:ascii="宋体" w:hAnsi="宋体"/>
                <w:b/>
                <w:szCs w:val="21"/>
              </w:rPr>
            </w:pPr>
            <w:r>
              <w:rPr>
                <w:rFonts w:hint="eastAsia" w:ascii="宋体" w:hAnsi="宋体"/>
                <w:b/>
                <w:szCs w:val="21"/>
              </w:rPr>
              <w:t>罚款金额</w:t>
            </w:r>
          </w:p>
        </w:tc>
        <w:tc>
          <w:tcPr>
            <w:tcW w:w="2551" w:type="dxa"/>
            <w:vAlign w:val="center"/>
          </w:tcPr>
          <w:p w14:paraId="358A4234">
            <w:pPr>
              <w:spacing w:line="360" w:lineRule="auto"/>
              <w:jc w:val="center"/>
              <w:rPr>
                <w:rFonts w:ascii="宋体" w:hAnsi="宋体"/>
                <w:b/>
                <w:szCs w:val="21"/>
              </w:rPr>
            </w:pPr>
            <w:r>
              <w:rPr>
                <w:rFonts w:hint="eastAsia" w:ascii="宋体" w:hAnsi="宋体"/>
                <w:b/>
                <w:szCs w:val="21"/>
              </w:rPr>
              <w:t>备注</w:t>
            </w:r>
          </w:p>
        </w:tc>
      </w:tr>
      <w:tr w14:paraId="20204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211DC162">
            <w:pPr>
              <w:spacing w:line="360" w:lineRule="auto"/>
              <w:rPr>
                <w:rFonts w:ascii="宋体" w:hAnsi="宋体"/>
                <w:szCs w:val="21"/>
              </w:rPr>
            </w:pPr>
            <w:r>
              <w:rPr>
                <w:rFonts w:ascii="宋体" w:hAnsi="宋体"/>
                <w:szCs w:val="21"/>
              </w:rPr>
              <w:t>1</w:t>
            </w:r>
          </w:p>
        </w:tc>
        <w:tc>
          <w:tcPr>
            <w:tcW w:w="0" w:type="auto"/>
            <w:vAlign w:val="center"/>
          </w:tcPr>
          <w:p w14:paraId="31EAD4B1">
            <w:pPr>
              <w:spacing w:line="360" w:lineRule="auto"/>
              <w:rPr>
                <w:rFonts w:ascii="宋体" w:hAnsi="宋体"/>
                <w:szCs w:val="21"/>
              </w:rPr>
            </w:pPr>
            <w:r>
              <w:rPr>
                <w:rFonts w:hint="eastAsia" w:ascii="宋体" w:hAnsi="宋体"/>
                <w:szCs w:val="21"/>
              </w:rPr>
              <w:t>项目人员缺勤费用</w:t>
            </w:r>
          </w:p>
        </w:tc>
        <w:tc>
          <w:tcPr>
            <w:tcW w:w="0" w:type="auto"/>
            <w:vAlign w:val="center"/>
          </w:tcPr>
          <w:p w14:paraId="4D690616">
            <w:pPr>
              <w:spacing w:line="360" w:lineRule="auto"/>
              <w:rPr>
                <w:rFonts w:ascii="宋体" w:hAnsi="宋体"/>
                <w:szCs w:val="21"/>
              </w:rPr>
            </w:pPr>
            <w:r>
              <w:rPr>
                <w:rFonts w:hint="eastAsia" w:ascii="宋体" w:hAnsi="宋体"/>
                <w:szCs w:val="21"/>
              </w:rPr>
              <w:t>乙方未按照甲方的考勤要求开展工作或未经甲方同意擅自更换项目人员。</w:t>
            </w:r>
          </w:p>
        </w:tc>
        <w:tc>
          <w:tcPr>
            <w:tcW w:w="2185" w:type="dxa"/>
            <w:vAlign w:val="center"/>
          </w:tcPr>
          <w:p w14:paraId="704E22EA">
            <w:pPr>
              <w:spacing w:line="360" w:lineRule="auto"/>
              <w:rPr>
                <w:rFonts w:ascii="宋体" w:hAnsi="宋体"/>
                <w:szCs w:val="21"/>
              </w:rPr>
            </w:pPr>
            <w:r>
              <w:rPr>
                <w:rFonts w:hint="eastAsia" w:ascii="宋体" w:hAnsi="宋体"/>
                <w:szCs w:val="21"/>
              </w:rPr>
              <w:t>由甲方项目经理提交项目考勤表</w:t>
            </w:r>
            <w:r>
              <w:rPr>
                <w:rFonts w:ascii="宋体" w:hAnsi="宋体"/>
                <w:szCs w:val="21"/>
              </w:rPr>
              <w:t>,</w:t>
            </w:r>
            <w:r>
              <w:rPr>
                <w:rFonts w:hint="eastAsia" w:ascii="宋体" w:hAnsi="宋体"/>
                <w:szCs w:val="21"/>
              </w:rPr>
              <w:t>提交财务部扣款</w:t>
            </w:r>
          </w:p>
        </w:tc>
        <w:tc>
          <w:tcPr>
            <w:tcW w:w="1276" w:type="dxa"/>
            <w:vAlign w:val="center"/>
          </w:tcPr>
          <w:p w14:paraId="43756D95">
            <w:pPr>
              <w:spacing w:line="360" w:lineRule="auto"/>
              <w:rPr>
                <w:szCs w:val="21"/>
              </w:rPr>
            </w:pPr>
            <w:r>
              <w:rPr>
                <w:szCs w:val="21"/>
              </w:rPr>
              <w:t>100</w:t>
            </w:r>
            <w:r>
              <w:rPr>
                <w:rFonts w:hAnsi="宋体"/>
                <w:szCs w:val="21"/>
              </w:rPr>
              <w:t>元</w:t>
            </w:r>
            <w:r>
              <w:rPr>
                <w:szCs w:val="21"/>
              </w:rPr>
              <w:t>/</w:t>
            </w:r>
            <w:r>
              <w:rPr>
                <w:rFonts w:hAnsi="宋体"/>
                <w:szCs w:val="21"/>
              </w:rPr>
              <w:t>人天</w:t>
            </w:r>
          </w:p>
        </w:tc>
        <w:tc>
          <w:tcPr>
            <w:tcW w:w="2551" w:type="dxa"/>
            <w:vAlign w:val="center"/>
          </w:tcPr>
          <w:p w14:paraId="68D52D2F">
            <w:pPr>
              <w:spacing w:line="360" w:lineRule="auto"/>
              <w:rPr>
                <w:rFonts w:ascii="宋体" w:hAnsi="宋体"/>
                <w:szCs w:val="21"/>
              </w:rPr>
            </w:pPr>
          </w:p>
        </w:tc>
      </w:tr>
      <w:tr w14:paraId="0D6A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0498124E">
            <w:pPr>
              <w:spacing w:line="360" w:lineRule="auto"/>
              <w:rPr>
                <w:rFonts w:ascii="宋体" w:hAnsi="宋体"/>
                <w:szCs w:val="21"/>
              </w:rPr>
            </w:pPr>
            <w:r>
              <w:rPr>
                <w:rFonts w:ascii="宋体" w:hAnsi="宋体"/>
                <w:szCs w:val="21"/>
              </w:rPr>
              <w:t>2</w:t>
            </w:r>
          </w:p>
        </w:tc>
        <w:tc>
          <w:tcPr>
            <w:tcW w:w="0" w:type="auto"/>
            <w:vAlign w:val="center"/>
          </w:tcPr>
          <w:p w14:paraId="7B296259">
            <w:pPr>
              <w:spacing w:line="360" w:lineRule="auto"/>
              <w:rPr>
                <w:rFonts w:ascii="宋体" w:hAnsi="宋体"/>
                <w:szCs w:val="21"/>
              </w:rPr>
            </w:pPr>
            <w:r>
              <w:rPr>
                <w:rFonts w:hint="eastAsia" w:ascii="宋体" w:hAnsi="宋体"/>
                <w:szCs w:val="21"/>
              </w:rPr>
              <w:t>项目进度滞后费用</w:t>
            </w:r>
          </w:p>
        </w:tc>
        <w:tc>
          <w:tcPr>
            <w:tcW w:w="0" w:type="auto"/>
            <w:vAlign w:val="center"/>
          </w:tcPr>
          <w:p w14:paraId="74306C46">
            <w:pPr>
              <w:spacing w:line="360" w:lineRule="auto"/>
              <w:rPr>
                <w:rFonts w:ascii="宋体" w:hAnsi="宋体"/>
                <w:szCs w:val="21"/>
              </w:rPr>
            </w:pPr>
            <w:r>
              <w:rPr>
                <w:rFonts w:hint="eastAsia" w:ascii="宋体" w:hAnsi="宋体"/>
                <w:szCs w:val="21"/>
              </w:rPr>
              <w:t>乙方未按照提交的项目进度按时完成阶段性工作。</w:t>
            </w:r>
          </w:p>
        </w:tc>
        <w:tc>
          <w:tcPr>
            <w:tcW w:w="2185" w:type="dxa"/>
            <w:vAlign w:val="center"/>
          </w:tcPr>
          <w:p w14:paraId="3DB61122">
            <w:pPr>
              <w:spacing w:line="360" w:lineRule="auto"/>
              <w:rPr>
                <w:rFonts w:ascii="宋体" w:hAnsi="宋体"/>
                <w:szCs w:val="21"/>
              </w:rPr>
            </w:pPr>
            <w:r>
              <w:rPr>
                <w:rFonts w:hint="eastAsia" w:ascii="宋体" w:hAnsi="宋体"/>
                <w:szCs w:val="21"/>
              </w:rPr>
              <w:t>由甲方项目经理完成项目进度确认表，提交财务部扣款</w:t>
            </w:r>
          </w:p>
        </w:tc>
        <w:tc>
          <w:tcPr>
            <w:tcW w:w="1276" w:type="dxa"/>
            <w:vAlign w:val="center"/>
          </w:tcPr>
          <w:p w14:paraId="48C7F305">
            <w:pPr>
              <w:spacing w:line="360" w:lineRule="auto"/>
              <w:rPr>
                <w:szCs w:val="21"/>
              </w:rPr>
            </w:pPr>
            <w:r>
              <w:rPr>
                <w:szCs w:val="21"/>
              </w:rPr>
              <w:t>5000</w:t>
            </w:r>
            <w:r>
              <w:rPr>
                <w:rFonts w:hAnsi="宋体"/>
                <w:szCs w:val="21"/>
              </w:rPr>
              <w:t>元</w:t>
            </w:r>
            <w:r>
              <w:rPr>
                <w:szCs w:val="21"/>
              </w:rPr>
              <w:t>/</w:t>
            </w:r>
            <w:r>
              <w:rPr>
                <w:rFonts w:hAnsi="宋体"/>
                <w:szCs w:val="21"/>
              </w:rPr>
              <w:t>天</w:t>
            </w:r>
          </w:p>
        </w:tc>
        <w:tc>
          <w:tcPr>
            <w:tcW w:w="2551" w:type="dxa"/>
            <w:vAlign w:val="center"/>
          </w:tcPr>
          <w:p w14:paraId="3952A746">
            <w:pPr>
              <w:spacing w:line="360" w:lineRule="auto"/>
              <w:rPr>
                <w:rFonts w:ascii="宋体" w:hAnsi="宋体"/>
                <w:szCs w:val="21"/>
              </w:rPr>
            </w:pPr>
            <w:r>
              <w:rPr>
                <w:rFonts w:hint="eastAsia" w:ascii="宋体" w:hAnsi="宋体"/>
                <w:szCs w:val="21"/>
              </w:rPr>
              <w:t>由于项目风险等不可抗力原因，进度滞后五个工作日内，提供合理说明经项目经理确认后可免责。</w:t>
            </w:r>
          </w:p>
        </w:tc>
      </w:tr>
      <w:tr w14:paraId="2D6D8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382310EC">
            <w:pPr>
              <w:spacing w:line="360" w:lineRule="auto"/>
              <w:rPr>
                <w:rFonts w:ascii="宋体" w:hAnsi="宋体"/>
                <w:szCs w:val="21"/>
              </w:rPr>
            </w:pPr>
            <w:r>
              <w:rPr>
                <w:rFonts w:ascii="宋体" w:hAnsi="宋体"/>
                <w:szCs w:val="21"/>
              </w:rPr>
              <w:t>3</w:t>
            </w:r>
          </w:p>
        </w:tc>
        <w:tc>
          <w:tcPr>
            <w:tcW w:w="0" w:type="auto"/>
            <w:vAlign w:val="center"/>
          </w:tcPr>
          <w:p w14:paraId="4EDA1C59">
            <w:pPr>
              <w:spacing w:line="360" w:lineRule="auto"/>
              <w:rPr>
                <w:rFonts w:ascii="宋体" w:hAnsi="宋体"/>
                <w:szCs w:val="21"/>
              </w:rPr>
            </w:pPr>
            <w:r>
              <w:rPr>
                <w:rFonts w:hint="eastAsia" w:ascii="宋体" w:hAnsi="宋体"/>
                <w:szCs w:val="21"/>
              </w:rPr>
              <w:t>服务质量不合格</w:t>
            </w:r>
          </w:p>
        </w:tc>
        <w:tc>
          <w:tcPr>
            <w:tcW w:w="0" w:type="auto"/>
            <w:vAlign w:val="center"/>
          </w:tcPr>
          <w:p w14:paraId="759BA0E9">
            <w:pPr>
              <w:spacing w:line="360" w:lineRule="auto"/>
              <w:rPr>
                <w:rFonts w:ascii="宋体" w:hAnsi="宋体"/>
                <w:szCs w:val="21"/>
              </w:rPr>
            </w:pPr>
            <w:r>
              <w:rPr>
                <w:rFonts w:hint="eastAsia" w:ascii="宋体" w:hAnsi="宋体"/>
                <w:szCs w:val="21"/>
              </w:rPr>
              <w:t>乙方提供的服务不满足事先约定的质量要求。</w:t>
            </w:r>
          </w:p>
        </w:tc>
        <w:tc>
          <w:tcPr>
            <w:tcW w:w="2185" w:type="dxa"/>
            <w:vAlign w:val="center"/>
          </w:tcPr>
          <w:p w14:paraId="5319231B">
            <w:pPr>
              <w:spacing w:line="360" w:lineRule="auto"/>
              <w:rPr>
                <w:rFonts w:ascii="宋体" w:hAnsi="宋体"/>
                <w:szCs w:val="21"/>
              </w:rPr>
            </w:pPr>
            <w:r>
              <w:rPr>
                <w:rFonts w:hint="eastAsia" w:ascii="宋体" w:hAnsi="宋体"/>
                <w:szCs w:val="21"/>
              </w:rPr>
              <w:t>由甲方项目经理完成产品质量缺陷说明，提交财务部扣款</w:t>
            </w:r>
          </w:p>
        </w:tc>
        <w:tc>
          <w:tcPr>
            <w:tcW w:w="1276" w:type="dxa"/>
            <w:vAlign w:val="center"/>
          </w:tcPr>
          <w:p w14:paraId="080EC8CE">
            <w:pPr>
              <w:spacing w:line="360" w:lineRule="auto"/>
              <w:rPr>
                <w:szCs w:val="21"/>
              </w:rPr>
            </w:pPr>
            <w:r>
              <w:rPr>
                <w:rFonts w:hAnsi="宋体"/>
                <w:szCs w:val="21"/>
              </w:rPr>
              <w:t>合同款</w:t>
            </w:r>
            <w:r>
              <w:rPr>
                <w:szCs w:val="21"/>
              </w:rPr>
              <w:t>*5%~10%</w:t>
            </w:r>
          </w:p>
        </w:tc>
        <w:tc>
          <w:tcPr>
            <w:tcW w:w="2551" w:type="dxa"/>
            <w:vAlign w:val="center"/>
          </w:tcPr>
          <w:p w14:paraId="4B676A19">
            <w:pPr>
              <w:spacing w:line="360" w:lineRule="auto"/>
              <w:rPr>
                <w:rFonts w:ascii="宋体" w:hAnsi="宋体"/>
                <w:szCs w:val="21"/>
              </w:rPr>
            </w:pPr>
            <w:r>
              <w:rPr>
                <w:rFonts w:hint="eastAsia" w:ascii="宋体" w:hAnsi="宋体"/>
                <w:szCs w:val="21"/>
              </w:rPr>
              <w:t>视问题严重程度</w:t>
            </w:r>
          </w:p>
        </w:tc>
      </w:tr>
      <w:tr w14:paraId="39EDE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24186E0D">
            <w:pPr>
              <w:spacing w:line="360" w:lineRule="auto"/>
              <w:rPr>
                <w:rFonts w:ascii="宋体" w:hAnsi="宋体"/>
                <w:szCs w:val="21"/>
              </w:rPr>
            </w:pPr>
            <w:r>
              <w:rPr>
                <w:rFonts w:ascii="宋体" w:hAnsi="宋体"/>
                <w:szCs w:val="21"/>
              </w:rPr>
              <w:t>4</w:t>
            </w:r>
          </w:p>
        </w:tc>
        <w:tc>
          <w:tcPr>
            <w:tcW w:w="0" w:type="auto"/>
            <w:vAlign w:val="center"/>
          </w:tcPr>
          <w:p w14:paraId="067AE84A">
            <w:pPr>
              <w:spacing w:line="360" w:lineRule="auto"/>
              <w:rPr>
                <w:rFonts w:ascii="宋体" w:hAnsi="宋体"/>
                <w:szCs w:val="21"/>
              </w:rPr>
            </w:pPr>
            <w:r>
              <w:rPr>
                <w:rFonts w:hint="eastAsia" w:ascii="宋体" w:hAnsi="宋体"/>
                <w:szCs w:val="21"/>
              </w:rPr>
              <w:t>技术支持延迟或售后不合格</w:t>
            </w:r>
          </w:p>
        </w:tc>
        <w:tc>
          <w:tcPr>
            <w:tcW w:w="0" w:type="auto"/>
            <w:vAlign w:val="center"/>
          </w:tcPr>
          <w:p w14:paraId="1EBE640C">
            <w:pPr>
              <w:spacing w:line="360" w:lineRule="auto"/>
              <w:rPr>
                <w:rFonts w:ascii="宋体" w:hAnsi="宋体"/>
                <w:szCs w:val="21"/>
              </w:rPr>
            </w:pPr>
            <w:r>
              <w:rPr>
                <w:rFonts w:hint="eastAsia" w:ascii="宋体" w:hAnsi="宋体"/>
                <w:szCs w:val="21"/>
              </w:rPr>
              <w:t>乙方未在要求的时间内解决甲方提出的符合包修或技术支持范围的问题</w:t>
            </w:r>
          </w:p>
        </w:tc>
        <w:tc>
          <w:tcPr>
            <w:tcW w:w="2185" w:type="dxa"/>
            <w:vAlign w:val="center"/>
          </w:tcPr>
          <w:p w14:paraId="4E92931A">
            <w:pPr>
              <w:spacing w:line="360" w:lineRule="auto"/>
              <w:rPr>
                <w:rFonts w:ascii="宋体" w:hAnsi="宋体"/>
                <w:szCs w:val="21"/>
              </w:rPr>
            </w:pPr>
            <w:r>
              <w:rPr>
                <w:rFonts w:hint="eastAsia" w:ascii="宋体" w:hAnsi="宋体"/>
                <w:szCs w:val="21"/>
              </w:rPr>
              <w:t>由甲方项目经理完成售后反馈表，提交财务部扣款</w:t>
            </w:r>
          </w:p>
        </w:tc>
        <w:tc>
          <w:tcPr>
            <w:tcW w:w="1276" w:type="dxa"/>
            <w:vAlign w:val="center"/>
          </w:tcPr>
          <w:p w14:paraId="3DEA5D6D">
            <w:pPr>
              <w:spacing w:line="360" w:lineRule="auto"/>
              <w:rPr>
                <w:szCs w:val="21"/>
              </w:rPr>
            </w:pPr>
            <w:r>
              <w:rPr>
                <w:rFonts w:hAnsi="宋体"/>
                <w:szCs w:val="21"/>
              </w:rPr>
              <w:t>合同款</w:t>
            </w:r>
            <w:r>
              <w:rPr>
                <w:szCs w:val="21"/>
              </w:rPr>
              <w:t>*5%~10%</w:t>
            </w:r>
          </w:p>
        </w:tc>
        <w:tc>
          <w:tcPr>
            <w:tcW w:w="2551" w:type="dxa"/>
            <w:vAlign w:val="center"/>
          </w:tcPr>
          <w:p w14:paraId="0192FF1A">
            <w:pPr>
              <w:spacing w:line="360" w:lineRule="auto"/>
              <w:rPr>
                <w:rFonts w:ascii="宋体" w:hAnsi="宋体"/>
                <w:szCs w:val="21"/>
              </w:rPr>
            </w:pPr>
            <w:r>
              <w:rPr>
                <w:rFonts w:hint="eastAsia" w:ascii="宋体" w:hAnsi="宋体"/>
                <w:szCs w:val="21"/>
              </w:rPr>
              <w:t>视问题严重程度</w:t>
            </w:r>
          </w:p>
        </w:tc>
      </w:tr>
      <w:tr w14:paraId="678F2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14:paraId="6616F3EC">
            <w:pPr>
              <w:spacing w:line="360" w:lineRule="auto"/>
              <w:rPr>
                <w:rFonts w:ascii="宋体" w:hAnsi="宋体"/>
                <w:szCs w:val="21"/>
              </w:rPr>
            </w:pPr>
            <w:r>
              <w:rPr>
                <w:rFonts w:hint="eastAsia" w:ascii="宋体" w:hAnsi="宋体"/>
                <w:szCs w:val="21"/>
              </w:rPr>
              <w:t>5</w:t>
            </w:r>
          </w:p>
        </w:tc>
        <w:tc>
          <w:tcPr>
            <w:tcW w:w="0" w:type="auto"/>
            <w:vAlign w:val="center"/>
          </w:tcPr>
          <w:p w14:paraId="2FD226F2">
            <w:pPr>
              <w:spacing w:line="360" w:lineRule="auto"/>
              <w:rPr>
                <w:rFonts w:ascii="宋体" w:hAnsi="宋体"/>
                <w:szCs w:val="21"/>
              </w:rPr>
            </w:pPr>
            <w:r>
              <w:rPr>
                <w:rFonts w:hint="eastAsia" w:ascii="宋体" w:hAnsi="宋体"/>
                <w:szCs w:val="21"/>
              </w:rPr>
              <w:t>文档缺失或质量不合格</w:t>
            </w:r>
          </w:p>
        </w:tc>
        <w:tc>
          <w:tcPr>
            <w:tcW w:w="0" w:type="auto"/>
            <w:vAlign w:val="center"/>
          </w:tcPr>
          <w:p w14:paraId="33B3D5D3">
            <w:pPr>
              <w:spacing w:line="360" w:lineRule="auto"/>
              <w:rPr>
                <w:rFonts w:ascii="宋体" w:hAnsi="宋体"/>
                <w:szCs w:val="21"/>
              </w:rPr>
            </w:pPr>
            <w:r>
              <w:rPr>
                <w:rFonts w:hint="eastAsia" w:ascii="宋体" w:hAnsi="宋体"/>
                <w:szCs w:val="21"/>
              </w:rPr>
              <w:t>乙方未提供或提供的技术规范、培训材料等文档</w:t>
            </w:r>
          </w:p>
        </w:tc>
        <w:tc>
          <w:tcPr>
            <w:tcW w:w="2185" w:type="dxa"/>
            <w:vAlign w:val="center"/>
          </w:tcPr>
          <w:p w14:paraId="2185F754">
            <w:pPr>
              <w:spacing w:line="360" w:lineRule="auto"/>
              <w:rPr>
                <w:rFonts w:ascii="宋体" w:hAnsi="宋体"/>
                <w:szCs w:val="21"/>
              </w:rPr>
            </w:pPr>
            <w:r>
              <w:rPr>
                <w:rFonts w:hint="eastAsia" w:ascii="宋体" w:hAnsi="宋体"/>
                <w:szCs w:val="21"/>
              </w:rPr>
              <w:t>由甲方项目经理确认文档条目，提交财务部扣款</w:t>
            </w:r>
          </w:p>
        </w:tc>
        <w:tc>
          <w:tcPr>
            <w:tcW w:w="1276" w:type="dxa"/>
            <w:vAlign w:val="center"/>
          </w:tcPr>
          <w:p w14:paraId="536F0DC0">
            <w:pPr>
              <w:spacing w:line="360" w:lineRule="auto"/>
              <w:rPr>
                <w:szCs w:val="21"/>
              </w:rPr>
            </w:pPr>
            <w:r>
              <w:rPr>
                <w:rFonts w:hAnsi="宋体"/>
                <w:szCs w:val="21"/>
              </w:rPr>
              <w:t>合同款</w:t>
            </w:r>
            <w:r>
              <w:rPr>
                <w:szCs w:val="21"/>
              </w:rPr>
              <w:t>*5%~10%</w:t>
            </w:r>
          </w:p>
        </w:tc>
        <w:tc>
          <w:tcPr>
            <w:tcW w:w="2551" w:type="dxa"/>
            <w:vAlign w:val="center"/>
          </w:tcPr>
          <w:p w14:paraId="357C58C0">
            <w:pPr>
              <w:spacing w:line="360" w:lineRule="auto"/>
              <w:rPr>
                <w:rFonts w:ascii="宋体" w:hAnsi="宋体"/>
                <w:szCs w:val="21"/>
              </w:rPr>
            </w:pPr>
            <w:r>
              <w:rPr>
                <w:rFonts w:hint="eastAsia" w:ascii="宋体" w:hAnsi="宋体"/>
                <w:szCs w:val="21"/>
              </w:rPr>
              <w:t>视文档重要性</w:t>
            </w:r>
          </w:p>
        </w:tc>
      </w:tr>
    </w:tbl>
    <w:p w14:paraId="19CC95F1">
      <w:pPr>
        <w:spacing w:line="360" w:lineRule="auto"/>
      </w:pPr>
    </w:p>
    <w:p w14:paraId="08D7BEFF">
      <w:pPr>
        <w:pStyle w:val="3"/>
        <w:widowControl/>
        <w:tabs>
          <w:tab w:val="left" w:pos="25"/>
        </w:tabs>
        <w:jc w:val="left"/>
        <w:rPr>
          <w:rFonts w:ascii="宋体" w:hAnsi="宋体" w:cs="宋体"/>
          <w:bCs w:val="0"/>
          <w:sz w:val="21"/>
          <w:szCs w:val="21"/>
        </w:rPr>
      </w:pPr>
      <w:bookmarkStart w:id="25" w:name="_Toc31094"/>
      <w:r>
        <w:rPr>
          <w:rFonts w:hint="eastAsia" w:ascii="宋体" w:hAnsi="宋体" w:cs="宋体"/>
          <w:bCs w:val="0"/>
          <w:sz w:val="21"/>
          <w:szCs w:val="21"/>
        </w:rPr>
        <w:t>四</w:t>
      </w:r>
      <w:r>
        <w:rPr>
          <w:rFonts w:ascii="宋体" w:hAnsi="宋体" w:cs="宋体"/>
          <w:bCs w:val="0"/>
          <w:sz w:val="21"/>
          <w:szCs w:val="21"/>
        </w:rPr>
        <w:t>、</w:t>
      </w:r>
      <w:r>
        <w:rPr>
          <w:rFonts w:hint="eastAsia" w:ascii="宋体" w:hAnsi="宋体" w:cs="宋体"/>
          <w:bCs w:val="0"/>
          <w:sz w:val="21"/>
          <w:szCs w:val="21"/>
        </w:rPr>
        <w:t>产品的质量要求</w:t>
      </w:r>
      <w:bookmarkEnd w:id="25"/>
    </w:p>
    <w:p w14:paraId="3BCC0AC7">
      <w:pPr>
        <w:spacing w:line="360" w:lineRule="auto"/>
        <w:ind w:firstLine="420" w:firstLineChars="200"/>
        <w:rPr>
          <w:rFonts w:ascii="宋体" w:hAnsi="宋体" w:cs="宋体"/>
          <w:szCs w:val="21"/>
        </w:rPr>
      </w:pPr>
      <w:r>
        <w:rPr>
          <w:rFonts w:hint="eastAsia" w:ascii="宋体" w:hAnsi="宋体" w:cs="宋体"/>
          <w:szCs w:val="21"/>
        </w:rPr>
        <w:t>乙方所提供产品的技术指标和生产工艺必须完全满足甲方在“</w:t>
      </w:r>
      <w:r>
        <w:rPr>
          <w:rFonts w:hint="eastAsia"/>
          <w:szCs w:val="21"/>
          <w:u w:val="single"/>
        </w:rPr>
        <w:t>园区1号楼无线网络优化项目</w:t>
      </w:r>
      <w:r>
        <w:rPr>
          <w:rFonts w:hint="eastAsia" w:ascii="宋体" w:hAnsi="宋体" w:cs="宋体"/>
          <w:szCs w:val="21"/>
        </w:rPr>
        <w:t>”询价文件中提出的技术要求，乙方所提供产品的功能与服务实现必须完全遵守响应文件和询价时做出的书面承诺；乙方保证所提供的商品是原厂原装产品，提供原厂或原产地证明，且系崭新的、未使用过的产品，没有任何版权或其他权属争议；乙方须提供产品的出厂检测报告和产品质量合格证明书，且符合相应技术规定的品质和规格要求；若产品技术性能无相应说明，则按国家或国际有关部门最新颁布的标准及规范为准。乙方保证提供的所有产品是现阶段主流产品，没有停产的计划。</w:t>
      </w:r>
    </w:p>
    <w:p w14:paraId="5C670C86">
      <w:pPr>
        <w:pStyle w:val="3"/>
        <w:widowControl/>
        <w:tabs>
          <w:tab w:val="left" w:pos="25"/>
        </w:tabs>
        <w:jc w:val="left"/>
        <w:rPr>
          <w:rFonts w:ascii="宋体" w:hAnsi="宋体" w:cs="宋体"/>
          <w:bCs w:val="0"/>
          <w:sz w:val="21"/>
          <w:szCs w:val="21"/>
        </w:rPr>
      </w:pPr>
      <w:bookmarkStart w:id="26" w:name="_Toc23497"/>
      <w:r>
        <w:rPr>
          <w:rFonts w:hint="eastAsia" w:ascii="宋体" w:hAnsi="宋体" w:cs="宋体"/>
          <w:bCs w:val="0"/>
          <w:sz w:val="21"/>
          <w:szCs w:val="21"/>
        </w:rPr>
        <w:t>五</w:t>
      </w:r>
      <w:r>
        <w:rPr>
          <w:rFonts w:ascii="宋体" w:hAnsi="宋体" w:cs="宋体"/>
          <w:bCs w:val="0"/>
          <w:sz w:val="21"/>
          <w:szCs w:val="21"/>
        </w:rPr>
        <w:t>、</w:t>
      </w:r>
      <w:r>
        <w:rPr>
          <w:rFonts w:hint="eastAsia" w:ascii="宋体" w:hAnsi="宋体" w:cs="宋体"/>
          <w:bCs w:val="0"/>
          <w:sz w:val="21"/>
          <w:szCs w:val="21"/>
        </w:rPr>
        <w:t>产品的包装</w:t>
      </w:r>
      <w:bookmarkEnd w:id="26"/>
    </w:p>
    <w:p w14:paraId="03F0D40D">
      <w:pPr>
        <w:numPr>
          <w:ilvl w:val="0"/>
          <w:numId w:val="7"/>
        </w:numPr>
        <w:tabs>
          <w:tab w:val="left" w:pos="0"/>
          <w:tab w:val="clear" w:pos="1155"/>
        </w:tabs>
        <w:spacing w:line="360" w:lineRule="auto"/>
        <w:ind w:left="0" w:firstLine="0"/>
        <w:rPr>
          <w:rFonts w:ascii="宋体" w:hAnsi="宋体" w:cs="宋体"/>
          <w:szCs w:val="21"/>
        </w:rPr>
      </w:pPr>
      <w:r>
        <w:rPr>
          <w:rFonts w:hint="eastAsia" w:ascii="宋体" w:hAnsi="宋体" w:cs="宋体"/>
          <w:szCs w:val="21"/>
        </w:rPr>
        <w:t>所有产品由乙方负责妥善包装，附件、清单完整齐全，注明储运标志，并适合于长途运输。由此不当而引起的所有损失和责任由乙方承担。</w:t>
      </w:r>
    </w:p>
    <w:p w14:paraId="5A43557A">
      <w:pPr>
        <w:numPr>
          <w:ilvl w:val="0"/>
          <w:numId w:val="7"/>
        </w:numPr>
        <w:tabs>
          <w:tab w:val="left" w:pos="0"/>
          <w:tab w:val="clear" w:pos="1155"/>
        </w:tabs>
        <w:spacing w:line="360" w:lineRule="auto"/>
        <w:ind w:left="0" w:firstLine="0"/>
        <w:rPr>
          <w:rFonts w:ascii="宋体" w:hAnsi="宋体" w:cs="宋体"/>
          <w:szCs w:val="21"/>
        </w:rPr>
      </w:pPr>
      <w:r>
        <w:rPr>
          <w:rFonts w:hint="eastAsia" w:ascii="宋体" w:hAnsi="宋体" w:cs="宋体"/>
          <w:szCs w:val="21"/>
        </w:rPr>
        <w:t>每件包装外面应清楚地打上记号，这些记号或标志应在运单上说明。</w:t>
      </w:r>
    </w:p>
    <w:p w14:paraId="447702B0">
      <w:pPr>
        <w:numPr>
          <w:ilvl w:val="0"/>
          <w:numId w:val="7"/>
        </w:numPr>
        <w:tabs>
          <w:tab w:val="left" w:pos="0"/>
          <w:tab w:val="clear" w:pos="1155"/>
        </w:tabs>
        <w:spacing w:line="360" w:lineRule="auto"/>
        <w:ind w:left="0" w:firstLine="0"/>
        <w:rPr>
          <w:rFonts w:ascii="宋体" w:hAnsi="宋体" w:cs="宋体"/>
          <w:szCs w:val="21"/>
        </w:rPr>
      </w:pPr>
      <w:r>
        <w:rPr>
          <w:rFonts w:hint="eastAsia" w:ascii="宋体" w:hAnsi="宋体" w:cs="宋体"/>
          <w:szCs w:val="21"/>
        </w:rPr>
        <w:t>备品备件及专用工具应在箱内运送并与产品分别包装，所有备件应加上标签，以示区别。</w:t>
      </w:r>
    </w:p>
    <w:p w14:paraId="0EBC2475">
      <w:pPr>
        <w:numPr>
          <w:ilvl w:val="0"/>
          <w:numId w:val="7"/>
        </w:numPr>
        <w:tabs>
          <w:tab w:val="left" w:pos="0"/>
          <w:tab w:val="clear" w:pos="1155"/>
        </w:tabs>
        <w:spacing w:line="360" w:lineRule="auto"/>
        <w:ind w:left="0" w:firstLine="0"/>
        <w:rPr>
          <w:rFonts w:ascii="宋体" w:hAnsi="宋体" w:cs="宋体"/>
          <w:szCs w:val="21"/>
        </w:rPr>
      </w:pPr>
      <w:r>
        <w:rPr>
          <w:rFonts w:hint="eastAsia" w:ascii="宋体" w:hAnsi="宋体" w:cs="宋体"/>
          <w:szCs w:val="21"/>
        </w:rPr>
        <w:t>乙方应提前3天通知甲方负责收货的联系人，告知产品运送到项目现场的具体日期。</w:t>
      </w:r>
    </w:p>
    <w:p w14:paraId="29A2609C">
      <w:pPr>
        <w:pStyle w:val="3"/>
        <w:widowControl/>
        <w:tabs>
          <w:tab w:val="left" w:pos="25"/>
        </w:tabs>
        <w:jc w:val="left"/>
        <w:rPr>
          <w:rFonts w:ascii="宋体" w:hAnsi="宋体" w:cs="宋体"/>
          <w:bCs w:val="0"/>
          <w:sz w:val="21"/>
          <w:szCs w:val="21"/>
        </w:rPr>
      </w:pPr>
      <w:bookmarkStart w:id="27" w:name="_Toc19244"/>
      <w:bookmarkStart w:id="28" w:name="_Toc69378622"/>
      <w:r>
        <w:rPr>
          <w:rFonts w:hint="eastAsia" w:ascii="宋体" w:hAnsi="宋体" w:cs="宋体"/>
          <w:bCs w:val="0"/>
          <w:sz w:val="21"/>
          <w:szCs w:val="21"/>
        </w:rPr>
        <w:t>六、产品交付</w:t>
      </w:r>
      <w:bookmarkEnd w:id="27"/>
    </w:p>
    <w:p w14:paraId="269AB7DE">
      <w:pPr>
        <w:numPr>
          <w:ilvl w:val="0"/>
          <w:numId w:val="8"/>
        </w:numPr>
        <w:tabs>
          <w:tab w:val="left" w:pos="0"/>
          <w:tab w:val="clear" w:pos="1155"/>
        </w:tabs>
        <w:spacing w:line="360" w:lineRule="auto"/>
        <w:ind w:left="0" w:firstLine="0"/>
        <w:rPr>
          <w:rFonts w:ascii="宋体" w:hAnsi="宋体" w:cs="宋体"/>
          <w:szCs w:val="21"/>
        </w:rPr>
      </w:pPr>
      <w:r>
        <w:rPr>
          <w:rFonts w:hint="eastAsia" w:ascii="宋体" w:hAnsi="宋体" w:cs="宋体"/>
          <w:szCs w:val="21"/>
        </w:rPr>
        <w:t>产品的交货地点为甲方指定地点、指定楼层。</w:t>
      </w:r>
    </w:p>
    <w:p w14:paraId="42BA3090">
      <w:pPr>
        <w:numPr>
          <w:ilvl w:val="0"/>
          <w:numId w:val="8"/>
        </w:numPr>
        <w:tabs>
          <w:tab w:val="left" w:pos="0"/>
          <w:tab w:val="clear" w:pos="1155"/>
        </w:tabs>
        <w:spacing w:line="360" w:lineRule="auto"/>
        <w:ind w:left="0" w:firstLine="0"/>
        <w:rPr>
          <w:rFonts w:ascii="宋体" w:hAnsi="宋体" w:cs="宋体"/>
          <w:szCs w:val="21"/>
        </w:rPr>
      </w:pPr>
      <w:r>
        <w:rPr>
          <w:rFonts w:hint="eastAsia" w:ascii="宋体" w:hAnsi="宋体" w:cs="宋体"/>
          <w:szCs w:val="21"/>
        </w:rPr>
        <w:t>乙方交货时应提供下列技术资料：</w:t>
      </w:r>
    </w:p>
    <w:p w14:paraId="1E3DE30C">
      <w:pPr>
        <w:spacing w:line="360" w:lineRule="auto"/>
        <w:rPr>
          <w:rFonts w:ascii="宋体" w:hAnsi="宋体" w:cs="宋体"/>
          <w:szCs w:val="21"/>
        </w:rPr>
      </w:pPr>
      <w:r>
        <w:rPr>
          <w:rFonts w:hint="eastAsia" w:ascii="宋体" w:hAnsi="宋体" w:cs="宋体"/>
          <w:szCs w:val="21"/>
        </w:rPr>
        <w:t>（1）产品原厂或原产地证明；</w:t>
      </w:r>
    </w:p>
    <w:p w14:paraId="6D167141">
      <w:pPr>
        <w:spacing w:line="360" w:lineRule="auto"/>
        <w:rPr>
          <w:rFonts w:ascii="宋体" w:hAnsi="宋体" w:cs="宋体"/>
          <w:szCs w:val="21"/>
        </w:rPr>
      </w:pPr>
      <w:r>
        <w:rPr>
          <w:rFonts w:hint="eastAsia" w:ascii="宋体" w:hAnsi="宋体" w:cs="宋体"/>
          <w:szCs w:val="21"/>
        </w:rPr>
        <w:t>（2）产品出厂检验报告和产品合格证；</w:t>
      </w:r>
    </w:p>
    <w:p w14:paraId="385E000B">
      <w:pPr>
        <w:spacing w:line="360" w:lineRule="auto"/>
        <w:rPr>
          <w:rFonts w:ascii="宋体" w:hAnsi="宋体" w:cs="宋体"/>
          <w:szCs w:val="21"/>
        </w:rPr>
      </w:pPr>
      <w:r>
        <w:rPr>
          <w:rFonts w:hint="eastAsia" w:ascii="宋体" w:hAnsi="宋体" w:cs="宋体"/>
          <w:szCs w:val="21"/>
        </w:rPr>
        <w:t>（3）询价文件中所要求提交的资料。</w:t>
      </w:r>
    </w:p>
    <w:p w14:paraId="5058C492">
      <w:pPr>
        <w:numPr>
          <w:ilvl w:val="0"/>
          <w:numId w:val="8"/>
        </w:numPr>
        <w:tabs>
          <w:tab w:val="left" w:pos="0"/>
          <w:tab w:val="clear" w:pos="1155"/>
        </w:tabs>
        <w:spacing w:line="360" w:lineRule="auto"/>
        <w:ind w:left="0" w:firstLine="0"/>
        <w:rPr>
          <w:rFonts w:ascii="宋体" w:hAnsi="宋体" w:cs="宋体"/>
          <w:szCs w:val="21"/>
        </w:rPr>
      </w:pPr>
      <w:r>
        <w:rPr>
          <w:rFonts w:hint="eastAsia" w:ascii="宋体" w:hAnsi="宋体" w:cs="宋体"/>
          <w:szCs w:val="21"/>
        </w:rPr>
        <w:t>设备到货后，甲方负责清点货物包装箱件数。在设备安装调试前，甲乙双方代表在施工现场共同开箱清点验收货物。若一方因故无法抵达施工现场，则无条件接受另一方开箱清点验收结果。</w:t>
      </w:r>
    </w:p>
    <w:p w14:paraId="58285FEB">
      <w:pPr>
        <w:numPr>
          <w:ilvl w:val="0"/>
          <w:numId w:val="8"/>
        </w:numPr>
        <w:tabs>
          <w:tab w:val="left" w:pos="0"/>
          <w:tab w:val="clear" w:pos="1155"/>
        </w:tabs>
        <w:spacing w:line="360" w:lineRule="auto"/>
        <w:ind w:left="0" w:firstLine="0"/>
        <w:rPr>
          <w:rFonts w:ascii="宋体" w:hAnsi="宋体" w:cs="宋体"/>
          <w:szCs w:val="21"/>
        </w:rPr>
      </w:pPr>
      <w:r>
        <w:rPr>
          <w:rFonts w:hint="eastAsia" w:ascii="宋体" w:hAnsi="宋体" w:cs="宋体"/>
          <w:szCs w:val="21"/>
        </w:rPr>
        <w:t>甲方有权拒收运抵现场的被损坏或有缺陷的或不符合询价文件、乙方响应文件和询价时乙方做出的书面承诺的任何产品。</w:t>
      </w:r>
    </w:p>
    <w:bookmarkEnd w:id="28"/>
    <w:p w14:paraId="4169F106">
      <w:pPr>
        <w:pStyle w:val="3"/>
        <w:widowControl/>
        <w:tabs>
          <w:tab w:val="left" w:pos="25"/>
        </w:tabs>
        <w:jc w:val="left"/>
        <w:rPr>
          <w:rFonts w:ascii="宋体" w:hAnsi="宋体" w:cs="宋体"/>
          <w:bCs w:val="0"/>
          <w:sz w:val="21"/>
          <w:szCs w:val="21"/>
        </w:rPr>
      </w:pPr>
      <w:bookmarkStart w:id="29" w:name="_Toc69378629"/>
      <w:bookmarkStart w:id="30" w:name="_Toc17438"/>
      <w:r>
        <w:rPr>
          <w:rFonts w:hint="eastAsia" w:ascii="宋体" w:hAnsi="宋体" w:cs="宋体"/>
          <w:bCs w:val="0"/>
          <w:sz w:val="21"/>
          <w:szCs w:val="21"/>
        </w:rPr>
        <w:t>七、</w:t>
      </w:r>
      <w:bookmarkEnd w:id="29"/>
      <w:bookmarkStart w:id="31" w:name="_Toc69378632"/>
      <w:r>
        <w:rPr>
          <w:rFonts w:hint="eastAsia" w:ascii="宋体" w:hAnsi="宋体" w:cs="宋体"/>
          <w:bCs w:val="0"/>
          <w:sz w:val="21"/>
          <w:szCs w:val="21"/>
        </w:rPr>
        <w:t>运输费用</w:t>
      </w:r>
      <w:bookmarkEnd w:id="30"/>
    </w:p>
    <w:p w14:paraId="474677AB">
      <w:pPr>
        <w:spacing w:line="360" w:lineRule="auto"/>
        <w:ind w:firstLine="420" w:firstLineChars="200"/>
        <w:rPr>
          <w:rFonts w:ascii="宋体" w:hAnsi="宋体" w:cs="宋体"/>
          <w:szCs w:val="21"/>
        </w:rPr>
      </w:pPr>
      <w:r>
        <w:rPr>
          <w:rFonts w:hint="eastAsia" w:ascii="宋体" w:hAnsi="宋体" w:cs="宋体"/>
          <w:szCs w:val="21"/>
        </w:rPr>
        <w:t>乙方承担所有产品的运输、装卸和保险等费用。</w:t>
      </w:r>
    </w:p>
    <w:p w14:paraId="67A345E0">
      <w:pPr>
        <w:pStyle w:val="3"/>
        <w:widowControl/>
        <w:tabs>
          <w:tab w:val="left" w:pos="25"/>
        </w:tabs>
        <w:jc w:val="left"/>
        <w:rPr>
          <w:rFonts w:ascii="宋体" w:hAnsi="宋体" w:cs="宋体"/>
          <w:bCs w:val="0"/>
          <w:sz w:val="21"/>
          <w:szCs w:val="21"/>
        </w:rPr>
      </w:pPr>
      <w:bookmarkStart w:id="32" w:name="_Toc9578"/>
      <w:r>
        <w:rPr>
          <w:rFonts w:hint="eastAsia" w:ascii="宋体" w:hAnsi="宋体" w:cs="宋体"/>
          <w:bCs w:val="0"/>
          <w:sz w:val="21"/>
          <w:szCs w:val="21"/>
        </w:rPr>
        <w:t>八、供货周期</w:t>
      </w:r>
      <w:bookmarkEnd w:id="32"/>
    </w:p>
    <w:p w14:paraId="7DFA0DAA">
      <w:pPr>
        <w:spacing w:line="360" w:lineRule="auto"/>
        <w:ind w:firstLine="420" w:firstLineChars="200"/>
        <w:rPr>
          <w:rFonts w:ascii="宋体" w:hAnsi="宋体" w:cs="宋体"/>
          <w:szCs w:val="21"/>
        </w:rPr>
      </w:pPr>
      <w:r>
        <w:rPr>
          <w:rFonts w:hint="eastAsia" w:ascii="宋体" w:hAnsi="宋体" w:cs="宋体"/>
          <w:szCs w:val="21"/>
        </w:rPr>
        <w:t>所有货物在合同生效后天内（不超过3</w:t>
      </w:r>
      <w:r>
        <w:rPr>
          <w:rFonts w:ascii="宋体" w:hAnsi="宋体" w:cs="宋体"/>
          <w:szCs w:val="21"/>
        </w:rPr>
        <w:t>0</w:t>
      </w:r>
      <w:r>
        <w:rPr>
          <w:rFonts w:hint="eastAsia" w:ascii="宋体" w:hAnsi="宋体" w:cs="宋体"/>
          <w:szCs w:val="21"/>
        </w:rPr>
        <w:t>天）运抵甲方工地现场并安装、调试结束，验收合格。现场集成对接时间不得超过10周。乙方每逾期一天交货（不足一天按一天计算），按设备总价的5‰收取滞纳金，滞纳金从合同款中扣除。如逾期时间超过6周仍未能交付全部或部分设备（软件），在不妨碍甲方其他救济手段的情况下，甲方可以向乙方发出书面违约通知从而全部或部分地终止合同，并向乙方索赔。</w:t>
      </w:r>
    </w:p>
    <w:p w14:paraId="46BAD83E">
      <w:pPr>
        <w:spacing w:line="360" w:lineRule="auto"/>
        <w:ind w:firstLine="420" w:firstLineChars="200"/>
        <w:rPr>
          <w:rFonts w:ascii="宋体" w:hAnsi="宋体"/>
          <w:szCs w:val="21"/>
        </w:rPr>
      </w:pPr>
      <w:r>
        <w:rPr>
          <w:rFonts w:hint="eastAsia" w:ascii="宋体" w:hAnsi="宋体" w:cs="宋体"/>
          <w:szCs w:val="21"/>
        </w:rPr>
        <w:t>乙方逾期交货，甲方接受的，不影响甲方追究乙方逾期交货的违约责任。</w:t>
      </w:r>
      <w:bookmarkEnd w:id="31"/>
    </w:p>
    <w:p w14:paraId="130B1CD2">
      <w:pPr>
        <w:pStyle w:val="3"/>
        <w:widowControl/>
        <w:tabs>
          <w:tab w:val="left" w:pos="25"/>
        </w:tabs>
        <w:jc w:val="left"/>
        <w:rPr>
          <w:rFonts w:ascii="宋体" w:hAnsi="宋体" w:cs="宋体"/>
          <w:bCs w:val="0"/>
          <w:sz w:val="21"/>
          <w:szCs w:val="21"/>
        </w:rPr>
      </w:pPr>
      <w:bookmarkStart w:id="33" w:name="_Toc30925"/>
      <w:bookmarkStart w:id="34" w:name="_Toc69378633"/>
      <w:r>
        <w:rPr>
          <w:rFonts w:hint="eastAsia" w:ascii="宋体" w:hAnsi="宋体" w:cs="宋体"/>
          <w:bCs w:val="0"/>
          <w:sz w:val="21"/>
          <w:szCs w:val="21"/>
        </w:rPr>
        <w:t>九、验收标准</w:t>
      </w:r>
      <w:bookmarkEnd w:id="33"/>
    </w:p>
    <w:p w14:paraId="54D243E0">
      <w:pPr>
        <w:numPr>
          <w:ilvl w:val="0"/>
          <w:numId w:val="9"/>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需免费提供验收所需的测试工具、并搭建测试环境，按甲方询价文件、乙方响应文件、询价时乙方做出的书面承诺以及甲乙双方共同签订的补充协议的要求进行验收。乙方在货到安装调试完毕、系统达到技术要求规定的指标并开通业务后，向甲方提交“系统初验申请”，甲方应在接到乙方提供的系统初验申请报告后</w:t>
      </w:r>
      <w:r>
        <w:rPr>
          <w:rFonts w:ascii="宋体" w:hAnsi="宋体"/>
          <w:szCs w:val="21"/>
        </w:rPr>
        <w:t>10</w:t>
      </w:r>
      <w:r>
        <w:rPr>
          <w:rFonts w:hint="eastAsia" w:ascii="宋体" w:hAnsi="宋体"/>
          <w:szCs w:val="21"/>
        </w:rPr>
        <w:t>个工作日内组织有关部门进行初验。初验合格的，甲乙双方确定系统试运行开始日期、试运行方案及终验方案。试运行期为初验通过后的3个月。在试运行期结束后，如系统的设备性能和业务功能满足标书及合同要求，乙方应提交终验申请报告和试运行报告，试运行报告应包括所有数据记录和故障处理过程。甲方应在收到终验申请报告及全部文件后的</w:t>
      </w:r>
      <w:r>
        <w:rPr>
          <w:rFonts w:ascii="宋体" w:hAnsi="宋体"/>
          <w:szCs w:val="21"/>
        </w:rPr>
        <w:t>10</w:t>
      </w:r>
      <w:r>
        <w:rPr>
          <w:rFonts w:hint="eastAsia" w:ascii="宋体" w:hAnsi="宋体"/>
          <w:szCs w:val="21"/>
        </w:rPr>
        <w:t>个工作日内组织有关部门验收，并在验收后</w:t>
      </w:r>
      <w:r>
        <w:rPr>
          <w:rFonts w:ascii="宋体" w:hAnsi="宋体"/>
          <w:szCs w:val="21"/>
        </w:rPr>
        <w:t>10</w:t>
      </w:r>
      <w:r>
        <w:rPr>
          <w:rFonts w:hint="eastAsia" w:ascii="宋体" w:hAnsi="宋体"/>
          <w:szCs w:val="21"/>
        </w:rPr>
        <w:t>个工作日内给予验收结果或提出修改意见。</w:t>
      </w:r>
    </w:p>
    <w:p w14:paraId="00B58AA7">
      <w:pPr>
        <w:numPr>
          <w:ilvl w:val="0"/>
          <w:numId w:val="9"/>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如第一次初验或终验未通过，甲方应将有关不符合要求的情况书面通知乙方，乙方应在收到甲方书面通知后</w:t>
      </w:r>
      <w:r>
        <w:rPr>
          <w:rFonts w:ascii="宋体" w:hAnsi="宋体"/>
          <w:szCs w:val="21"/>
        </w:rPr>
        <w:t>20</w:t>
      </w:r>
      <w:r>
        <w:rPr>
          <w:rFonts w:hint="eastAsia" w:ascii="宋体" w:hAnsi="宋体"/>
          <w:szCs w:val="21"/>
        </w:rPr>
        <w:t>天内完成对系统的调整，使系统达到验收标准，并再次向甲方提出验收申请。甲方应在接到调整后的系统验收申请报告</w:t>
      </w:r>
      <w:r>
        <w:rPr>
          <w:rFonts w:ascii="宋体" w:hAnsi="宋体"/>
          <w:szCs w:val="21"/>
        </w:rPr>
        <w:t>10</w:t>
      </w:r>
      <w:r>
        <w:rPr>
          <w:rFonts w:hint="eastAsia" w:ascii="宋体" w:hAnsi="宋体"/>
          <w:szCs w:val="21"/>
        </w:rPr>
        <w:t>个工作日内组织第二次验收。如系统仍未通过验收，则视为系统不合格，甲方有权按照本合同的相关条款追究乙方的责任。</w:t>
      </w:r>
    </w:p>
    <w:p w14:paraId="4246F7D9">
      <w:pPr>
        <w:numPr>
          <w:ilvl w:val="0"/>
          <w:numId w:val="9"/>
        </w:numPr>
        <w:adjustRightInd w:val="0"/>
        <w:snapToGrid w:val="0"/>
        <w:spacing w:line="360" w:lineRule="auto"/>
        <w:rPr>
          <w:rFonts w:ascii="宋体"/>
          <w:szCs w:val="21"/>
        </w:rPr>
      </w:pPr>
      <w:r>
        <w:rPr>
          <w:rFonts w:hint="eastAsia" w:ascii="宋体" w:hAnsi="宋体"/>
          <w:szCs w:val="21"/>
        </w:rPr>
        <w:t>因甲方原因未能及时组织初验或终验，甲方应在乙方的协助下尽快解决问题。</w:t>
      </w:r>
    </w:p>
    <w:p w14:paraId="2E040EA1">
      <w:pPr>
        <w:numPr>
          <w:ilvl w:val="0"/>
          <w:numId w:val="9"/>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甲乙双方应按合同规定的时间进行初验和终验，验收时间因各种原因需要更改的，甲乙双方应共同商定修改验收日期。</w:t>
      </w:r>
    </w:p>
    <w:p w14:paraId="24D3009B">
      <w:pPr>
        <w:numPr>
          <w:ilvl w:val="0"/>
          <w:numId w:val="9"/>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在初验和终验过程中，若一方对验收过程或结果提出质疑，且经协商不成的，可由甲方选择法定检验机构进行检验，检验费用由乙方承担。</w:t>
      </w:r>
    </w:p>
    <w:p w14:paraId="3E9FACAB">
      <w:pPr>
        <w:numPr>
          <w:ilvl w:val="0"/>
          <w:numId w:val="9"/>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甲乙双方约定合同产品检验期自交货日起至初验通过之日止。</w:t>
      </w:r>
    </w:p>
    <w:p w14:paraId="3387CCD9">
      <w:pPr>
        <w:pStyle w:val="3"/>
        <w:adjustRightInd w:val="0"/>
        <w:snapToGrid w:val="0"/>
        <w:ind w:left="4"/>
        <w:jc w:val="left"/>
        <w:rPr>
          <w:rFonts w:ascii="宋体" w:hAnsi="宋体"/>
          <w:kern w:val="2"/>
          <w:sz w:val="21"/>
          <w:szCs w:val="21"/>
        </w:rPr>
      </w:pPr>
      <w:bookmarkStart w:id="35" w:name="_Toc17856"/>
      <w:bookmarkStart w:id="36" w:name="_Toc72326302"/>
      <w:r>
        <w:rPr>
          <w:rFonts w:hint="eastAsia" w:ascii="宋体" w:hAnsi="宋体"/>
          <w:kern w:val="2"/>
          <w:sz w:val="21"/>
          <w:szCs w:val="21"/>
        </w:rPr>
        <w:t>十、售后服务</w:t>
      </w:r>
      <w:bookmarkEnd w:id="35"/>
      <w:bookmarkEnd w:id="36"/>
    </w:p>
    <w:p w14:paraId="490D19E9">
      <w:pPr>
        <w:numPr>
          <w:ilvl w:val="0"/>
          <w:numId w:val="10"/>
        </w:numPr>
        <w:adjustRightInd w:val="0"/>
        <w:snapToGrid w:val="0"/>
        <w:spacing w:line="360" w:lineRule="auto"/>
        <w:ind w:left="0" w:firstLine="0"/>
        <w:rPr>
          <w:rFonts w:ascii="宋体"/>
          <w:szCs w:val="21"/>
        </w:rPr>
      </w:pPr>
      <w:r>
        <w:rPr>
          <w:rFonts w:hint="eastAsia" w:ascii="宋体" w:hAnsi="宋体"/>
          <w:szCs w:val="21"/>
        </w:rPr>
        <w:t>服务响应时间：乙方提供每周</w:t>
      </w:r>
      <w:r>
        <w:rPr>
          <w:rFonts w:ascii="宋体" w:hAnsi="宋体"/>
          <w:szCs w:val="21"/>
        </w:rPr>
        <w:t>7</w:t>
      </w:r>
      <w:r>
        <w:rPr>
          <w:rFonts w:hint="eastAsia" w:ascii="宋体" w:hAnsi="宋体"/>
          <w:szCs w:val="21"/>
        </w:rPr>
        <w:t>天×</w:t>
      </w:r>
      <w:r>
        <w:rPr>
          <w:rFonts w:ascii="宋体" w:hAnsi="宋体"/>
          <w:szCs w:val="21"/>
        </w:rPr>
        <w:t>24</w:t>
      </w:r>
      <w:r>
        <w:rPr>
          <w:rFonts w:hint="eastAsia" w:ascii="宋体" w:hAnsi="宋体"/>
          <w:szCs w:val="21"/>
        </w:rPr>
        <w:t>小时的技术支持和服务。如果出现技术问题或故障，乙方应按响应文件和询价时做出的书面承诺提供相应的服务和技术支持。</w:t>
      </w:r>
      <w:r>
        <w:rPr>
          <w:rFonts w:ascii="宋体" w:hAnsi="宋体"/>
          <w:szCs w:val="21"/>
        </w:rPr>
        <w:t>在接到通知后1小时内应答，6小时内派出代表到达现场进行处理。在得到</w:t>
      </w:r>
      <w:r>
        <w:rPr>
          <w:rFonts w:hint="eastAsia" w:ascii="宋体" w:hAnsi="宋体"/>
          <w:szCs w:val="21"/>
        </w:rPr>
        <w:t>乙方</w:t>
      </w:r>
      <w:r>
        <w:rPr>
          <w:rFonts w:ascii="宋体" w:hAnsi="宋体"/>
          <w:szCs w:val="21"/>
        </w:rPr>
        <w:t>同意后，或在规定期限内，</w:t>
      </w:r>
      <w:r>
        <w:rPr>
          <w:rFonts w:hint="eastAsia" w:ascii="宋体" w:hAnsi="宋体"/>
          <w:szCs w:val="21"/>
        </w:rPr>
        <w:t>乙方</w:t>
      </w:r>
      <w:r>
        <w:rPr>
          <w:rFonts w:ascii="宋体" w:hAnsi="宋体"/>
          <w:szCs w:val="21"/>
        </w:rPr>
        <w:t>代表仍未到达现场，</w:t>
      </w:r>
      <w:r>
        <w:rPr>
          <w:rFonts w:hint="eastAsia" w:ascii="宋体" w:hAnsi="宋体"/>
          <w:szCs w:val="21"/>
        </w:rPr>
        <w:t>甲方</w:t>
      </w:r>
      <w:r>
        <w:rPr>
          <w:rFonts w:ascii="宋体" w:hAnsi="宋体"/>
          <w:szCs w:val="21"/>
        </w:rPr>
        <w:t>可以自己进行故障处理，并要求</w:t>
      </w:r>
      <w:r>
        <w:rPr>
          <w:rFonts w:hint="eastAsia" w:ascii="宋体" w:hAnsi="宋体"/>
          <w:szCs w:val="21"/>
        </w:rPr>
        <w:t>乙方</w:t>
      </w:r>
      <w:r>
        <w:rPr>
          <w:rFonts w:ascii="宋体" w:hAnsi="宋体"/>
          <w:szCs w:val="21"/>
        </w:rPr>
        <w:t>承担相应费用。重大技术故障</w:t>
      </w:r>
      <w:r>
        <w:rPr>
          <w:rFonts w:hint="eastAsia" w:ascii="宋体" w:hAnsi="宋体"/>
          <w:szCs w:val="21"/>
        </w:rPr>
        <w:t>乙方</w:t>
      </w:r>
      <w:r>
        <w:rPr>
          <w:rFonts w:ascii="宋体" w:hAnsi="宋体"/>
          <w:szCs w:val="21"/>
        </w:rPr>
        <w:t>需要明确处理的时间。</w:t>
      </w:r>
    </w:p>
    <w:p w14:paraId="4E61FA81">
      <w:pPr>
        <w:numPr>
          <w:ilvl w:val="0"/>
          <w:numId w:val="10"/>
        </w:numPr>
        <w:adjustRightInd w:val="0"/>
        <w:snapToGrid w:val="0"/>
        <w:spacing w:line="360" w:lineRule="auto"/>
        <w:ind w:left="0" w:firstLine="0"/>
        <w:rPr>
          <w:rFonts w:ascii="宋体" w:hAnsi="宋体"/>
          <w:szCs w:val="21"/>
        </w:rPr>
      </w:pPr>
      <w:r>
        <w:rPr>
          <w:rFonts w:hint="eastAsia" w:ascii="宋体" w:hAnsi="宋体"/>
          <w:szCs w:val="21"/>
        </w:rPr>
        <w:t>包修期：免费包修期</w:t>
      </w:r>
      <w:r>
        <w:rPr>
          <w:rFonts w:hint="eastAsia" w:ascii="宋体" w:hAnsi="宋体" w:cs="宋体"/>
          <w:szCs w:val="21"/>
        </w:rPr>
        <w:t>为 年（不少于3年）</w:t>
      </w:r>
      <w:r>
        <w:rPr>
          <w:rFonts w:hint="eastAsia" w:ascii="宋体" w:hAnsi="宋体"/>
          <w:szCs w:val="21"/>
        </w:rPr>
        <w:t>，自初验通过之日起计算。免费包修期</w:t>
      </w:r>
      <w:r>
        <w:rPr>
          <w:rFonts w:ascii="宋体" w:hAnsi="宋体"/>
          <w:szCs w:val="21"/>
        </w:rPr>
        <w:t>，故障设备</w:t>
      </w:r>
      <w:r>
        <w:rPr>
          <w:rFonts w:hint="eastAsia" w:ascii="宋体" w:hAnsi="宋体"/>
          <w:szCs w:val="21"/>
        </w:rPr>
        <w:t>乙方</w:t>
      </w:r>
      <w:r>
        <w:rPr>
          <w:rFonts w:ascii="宋体" w:hAnsi="宋体"/>
          <w:szCs w:val="21"/>
        </w:rPr>
        <w:t>应在6小时内予以更换，更换故障部件的</w:t>
      </w:r>
      <w:r>
        <w:rPr>
          <w:rFonts w:hint="eastAsia" w:ascii="宋体" w:hAnsi="宋体"/>
          <w:szCs w:val="21"/>
        </w:rPr>
        <w:t>免费包修期</w:t>
      </w:r>
      <w:r>
        <w:rPr>
          <w:rFonts w:ascii="宋体" w:hAnsi="宋体"/>
          <w:szCs w:val="21"/>
        </w:rPr>
        <w:t>从更换日期起重新计算。</w:t>
      </w:r>
      <w:r>
        <w:rPr>
          <w:rFonts w:hint="eastAsia" w:ascii="宋体" w:hAnsi="宋体"/>
          <w:szCs w:val="21"/>
        </w:rPr>
        <w:t>超过免费质保期后，乙方对其提供的产品在设备寿命期内提供有偿保修服务。每年</w:t>
      </w:r>
      <w:r>
        <w:rPr>
          <w:rFonts w:hint="eastAsia"/>
          <w:szCs w:val="21"/>
        </w:rPr>
        <w:t>价格不得高于需要保修设备成交价的 %（不高于5%）。</w:t>
      </w:r>
    </w:p>
    <w:p w14:paraId="73218BD5">
      <w:pPr>
        <w:pStyle w:val="380"/>
        <w:numPr>
          <w:ilvl w:val="0"/>
          <w:numId w:val="10"/>
        </w:numPr>
        <w:ind w:left="0" w:firstLine="0"/>
        <w:rPr>
          <w:rFonts w:ascii="宋体" w:hAnsi="宋体"/>
          <w:sz w:val="21"/>
          <w:szCs w:val="21"/>
        </w:rPr>
      </w:pPr>
      <w:r>
        <w:rPr>
          <w:rFonts w:hint="eastAsia" w:ascii="宋体" w:hAnsi="宋体"/>
          <w:sz w:val="21"/>
          <w:szCs w:val="21"/>
        </w:rPr>
        <w:t>培训：包括响应文件和询价时做出的书面承诺的培训。乙方另行提供的其它培训，往返路程费用、住宿及餐饮等费用由乙方承担。</w:t>
      </w:r>
    </w:p>
    <w:p w14:paraId="0D3CCD28">
      <w:pPr>
        <w:pStyle w:val="380"/>
        <w:numPr>
          <w:ilvl w:val="0"/>
          <w:numId w:val="10"/>
        </w:numPr>
        <w:ind w:left="0" w:firstLine="0"/>
        <w:rPr>
          <w:rFonts w:ascii="宋体" w:hAnsi="宋体"/>
          <w:szCs w:val="21"/>
        </w:rPr>
      </w:pPr>
      <w:r>
        <w:rPr>
          <w:rFonts w:hint="eastAsia" w:ascii="宋体" w:hAnsi="宋体"/>
          <w:sz w:val="21"/>
          <w:szCs w:val="21"/>
        </w:rPr>
        <w:t>原厂服务：乙方所提供的技术服务都由各产品制造商原厂提供，所销售的产品均已包含年期每周7天×24小时原厂服务。如乙方停止代理销售本合同涉及的品牌产品，则乙方保证由各产品制造商原厂继续提供所有的售后服务，且不免除乙方对此应承担的责任。</w:t>
      </w:r>
    </w:p>
    <w:p w14:paraId="66941853">
      <w:pPr>
        <w:numPr>
          <w:ilvl w:val="0"/>
          <w:numId w:val="10"/>
        </w:numPr>
        <w:adjustRightInd w:val="0"/>
        <w:snapToGrid w:val="0"/>
        <w:spacing w:line="360" w:lineRule="auto"/>
        <w:ind w:left="0" w:firstLine="0"/>
        <w:rPr>
          <w:rFonts w:ascii="宋体" w:hAnsi="宋体"/>
          <w:szCs w:val="21"/>
        </w:rPr>
      </w:pPr>
      <w:r>
        <w:rPr>
          <w:rFonts w:hint="eastAsia" w:ascii="宋体" w:hAnsi="宋体"/>
          <w:szCs w:val="21"/>
        </w:rPr>
        <w:t>如果在系统发生故障后，乙方未能按照要求时间排除系统故障，甲方有权请第三方解决问题，由此产生的费用由乙方承担。造成甲方业务损失的，由乙方承担相应责任。</w:t>
      </w:r>
    </w:p>
    <w:p w14:paraId="78D61949">
      <w:pPr>
        <w:numPr>
          <w:ilvl w:val="0"/>
          <w:numId w:val="10"/>
        </w:numPr>
        <w:adjustRightInd w:val="0"/>
        <w:snapToGrid w:val="0"/>
        <w:spacing w:line="360" w:lineRule="auto"/>
        <w:ind w:left="360" w:hanging="360"/>
        <w:rPr>
          <w:rFonts w:ascii="宋体" w:hAnsi="宋体"/>
          <w:szCs w:val="21"/>
        </w:rPr>
      </w:pPr>
      <w:r>
        <w:rPr>
          <w:rFonts w:hint="eastAsia" w:ascii="宋体" w:hAnsi="宋体"/>
          <w:szCs w:val="21"/>
        </w:rPr>
        <w:t>乙方保证立即响应并至少通过电话做远程诊断，尝试排除故障或进行紧急处理。</w:t>
      </w:r>
    </w:p>
    <w:p w14:paraId="4D9FD161">
      <w:pPr>
        <w:numPr>
          <w:ilvl w:val="0"/>
          <w:numId w:val="10"/>
        </w:numPr>
        <w:tabs>
          <w:tab w:val="left" w:pos="210"/>
        </w:tabs>
        <w:adjustRightInd w:val="0"/>
        <w:snapToGrid w:val="0"/>
        <w:spacing w:line="360" w:lineRule="auto"/>
        <w:ind w:left="0" w:firstLine="0"/>
        <w:rPr>
          <w:rFonts w:ascii="宋体" w:hAnsi="宋体"/>
          <w:szCs w:val="21"/>
        </w:rPr>
      </w:pPr>
      <w:r>
        <w:rPr>
          <w:rFonts w:hint="eastAsia" w:ascii="宋体" w:hAnsi="宋体"/>
          <w:szCs w:val="21"/>
        </w:rPr>
        <w:t>乙方保证提供完善的备件支持服务，用以保障甲方应急替换。若某部件发生故障，乙方承诺在6小时内为甲方替换部件。</w:t>
      </w:r>
    </w:p>
    <w:p w14:paraId="524BD3A9">
      <w:pPr>
        <w:numPr>
          <w:ilvl w:val="0"/>
          <w:numId w:val="10"/>
        </w:numPr>
        <w:adjustRightInd w:val="0"/>
        <w:snapToGrid w:val="0"/>
        <w:spacing w:line="360" w:lineRule="auto"/>
        <w:ind w:left="360" w:hanging="360"/>
        <w:rPr>
          <w:rFonts w:ascii="宋体" w:hAnsi="宋体"/>
          <w:szCs w:val="21"/>
        </w:rPr>
      </w:pPr>
      <w:r>
        <w:rPr>
          <w:rFonts w:hint="eastAsia" w:ascii="宋体" w:hAnsi="宋体"/>
          <w:szCs w:val="21"/>
        </w:rPr>
        <w:t>乙方在招标人工地安装、调试期间，一切费用由乙方自理。</w:t>
      </w:r>
    </w:p>
    <w:p w14:paraId="74F8C9E8">
      <w:pPr>
        <w:numPr>
          <w:ilvl w:val="0"/>
          <w:numId w:val="10"/>
        </w:numPr>
        <w:adjustRightInd w:val="0"/>
        <w:snapToGrid w:val="0"/>
        <w:spacing w:line="360" w:lineRule="auto"/>
        <w:ind w:left="0" w:firstLine="0"/>
        <w:rPr>
          <w:rFonts w:ascii="宋体" w:hAnsi="宋体"/>
          <w:szCs w:val="21"/>
        </w:rPr>
      </w:pPr>
      <w:r>
        <w:rPr>
          <w:rFonts w:hint="eastAsia" w:ascii="宋体" w:hAnsi="宋体"/>
          <w:szCs w:val="21"/>
        </w:rPr>
        <w:t>乙方所供货物要求实行终身维保；乙方应提供货物最低使用年限，在此期间内，不应发生非人为操作原因的重大故障，否则甲方有权追溯乙方的责任。</w:t>
      </w:r>
    </w:p>
    <w:p w14:paraId="16C1ECDC">
      <w:pPr>
        <w:pStyle w:val="3"/>
        <w:adjustRightInd w:val="0"/>
        <w:snapToGrid w:val="0"/>
        <w:ind w:left="4"/>
        <w:jc w:val="both"/>
        <w:rPr>
          <w:rFonts w:ascii="宋体" w:hAnsi="宋体"/>
          <w:kern w:val="2"/>
          <w:sz w:val="21"/>
          <w:szCs w:val="21"/>
        </w:rPr>
      </w:pPr>
      <w:bookmarkStart w:id="37" w:name="_Toc72326303"/>
      <w:bookmarkStart w:id="38" w:name="_Toc17089"/>
      <w:r>
        <w:rPr>
          <w:rFonts w:hint="eastAsia" w:ascii="宋体" w:hAnsi="宋体"/>
          <w:kern w:val="2"/>
          <w:sz w:val="21"/>
          <w:szCs w:val="21"/>
        </w:rPr>
        <w:t>十一、技术升级和优惠条件</w:t>
      </w:r>
      <w:bookmarkEnd w:id="37"/>
      <w:bookmarkEnd w:id="38"/>
    </w:p>
    <w:p w14:paraId="656A5C66">
      <w:pPr>
        <w:numPr>
          <w:ilvl w:val="0"/>
          <w:numId w:val="11"/>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乙方对所开发软件在包修期内提供免费的不增加新功能的软件升级服务，并在升级后为甲方提供免费的培训。</w:t>
      </w:r>
    </w:p>
    <w:p w14:paraId="54273F04">
      <w:pPr>
        <w:numPr>
          <w:ilvl w:val="0"/>
          <w:numId w:val="11"/>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乙方</w:t>
      </w:r>
      <w:r>
        <w:rPr>
          <w:rFonts w:ascii="宋体" w:hAnsi="宋体"/>
          <w:szCs w:val="21"/>
        </w:rPr>
        <w:t>对所供硬件及第三方软件在设备寿命期内提供免费的软件升级服务（包括设备模板），并在升级后为</w:t>
      </w:r>
      <w:r>
        <w:rPr>
          <w:rFonts w:hint="eastAsia" w:ascii="宋体" w:hAnsi="宋体"/>
          <w:szCs w:val="21"/>
        </w:rPr>
        <w:t>甲方</w:t>
      </w:r>
      <w:r>
        <w:rPr>
          <w:rFonts w:ascii="宋体" w:hAnsi="宋体"/>
          <w:szCs w:val="21"/>
        </w:rPr>
        <w:t>提供免费的培训。</w:t>
      </w:r>
    </w:p>
    <w:p w14:paraId="3FC004C8">
      <w:pPr>
        <w:numPr>
          <w:ilvl w:val="0"/>
          <w:numId w:val="11"/>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乙方</w:t>
      </w:r>
      <w:r>
        <w:rPr>
          <w:rFonts w:ascii="宋体" w:hAnsi="宋体"/>
          <w:szCs w:val="21"/>
        </w:rPr>
        <w:t>承诺升级后的软件没有版权及权属争议等其它问题，并且保证到下次升级时可正常使用。</w:t>
      </w:r>
    </w:p>
    <w:p w14:paraId="1A6B2CF1">
      <w:pPr>
        <w:numPr>
          <w:ilvl w:val="0"/>
          <w:numId w:val="11"/>
        </w:numPr>
        <w:tabs>
          <w:tab w:val="left" w:pos="0"/>
          <w:tab w:val="clear" w:pos="420"/>
        </w:tabs>
        <w:adjustRightInd w:val="0"/>
        <w:snapToGrid w:val="0"/>
        <w:spacing w:line="360" w:lineRule="auto"/>
        <w:ind w:left="0" w:firstLine="0"/>
        <w:rPr>
          <w:rFonts w:ascii="宋体" w:hAnsi="宋体"/>
          <w:szCs w:val="21"/>
        </w:rPr>
      </w:pPr>
      <w:r>
        <w:rPr>
          <w:rFonts w:ascii="宋体" w:hAnsi="宋体"/>
          <w:szCs w:val="21"/>
        </w:rPr>
        <w:t>本次合同范围，即</w:t>
      </w:r>
      <w:r>
        <w:rPr>
          <w:rFonts w:hint="eastAsia" w:ascii="宋体" w:hAnsi="宋体"/>
          <w:szCs w:val="21"/>
        </w:rPr>
        <w:t>“</w:t>
      </w:r>
      <w:r>
        <w:rPr>
          <w:rFonts w:hint="eastAsia"/>
          <w:szCs w:val="21"/>
          <w:u w:val="single"/>
        </w:rPr>
        <w:t>园区1号楼无线网络优化项目</w:t>
      </w:r>
      <w:r>
        <w:rPr>
          <w:rFonts w:hint="eastAsia" w:ascii="宋体" w:hAnsi="宋体"/>
          <w:szCs w:val="21"/>
        </w:rPr>
        <w:t>”</w:t>
      </w:r>
      <w:r>
        <w:rPr>
          <w:rFonts w:ascii="宋体" w:hAnsi="宋体"/>
          <w:szCs w:val="21"/>
        </w:rPr>
        <w:t>项目范围，对于系统今后新增设备和软件的所有集成，</w:t>
      </w:r>
      <w:r>
        <w:rPr>
          <w:rFonts w:hint="eastAsia" w:ascii="宋体" w:hAnsi="宋体"/>
          <w:szCs w:val="21"/>
        </w:rPr>
        <w:t>乙方</w:t>
      </w:r>
      <w:r>
        <w:rPr>
          <w:rFonts w:ascii="宋体" w:hAnsi="宋体"/>
          <w:szCs w:val="21"/>
        </w:rPr>
        <w:t>全部免收集成费。</w:t>
      </w:r>
    </w:p>
    <w:p w14:paraId="0AE696E6">
      <w:pPr>
        <w:numPr>
          <w:ilvl w:val="0"/>
          <w:numId w:val="11"/>
        </w:numPr>
        <w:tabs>
          <w:tab w:val="clear" w:pos="420"/>
        </w:tabs>
        <w:adjustRightInd w:val="0"/>
        <w:snapToGrid w:val="0"/>
        <w:spacing w:line="360" w:lineRule="auto"/>
        <w:ind w:left="0" w:firstLine="0"/>
        <w:rPr>
          <w:rFonts w:ascii="宋体" w:hAnsi="宋体"/>
          <w:szCs w:val="21"/>
        </w:rPr>
      </w:pPr>
      <w:r>
        <w:rPr>
          <w:rFonts w:hint="eastAsia" w:ascii="宋体" w:hAnsi="宋体"/>
          <w:szCs w:val="21"/>
        </w:rPr>
        <w:t>甲方</w:t>
      </w:r>
      <w:r>
        <w:rPr>
          <w:rFonts w:ascii="宋体" w:hAnsi="宋体"/>
          <w:szCs w:val="21"/>
        </w:rPr>
        <w:t>在本系统扩容时，</w:t>
      </w:r>
      <w:r>
        <w:rPr>
          <w:rFonts w:hint="eastAsia" w:ascii="宋体" w:hAnsi="宋体"/>
          <w:szCs w:val="21"/>
        </w:rPr>
        <w:t>乙方</w:t>
      </w:r>
      <w:r>
        <w:rPr>
          <w:rFonts w:ascii="宋体" w:hAnsi="宋体"/>
          <w:szCs w:val="21"/>
        </w:rPr>
        <w:t>提供的同类设备、配件、软件及相关服务等报价应不高于本项目的中标价格、折扣，且不高于当时市场价格。</w:t>
      </w:r>
    </w:p>
    <w:p w14:paraId="5D9CEEA2">
      <w:pPr>
        <w:pStyle w:val="3"/>
        <w:adjustRightInd w:val="0"/>
        <w:snapToGrid w:val="0"/>
        <w:ind w:left="4"/>
        <w:jc w:val="both"/>
        <w:rPr>
          <w:rFonts w:ascii="宋体" w:hAnsi="宋体"/>
          <w:kern w:val="2"/>
          <w:sz w:val="21"/>
          <w:szCs w:val="21"/>
        </w:rPr>
      </w:pPr>
      <w:bookmarkStart w:id="39" w:name="_Toc72326304"/>
      <w:r>
        <w:rPr>
          <w:rFonts w:hint="eastAsia" w:ascii="宋体" w:hAnsi="宋体"/>
          <w:kern w:val="2"/>
          <w:sz w:val="21"/>
          <w:szCs w:val="21"/>
        </w:rPr>
        <w:t>十二、</w:t>
      </w:r>
      <w:bookmarkEnd w:id="39"/>
      <w:bookmarkStart w:id="40" w:name="_Toc72326305"/>
      <w:r>
        <w:rPr>
          <w:rFonts w:hint="eastAsia" w:ascii="宋体" w:hAnsi="宋体"/>
          <w:kern w:val="2"/>
          <w:sz w:val="21"/>
          <w:szCs w:val="21"/>
        </w:rPr>
        <w:t>双方责任</w:t>
      </w:r>
      <w:bookmarkEnd w:id="40"/>
    </w:p>
    <w:p w14:paraId="4EA02C45">
      <w:pPr>
        <w:adjustRightInd w:val="0"/>
        <w:snapToGrid w:val="0"/>
        <w:spacing w:line="360" w:lineRule="auto"/>
        <w:rPr>
          <w:rFonts w:ascii="宋体" w:hAnsi="宋体"/>
          <w:szCs w:val="21"/>
        </w:rPr>
      </w:pPr>
      <w:r>
        <w:rPr>
          <w:rFonts w:hint="eastAsia" w:ascii="宋体" w:hAnsi="宋体"/>
          <w:szCs w:val="21"/>
        </w:rPr>
        <w:t>甲方责任</w:t>
      </w:r>
    </w:p>
    <w:p w14:paraId="390559F9">
      <w:pPr>
        <w:numPr>
          <w:ilvl w:val="0"/>
          <w:numId w:val="12"/>
        </w:numPr>
        <w:adjustRightInd w:val="0"/>
        <w:snapToGrid w:val="0"/>
        <w:spacing w:line="360" w:lineRule="auto"/>
        <w:rPr>
          <w:rFonts w:ascii="宋体"/>
          <w:szCs w:val="21"/>
        </w:rPr>
      </w:pPr>
      <w:r>
        <w:rPr>
          <w:rFonts w:hint="eastAsia" w:ascii="宋体" w:hAnsi="宋体"/>
          <w:szCs w:val="21"/>
        </w:rPr>
        <w:t>甲方需为乙方提供项目实施便利，积极配合乙方进行项目实施安装及调试。</w:t>
      </w:r>
    </w:p>
    <w:p w14:paraId="505EA583">
      <w:pPr>
        <w:numPr>
          <w:ilvl w:val="0"/>
          <w:numId w:val="12"/>
        </w:numPr>
        <w:adjustRightInd w:val="0"/>
        <w:snapToGrid w:val="0"/>
        <w:spacing w:line="360" w:lineRule="auto"/>
        <w:rPr>
          <w:rFonts w:ascii="宋体"/>
          <w:szCs w:val="21"/>
        </w:rPr>
      </w:pPr>
      <w:r>
        <w:rPr>
          <w:rFonts w:hint="eastAsia" w:ascii="宋体" w:hAnsi="宋体"/>
          <w:szCs w:val="21"/>
        </w:rPr>
        <w:t>甲方需为乙方协调各方关系提供便利。</w:t>
      </w:r>
    </w:p>
    <w:p w14:paraId="2C921B98">
      <w:pPr>
        <w:numPr>
          <w:ilvl w:val="0"/>
          <w:numId w:val="12"/>
        </w:numPr>
        <w:adjustRightInd w:val="0"/>
        <w:snapToGrid w:val="0"/>
        <w:spacing w:line="360" w:lineRule="auto"/>
        <w:rPr>
          <w:rFonts w:ascii="宋体"/>
          <w:szCs w:val="21"/>
        </w:rPr>
      </w:pPr>
      <w:r>
        <w:rPr>
          <w:rFonts w:hint="eastAsia" w:ascii="宋体" w:hAnsi="宋体"/>
          <w:szCs w:val="21"/>
        </w:rPr>
        <w:t>甲方应指派管理人员、技术人员参加项目系统安装、系统测试和其它工作。</w:t>
      </w:r>
    </w:p>
    <w:p w14:paraId="018D790F">
      <w:pPr>
        <w:numPr>
          <w:ilvl w:val="0"/>
          <w:numId w:val="12"/>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因乙方未按合同质量或要求交货产品，甲方有权拒收，甲方的该项权利不因产品在启运前通过甲方的验收而受到任何限制或影响。</w:t>
      </w:r>
    </w:p>
    <w:p w14:paraId="35CEA7CF">
      <w:pPr>
        <w:adjustRightInd w:val="0"/>
        <w:snapToGrid w:val="0"/>
        <w:spacing w:line="360" w:lineRule="auto"/>
        <w:rPr>
          <w:rFonts w:ascii="宋体" w:hAnsi="宋体"/>
          <w:bCs/>
          <w:szCs w:val="21"/>
        </w:rPr>
      </w:pPr>
      <w:r>
        <w:rPr>
          <w:rFonts w:hint="eastAsia" w:ascii="宋体" w:hAnsi="宋体"/>
          <w:szCs w:val="21"/>
        </w:rPr>
        <w:t>乙方责任</w:t>
      </w:r>
    </w:p>
    <w:p w14:paraId="6461E995">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乙方承诺：除响应文件及后续书面承诺标明的偏离外，乙方提供的产品和服务均满足询价文件要求。</w:t>
      </w:r>
    </w:p>
    <w:p w14:paraId="2772A3DC">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乙方应按照询价文件、响应文件、乙方后续书面承诺的技术要求以及甲乙双方协定补充文件，提供合格的产品，并保证通过甲方的验收。</w:t>
      </w:r>
    </w:p>
    <w:p w14:paraId="6D5E5CA4">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在系统安装、调试、开发过程中，乙方须保证不影响甲方现有系统的正常运行和现有业务的正常发展。</w:t>
      </w:r>
    </w:p>
    <w:p w14:paraId="21734991">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乙方保证在系统安装、调试、开发过程中不非法使用第三方软件，否则由此产生的纠纷由乙方自行负责。</w:t>
      </w:r>
    </w:p>
    <w:p w14:paraId="78B60799">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在产品安装、调试、开发过程中须派驻足够的有经验的工程技术人员到施工现场进行安装指导，在甲方的组织安排下负责完成系统调试、现场性能试验和验收，服从甲方的现场安排。非因甲方原因，乙方人员遭受人身、财产损害，或乙方人员造成甲方、第三人人身财产损害的，由乙方承担全部责任。</w:t>
      </w:r>
    </w:p>
    <w:p w14:paraId="7D0269F0">
      <w:pPr>
        <w:numPr>
          <w:ilvl w:val="0"/>
          <w:numId w:val="13"/>
        </w:numPr>
        <w:adjustRightInd w:val="0"/>
        <w:snapToGrid w:val="0"/>
        <w:spacing w:line="360" w:lineRule="auto"/>
        <w:rPr>
          <w:rFonts w:ascii="宋体"/>
          <w:szCs w:val="21"/>
        </w:rPr>
      </w:pPr>
      <w:r>
        <w:rPr>
          <w:rFonts w:hint="eastAsia" w:ascii="宋体" w:hAnsi="宋体"/>
          <w:szCs w:val="21"/>
        </w:rPr>
        <w:t>乙方按照要求提供产品合格证书、产品检测记录、调试记录等技术资料。</w:t>
      </w:r>
    </w:p>
    <w:p w14:paraId="719C45A3">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乙方负责与硬件设备相配套的软件厂家、其它设备的制造商、第三方软件厂家和售后服务部门等联系沟通，完成安装、调试，配置相关的产品。</w:t>
      </w:r>
    </w:p>
    <w:p w14:paraId="5EAA1184">
      <w:pPr>
        <w:numPr>
          <w:ilvl w:val="0"/>
          <w:numId w:val="13"/>
        </w:numPr>
        <w:adjustRightInd w:val="0"/>
        <w:snapToGrid w:val="0"/>
        <w:spacing w:line="360" w:lineRule="auto"/>
        <w:rPr>
          <w:rFonts w:ascii="宋体"/>
          <w:szCs w:val="21"/>
        </w:rPr>
      </w:pPr>
      <w:r>
        <w:rPr>
          <w:rFonts w:hint="eastAsia" w:ascii="宋体" w:hAnsi="宋体"/>
          <w:szCs w:val="21"/>
        </w:rPr>
        <w:t>乙方负责配合相关厂家，定期检查产品、及时排查硬件故障。</w:t>
      </w:r>
    </w:p>
    <w:p w14:paraId="1A1C0DD0">
      <w:pPr>
        <w:numPr>
          <w:ilvl w:val="0"/>
          <w:numId w:val="13"/>
        </w:numPr>
        <w:adjustRightInd w:val="0"/>
        <w:snapToGrid w:val="0"/>
        <w:spacing w:line="360" w:lineRule="auto"/>
        <w:rPr>
          <w:rFonts w:ascii="宋体"/>
          <w:szCs w:val="21"/>
        </w:rPr>
      </w:pPr>
      <w:r>
        <w:rPr>
          <w:rFonts w:hint="eastAsia" w:ascii="宋体" w:hAnsi="宋体"/>
          <w:szCs w:val="21"/>
        </w:rPr>
        <w:t>乙方未按合同规定的质量要求交货产品，甲方拒收时，乙方应承担合同的违约责任。</w:t>
      </w:r>
    </w:p>
    <w:p w14:paraId="51E398FC">
      <w:pPr>
        <w:numPr>
          <w:ilvl w:val="0"/>
          <w:numId w:val="13"/>
        </w:numPr>
        <w:adjustRightInd w:val="0"/>
        <w:snapToGrid w:val="0"/>
        <w:spacing w:line="360" w:lineRule="auto"/>
        <w:rPr>
          <w:rFonts w:ascii="宋体"/>
          <w:szCs w:val="21"/>
        </w:rPr>
      </w:pPr>
      <w:r>
        <w:rPr>
          <w:rFonts w:hint="eastAsia" w:ascii="宋体" w:hAnsi="宋体"/>
          <w:szCs w:val="21"/>
        </w:rPr>
        <w:t>迟延履行，甲方书面确定一个合理的期限，如乙方仍不能履行，按乙方不履行合同处理。</w:t>
      </w:r>
    </w:p>
    <w:p w14:paraId="66FCA797">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本合同所有产品的制造，都必须由响应文件和询价时做出的书面承诺中明确的制造商承担，否则将按乙方不履行合同处理。</w:t>
      </w:r>
    </w:p>
    <w:p w14:paraId="35D79105">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乙方保证不在软件中对功能、性能、容量进行人为限制，不得含有陷阱、逻辑炸弹、后门等非法程序代码。</w:t>
      </w:r>
    </w:p>
    <w:p w14:paraId="57DEB8AF">
      <w:pPr>
        <w:numPr>
          <w:ilvl w:val="0"/>
          <w:numId w:val="13"/>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保证按培训计划对甲方技术人员进行培训，向甲方公开所有技术细节和技术资料，使甲方人员完全了解和掌握系统开发、调试、安装过程，具备对系统进行独立运营和维护的能力，保证在系统验收后甲方人员能够进行交接。</w:t>
      </w:r>
    </w:p>
    <w:p w14:paraId="3B1EE866">
      <w:pPr>
        <w:numPr>
          <w:ilvl w:val="0"/>
          <w:numId w:val="13"/>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乙方保证，甲方在其本国使用供应商提供的货物或服务时，不存在任何已知的不合法的情形，也不存在任何已知的与第三方专利权、著作权、商标权或工业设计权相关的任何争议。如果有任何因甲方使用乙方提供的货物及</w:t>
      </w:r>
      <w:r>
        <w:rPr>
          <w:rFonts w:ascii="宋体" w:hAnsi="宋体"/>
          <w:szCs w:val="21"/>
        </w:rPr>
        <w:t>/</w:t>
      </w:r>
      <w:r>
        <w:rPr>
          <w:rFonts w:hint="eastAsia" w:ascii="宋体" w:hAnsi="宋体"/>
          <w:szCs w:val="21"/>
        </w:rPr>
        <w:t>或服务而提起的侵权指控，乙方须依法承担全部责任</w:t>
      </w:r>
    </w:p>
    <w:p w14:paraId="2FA684A8">
      <w:pPr>
        <w:pStyle w:val="3"/>
        <w:adjustRightInd w:val="0"/>
        <w:snapToGrid w:val="0"/>
        <w:ind w:left="4"/>
        <w:jc w:val="both"/>
        <w:rPr>
          <w:rFonts w:ascii="宋体" w:hAnsi="宋体"/>
          <w:kern w:val="2"/>
          <w:sz w:val="21"/>
          <w:szCs w:val="21"/>
        </w:rPr>
      </w:pPr>
      <w:bookmarkStart w:id="41" w:name="_Toc13471"/>
      <w:bookmarkStart w:id="42" w:name="_Toc72326306"/>
      <w:r>
        <w:rPr>
          <w:rFonts w:hint="eastAsia" w:ascii="宋体" w:hAnsi="宋体"/>
          <w:kern w:val="2"/>
          <w:sz w:val="21"/>
          <w:szCs w:val="21"/>
        </w:rPr>
        <w:t>十三、违约责任</w:t>
      </w:r>
      <w:bookmarkEnd w:id="41"/>
      <w:bookmarkEnd w:id="42"/>
    </w:p>
    <w:p w14:paraId="2168BA1C">
      <w:pPr>
        <w:numPr>
          <w:ilvl w:val="0"/>
          <w:numId w:val="14"/>
        </w:numPr>
        <w:adjustRightInd w:val="0"/>
        <w:snapToGrid w:val="0"/>
        <w:spacing w:line="360" w:lineRule="auto"/>
        <w:rPr>
          <w:rFonts w:ascii="宋体" w:hAnsi="宋体"/>
          <w:szCs w:val="21"/>
        </w:rPr>
      </w:pPr>
      <w:r>
        <w:rPr>
          <w:rFonts w:hint="eastAsia" w:ascii="宋体" w:hAnsi="宋体"/>
          <w:szCs w:val="21"/>
        </w:rPr>
        <w:t>乙方承担本合同约定事项的违约责任，且不因设备或软是由第三方制造或开发设计等因素而受到影响。</w:t>
      </w:r>
    </w:p>
    <w:p w14:paraId="4CB8CB1E">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由于乙方提供的开发服务不符合询价文件及本合同第四条所规定的要求时，甲方有权要求乙方更换，如果乙方产品在更换后仍不符合要求，甲方有权终止合同，乙方应支付合同总额20%的违约金给甲方。</w:t>
      </w:r>
    </w:p>
    <w:p w14:paraId="58053BFB">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若甲方已有系统是由乙方提供开发服务的，则乙方应按甲方要求进行技术服务，保证业务的正常运营和系统的正常运行，否则甲方有权终止本合同。</w:t>
      </w:r>
    </w:p>
    <w:p w14:paraId="46CFCF04">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在合同规定的包修期内，如果乙方维修售后服务不及时，产品质量不稳定，则甲方有权酌情扣除质量保证金，并追究乙方赔偿损失的责任。</w:t>
      </w:r>
    </w:p>
    <w:p w14:paraId="64A1DC8B">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在合同规定的包修期内，如因乙方原因造成甲方其他经济损失的，乙方须承担赔偿损失的责任。</w:t>
      </w:r>
    </w:p>
    <w:p w14:paraId="785ECB9C">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甲方有权根据当地质检部门出具的检验报告，就乙方提供的开发服务及系统质量问题向乙方提出索赔，检测费用由乙方承担。</w:t>
      </w:r>
    </w:p>
    <w:p w14:paraId="37B333CD">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如果在甲方发出索赔通知后20日内，乙方未作书面答复，视为乙方接受索赔要求，乙方应当立即支付赔偿金。</w:t>
      </w:r>
    </w:p>
    <w:p w14:paraId="3FB1B40C">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因乙方违约导致甲方终止合同的，在乙方应将甲方已付的所有合同价款及利息退还甲方，此后，甲方将相关系统成果及资料退还乙方，要求乙方承担本合同约定的违约责任，乙方应支付甲方合同总价款的20%作为违约金，同时赔偿因此给甲方造成的全部损失。</w:t>
      </w:r>
    </w:p>
    <w:p w14:paraId="43CFBACF">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由于乙方的原因导致甲方本项目系统中断或系统运行缓慢，致使在实际运营中给甲乙双方造成损失的，乙方应赔偿甲方因此遭受的直接损失和间接损失，同时上述情况每出现一次，甲方有权开据处罚单给乙方，并直接从合同款中扣除合同总额5‰作为违约金；如累计超过5次，则甲方有权终止本合同。</w:t>
      </w:r>
    </w:p>
    <w:p w14:paraId="32B64158">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由于乙方的原因导致甲方业务数据错误或业务数据丢失，给甲方造成损失的，乙方应赔偿甲方因此遭受的直接损失，如出现一次业务数据错误或业务数据丢失，甲方有权开据处罚单给乙方，并直接从合同款中扣除合同总额1%作为违约金。</w:t>
      </w:r>
    </w:p>
    <w:p w14:paraId="7F34E0E6">
      <w:pPr>
        <w:numPr>
          <w:ilvl w:val="0"/>
          <w:numId w:val="14"/>
        </w:numPr>
        <w:tabs>
          <w:tab w:val="left" w:pos="0"/>
          <w:tab w:val="clear" w:pos="420"/>
        </w:tabs>
        <w:adjustRightInd w:val="0"/>
        <w:snapToGrid w:val="0"/>
        <w:spacing w:line="360" w:lineRule="auto"/>
        <w:ind w:left="0" w:firstLine="0"/>
        <w:rPr>
          <w:rFonts w:ascii="宋体" w:hAnsi="宋体"/>
          <w:szCs w:val="21"/>
        </w:rPr>
      </w:pPr>
      <w:r>
        <w:rPr>
          <w:rFonts w:hint="eastAsia" w:ascii="宋体" w:hAnsi="宋体"/>
          <w:szCs w:val="21"/>
        </w:rPr>
        <w:t>无论本合同其他条款如何规定，因乙方违约（包括但不限于：违反对系统、软件性能、功能的担保等）需对甲方承担的违约责任和赔偿总额累计不超过合同总额（但此赔偿不能解除乙方相关责任、义务的继续履行，如修正、更换）；且乙方对甲方赔偿金的支付已被认为足额补偿采购人的全部损失。</w:t>
      </w:r>
    </w:p>
    <w:p w14:paraId="16F5FFB5">
      <w:pPr>
        <w:pStyle w:val="3"/>
        <w:adjustRightInd w:val="0"/>
        <w:snapToGrid w:val="0"/>
        <w:ind w:left="4"/>
        <w:jc w:val="both"/>
        <w:rPr>
          <w:rFonts w:ascii="宋体" w:hAnsi="宋体"/>
          <w:kern w:val="2"/>
          <w:sz w:val="21"/>
          <w:szCs w:val="21"/>
        </w:rPr>
      </w:pPr>
      <w:bookmarkStart w:id="43" w:name="_Toc72326307"/>
      <w:bookmarkStart w:id="44" w:name="_Toc10003"/>
      <w:r>
        <w:rPr>
          <w:rFonts w:hint="eastAsia" w:ascii="宋体" w:hAnsi="宋体"/>
          <w:kern w:val="2"/>
          <w:sz w:val="21"/>
          <w:szCs w:val="21"/>
        </w:rPr>
        <w:t>十四、廉洁条款</w:t>
      </w:r>
      <w:bookmarkEnd w:id="43"/>
      <w:bookmarkEnd w:id="44"/>
    </w:p>
    <w:p w14:paraId="776FB5E1">
      <w:pPr>
        <w:numPr>
          <w:ilvl w:val="0"/>
          <w:numId w:val="15"/>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双方应当共同遵守国家关于企业人员廉洁从业的规定，应通过正常合法的途径开展业务工作。甲方人员不得接受乙方的礼金、有价证券、物品，不得在乙方报销任何费用，不得参加其任何的宴请和娱乐活动。如有工作人员违纪违法接受好处，双方均应及时向对方领导或对方上级部门举报，被举报的一方不得以任何借口打击报复。</w:t>
      </w:r>
    </w:p>
    <w:p w14:paraId="57852B95">
      <w:pPr>
        <w:numPr>
          <w:ilvl w:val="0"/>
          <w:numId w:val="15"/>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乙方不得以任何借口向甲方人员送以礼金、有价证券、物品，不得为甲方人员报销任何费用，不得邀请甲方人员参加其任何的宴请和娱乐活动。一经发现有上述行为，甲方有权终止本合同，并在3年内不再邀请乙方参加任何招标活动。</w:t>
      </w:r>
    </w:p>
    <w:p w14:paraId="1E74B712">
      <w:pPr>
        <w:pStyle w:val="3"/>
        <w:adjustRightInd w:val="0"/>
        <w:snapToGrid w:val="0"/>
        <w:ind w:left="4"/>
        <w:jc w:val="both"/>
        <w:rPr>
          <w:rFonts w:ascii="宋体" w:hAnsi="宋体"/>
          <w:kern w:val="2"/>
          <w:sz w:val="21"/>
          <w:szCs w:val="21"/>
        </w:rPr>
      </w:pPr>
      <w:bookmarkStart w:id="45" w:name="_Toc72326308"/>
      <w:bookmarkStart w:id="46" w:name="_Toc12160"/>
      <w:r>
        <w:rPr>
          <w:rFonts w:hint="eastAsia" w:ascii="宋体" w:hAnsi="宋体"/>
          <w:kern w:val="2"/>
          <w:sz w:val="21"/>
          <w:szCs w:val="21"/>
        </w:rPr>
        <w:t>十五、不可抗力</w:t>
      </w:r>
      <w:bookmarkEnd w:id="45"/>
      <w:bookmarkEnd w:id="46"/>
    </w:p>
    <w:p w14:paraId="5F5CFA2B">
      <w:pPr>
        <w:numPr>
          <w:ilvl w:val="0"/>
          <w:numId w:val="16"/>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当发生不可抗拒事故时，受影响一方应于</w:t>
      </w:r>
      <w:r>
        <w:rPr>
          <w:rFonts w:ascii="宋体" w:hAnsi="宋体"/>
          <w:szCs w:val="21"/>
        </w:rPr>
        <w:t>10</w:t>
      </w:r>
      <w:r>
        <w:rPr>
          <w:rFonts w:hint="eastAsia" w:ascii="宋体" w:hAnsi="宋体"/>
          <w:szCs w:val="21"/>
        </w:rPr>
        <w:t>日内以书面形式通知对方，以减轻可能给对方造成的损失，并应当在合理期限内提供公证机构出具的有效证明文件证明。</w:t>
      </w:r>
    </w:p>
    <w:p w14:paraId="1D69C1DA">
      <w:pPr>
        <w:numPr>
          <w:ilvl w:val="0"/>
          <w:numId w:val="16"/>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当不可抗力事故终止后，受影响一方应以书面的形式通知对方，双方商定合同是否继续履行。</w:t>
      </w:r>
    </w:p>
    <w:p w14:paraId="446C0B8C">
      <w:pPr>
        <w:numPr>
          <w:ilvl w:val="0"/>
          <w:numId w:val="16"/>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不可抗力，互不追究或承担违约责任。但有违约因素的除外。</w:t>
      </w:r>
    </w:p>
    <w:p w14:paraId="4CF1D3EA">
      <w:pPr>
        <w:pStyle w:val="3"/>
        <w:adjustRightInd w:val="0"/>
        <w:snapToGrid w:val="0"/>
        <w:ind w:left="4"/>
        <w:jc w:val="both"/>
        <w:rPr>
          <w:rFonts w:ascii="宋体" w:hAnsi="宋体"/>
          <w:kern w:val="2"/>
          <w:sz w:val="21"/>
          <w:szCs w:val="21"/>
        </w:rPr>
      </w:pPr>
      <w:bookmarkStart w:id="47" w:name="_Toc3857"/>
      <w:bookmarkStart w:id="48" w:name="_Toc72326309"/>
      <w:r>
        <w:rPr>
          <w:rFonts w:hint="eastAsia" w:ascii="宋体" w:hAnsi="宋体"/>
          <w:kern w:val="2"/>
          <w:sz w:val="21"/>
          <w:szCs w:val="21"/>
        </w:rPr>
        <w:t>十六、解决纠纷的方式</w:t>
      </w:r>
      <w:bookmarkEnd w:id="47"/>
      <w:bookmarkEnd w:id="48"/>
    </w:p>
    <w:p w14:paraId="7ED219F1">
      <w:pPr>
        <w:numPr>
          <w:ilvl w:val="0"/>
          <w:numId w:val="17"/>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凡由执行本合同引起或与合同有关的争议，均应通过友好协商解决；协商不成的，由甲方所在地有管辖权的人民法院裁决。</w:t>
      </w:r>
    </w:p>
    <w:p w14:paraId="334CD41C">
      <w:pPr>
        <w:numPr>
          <w:ilvl w:val="0"/>
          <w:numId w:val="17"/>
        </w:numPr>
        <w:adjustRightInd w:val="0"/>
        <w:snapToGrid w:val="0"/>
        <w:spacing w:line="360" w:lineRule="auto"/>
        <w:rPr>
          <w:rFonts w:ascii="宋体"/>
          <w:szCs w:val="21"/>
        </w:rPr>
      </w:pPr>
      <w:r>
        <w:rPr>
          <w:rFonts w:hint="eastAsia" w:ascii="宋体" w:hAnsi="宋体"/>
          <w:szCs w:val="21"/>
        </w:rPr>
        <w:t>除争议事项待处理外，双方应继续执行合同无争议部分，除非无争议部分不可单独履行。</w:t>
      </w:r>
    </w:p>
    <w:p w14:paraId="1B82CD69">
      <w:pPr>
        <w:numPr>
          <w:ilvl w:val="0"/>
          <w:numId w:val="17"/>
        </w:numPr>
        <w:adjustRightInd w:val="0"/>
        <w:snapToGrid w:val="0"/>
        <w:spacing w:line="360" w:lineRule="auto"/>
        <w:rPr>
          <w:rFonts w:ascii="宋体"/>
          <w:szCs w:val="21"/>
        </w:rPr>
      </w:pPr>
      <w:r>
        <w:rPr>
          <w:rFonts w:hint="eastAsia" w:ascii="宋体" w:hAnsi="宋体"/>
          <w:szCs w:val="21"/>
        </w:rPr>
        <w:t>本合同适用于中华人民共和国大陆地区现行有效的法律。</w:t>
      </w:r>
    </w:p>
    <w:p w14:paraId="5F744ED7">
      <w:pPr>
        <w:pStyle w:val="3"/>
        <w:adjustRightInd w:val="0"/>
        <w:snapToGrid w:val="0"/>
        <w:ind w:left="4"/>
        <w:jc w:val="both"/>
        <w:rPr>
          <w:rFonts w:ascii="宋体" w:hAnsi="宋体"/>
          <w:kern w:val="2"/>
          <w:sz w:val="21"/>
          <w:szCs w:val="21"/>
        </w:rPr>
      </w:pPr>
      <w:bookmarkStart w:id="49" w:name="_Toc32072"/>
      <w:bookmarkStart w:id="50" w:name="_Toc72326310"/>
      <w:r>
        <w:rPr>
          <w:rFonts w:hint="eastAsia" w:ascii="宋体" w:hAnsi="宋体"/>
          <w:kern w:val="2"/>
          <w:sz w:val="21"/>
          <w:szCs w:val="21"/>
        </w:rPr>
        <w:t>十七、合同生效及其他</w:t>
      </w:r>
      <w:bookmarkEnd w:id="49"/>
      <w:bookmarkEnd w:id="50"/>
    </w:p>
    <w:p w14:paraId="42ACB5EB">
      <w:pPr>
        <w:numPr>
          <w:ilvl w:val="0"/>
          <w:numId w:val="18"/>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合同的生效期：本合同一式四份（甲乙双方各二份），每份均具有同等法律效力，自甲乙双方盖章之日起生效。</w:t>
      </w:r>
    </w:p>
    <w:p w14:paraId="65F59452">
      <w:pPr>
        <w:numPr>
          <w:ilvl w:val="0"/>
          <w:numId w:val="18"/>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本合同所有附件为本合同不可分割的组成部分，与合同正文有同等的法律效力：</w:t>
      </w:r>
    </w:p>
    <w:p w14:paraId="170EAB62">
      <w:pPr>
        <w:adjustRightInd w:val="0"/>
        <w:snapToGrid w:val="0"/>
        <w:spacing w:line="360" w:lineRule="auto"/>
        <w:rPr>
          <w:rFonts w:ascii="宋体"/>
          <w:szCs w:val="21"/>
        </w:rPr>
      </w:pPr>
      <w:r>
        <w:rPr>
          <w:rFonts w:hint="eastAsia" w:ascii="宋体" w:hAnsi="宋体"/>
          <w:szCs w:val="21"/>
        </w:rPr>
        <w:t>（1）甲方的询价文件、乙方的响应文件、乙方的</w:t>
      </w:r>
      <w:r>
        <w:rPr>
          <w:rFonts w:ascii="宋体" w:hAnsi="宋体"/>
          <w:szCs w:val="21"/>
        </w:rPr>
        <w:t>报价</w:t>
      </w:r>
      <w:r>
        <w:rPr>
          <w:rFonts w:hint="eastAsia" w:ascii="宋体" w:hAnsi="宋体"/>
          <w:szCs w:val="21"/>
        </w:rPr>
        <w:t>表、询价时乙方做出的书面承诺及其它补充修改的部分；</w:t>
      </w:r>
    </w:p>
    <w:p w14:paraId="5642D496">
      <w:pPr>
        <w:adjustRightInd w:val="0"/>
        <w:snapToGrid w:val="0"/>
        <w:spacing w:line="360" w:lineRule="auto"/>
        <w:rPr>
          <w:rFonts w:ascii="宋体"/>
          <w:szCs w:val="21"/>
        </w:rPr>
      </w:pPr>
      <w:r>
        <w:rPr>
          <w:rFonts w:hint="eastAsia" w:ascii="宋体" w:hAnsi="宋体"/>
          <w:szCs w:val="21"/>
        </w:rPr>
        <w:t>（2）在执行本合同期间，甲乙双方的所有采用书面方式的通知。</w:t>
      </w:r>
    </w:p>
    <w:p w14:paraId="08AFAF69">
      <w:pPr>
        <w:numPr>
          <w:ilvl w:val="0"/>
          <w:numId w:val="18"/>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本合同与上述文件如对相同内容有不同约定，且约定内容有冲突的，除另有特别约定外，依下列原则处理：</w:t>
      </w:r>
    </w:p>
    <w:p w14:paraId="669134CC">
      <w:pPr>
        <w:adjustRightInd w:val="0"/>
        <w:snapToGrid w:val="0"/>
        <w:spacing w:line="360" w:lineRule="auto"/>
        <w:rPr>
          <w:rFonts w:ascii="宋体"/>
          <w:szCs w:val="21"/>
        </w:rPr>
      </w:pPr>
      <w:r>
        <w:rPr>
          <w:rFonts w:hint="eastAsia" w:ascii="宋体" w:hAnsi="宋体"/>
          <w:szCs w:val="21"/>
        </w:rPr>
        <w:t>（1）合同条款优先于询价文件和响应文件条款；</w:t>
      </w:r>
    </w:p>
    <w:p w14:paraId="2560395D">
      <w:pPr>
        <w:adjustRightInd w:val="0"/>
        <w:snapToGrid w:val="0"/>
        <w:spacing w:line="360" w:lineRule="auto"/>
        <w:rPr>
          <w:rFonts w:ascii="宋体"/>
          <w:szCs w:val="21"/>
        </w:rPr>
      </w:pPr>
      <w:r>
        <w:rPr>
          <w:rFonts w:hint="eastAsia" w:ascii="宋体" w:hAnsi="宋体"/>
          <w:szCs w:val="21"/>
        </w:rPr>
        <w:t>（2）在后文件的效力优先于在先文件的效力。</w:t>
      </w:r>
    </w:p>
    <w:p w14:paraId="7701321A">
      <w:pPr>
        <w:numPr>
          <w:ilvl w:val="0"/>
          <w:numId w:val="18"/>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甲乙双方对合同条款的理解有争议时，应当按照合同的有关条款、合同的目的、交易习惯以及诚实信用原则，确定该条款的真实含义。</w:t>
      </w:r>
    </w:p>
    <w:p w14:paraId="019A2A40">
      <w:pPr>
        <w:numPr>
          <w:ilvl w:val="0"/>
          <w:numId w:val="18"/>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对本合同的任何修改和增补，以双方另行签订的补充协议为准。</w:t>
      </w:r>
    </w:p>
    <w:p w14:paraId="69FBD49B">
      <w:pPr>
        <w:numPr>
          <w:ilvl w:val="0"/>
          <w:numId w:val="18"/>
        </w:numPr>
        <w:tabs>
          <w:tab w:val="left" w:pos="0"/>
          <w:tab w:val="clear" w:pos="420"/>
        </w:tabs>
        <w:adjustRightInd w:val="0"/>
        <w:snapToGrid w:val="0"/>
        <w:spacing w:line="360" w:lineRule="auto"/>
        <w:ind w:left="0" w:firstLine="0"/>
        <w:rPr>
          <w:rFonts w:ascii="宋体"/>
          <w:szCs w:val="21"/>
        </w:rPr>
      </w:pPr>
      <w:r>
        <w:rPr>
          <w:rFonts w:hint="eastAsia" w:ascii="宋体" w:hAnsi="宋体"/>
          <w:szCs w:val="21"/>
        </w:rPr>
        <w:t>甲乙双方对本合同中产品的具体价格和交易方式有保密的责任，未经对方的书面许可，任何一方不得向第三方透露。</w:t>
      </w:r>
    </w:p>
    <w:p w14:paraId="5D1ED4C9">
      <w:pPr>
        <w:numPr>
          <w:ilvl w:val="0"/>
          <w:numId w:val="18"/>
        </w:numPr>
        <w:adjustRightInd w:val="0"/>
        <w:snapToGrid w:val="0"/>
        <w:spacing w:line="360" w:lineRule="auto"/>
        <w:rPr>
          <w:rFonts w:ascii="宋体"/>
          <w:szCs w:val="21"/>
        </w:rPr>
      </w:pPr>
      <w:r>
        <w:rPr>
          <w:rFonts w:hint="eastAsia" w:ascii="宋体" w:hAnsi="宋体"/>
          <w:szCs w:val="21"/>
        </w:rPr>
        <w:t>本合同中的未尽事宜，甲乙双方协商解决，并按《中华人民共和国民法典》调整。</w:t>
      </w:r>
    </w:p>
    <w:p w14:paraId="6206F779">
      <w:pPr>
        <w:pStyle w:val="3"/>
        <w:adjustRightInd w:val="0"/>
        <w:snapToGrid w:val="0"/>
        <w:ind w:left="4"/>
        <w:jc w:val="left"/>
        <w:rPr>
          <w:rFonts w:ascii="宋体" w:hAnsi="宋体"/>
          <w:kern w:val="2"/>
          <w:sz w:val="21"/>
          <w:szCs w:val="21"/>
        </w:rPr>
      </w:pPr>
      <w:bookmarkStart w:id="51" w:name="_Toc72326311"/>
      <w:bookmarkStart w:id="52" w:name="_Toc26001"/>
      <w:r>
        <w:rPr>
          <w:rFonts w:hint="eastAsia" w:ascii="宋体" w:hAnsi="宋体"/>
          <w:kern w:val="2"/>
          <w:sz w:val="21"/>
          <w:szCs w:val="21"/>
        </w:rPr>
        <w:t>十八、附件列表</w:t>
      </w:r>
      <w:bookmarkEnd w:id="51"/>
      <w:bookmarkEnd w:id="52"/>
    </w:p>
    <w:p w14:paraId="11376CE7">
      <w:pPr>
        <w:adjustRightInd w:val="0"/>
        <w:snapToGrid w:val="0"/>
        <w:spacing w:line="360" w:lineRule="auto"/>
        <w:rPr>
          <w:rFonts w:ascii="宋体"/>
          <w:szCs w:val="21"/>
        </w:rPr>
      </w:pPr>
      <w:r>
        <w:rPr>
          <w:rFonts w:hint="eastAsia" w:ascii="宋体" w:hAnsi="宋体"/>
          <w:szCs w:val="21"/>
        </w:rPr>
        <w:t>附件一：价格表</w:t>
      </w:r>
    </w:p>
    <w:p w14:paraId="4E30A65F">
      <w:pPr>
        <w:adjustRightInd w:val="0"/>
        <w:snapToGrid w:val="0"/>
        <w:spacing w:line="360" w:lineRule="auto"/>
        <w:ind w:left="210" w:hanging="210" w:hangingChars="100"/>
        <w:jc w:val="left"/>
        <w:rPr>
          <w:szCs w:val="21"/>
        </w:rPr>
      </w:pPr>
    </w:p>
    <w:p w14:paraId="06CBE345">
      <w:pPr>
        <w:adjustRightInd w:val="0"/>
        <w:snapToGrid w:val="0"/>
        <w:spacing w:line="360" w:lineRule="auto"/>
        <w:ind w:left="210" w:hanging="210" w:hangingChars="100"/>
        <w:jc w:val="left"/>
        <w:rPr>
          <w:szCs w:val="21"/>
        </w:rPr>
      </w:pPr>
      <w:r>
        <w:rPr>
          <w:rFonts w:hint="eastAsia"/>
          <w:szCs w:val="21"/>
        </w:rPr>
        <w:t>甲方</w:t>
      </w:r>
      <w:r>
        <w:rPr>
          <w:szCs w:val="21"/>
        </w:rPr>
        <w:t>：</w:t>
      </w:r>
      <w:r>
        <w:rPr>
          <w:szCs w:val="21"/>
          <w:u w:val="single"/>
        </w:rPr>
        <w:t>江苏省广电有线信息网络股份有限公司</w:t>
      </w:r>
      <w:r>
        <w:rPr>
          <w:rFonts w:hint="eastAsia"/>
          <w:szCs w:val="21"/>
        </w:rPr>
        <w:t>乙方</w:t>
      </w:r>
      <w:r>
        <w:rPr>
          <w:szCs w:val="21"/>
        </w:rPr>
        <w:t>：_______________________</w:t>
      </w:r>
    </w:p>
    <w:p w14:paraId="0D5C6042">
      <w:pPr>
        <w:adjustRightInd w:val="0"/>
        <w:snapToGrid w:val="0"/>
        <w:spacing w:line="360" w:lineRule="auto"/>
        <w:rPr>
          <w:szCs w:val="21"/>
        </w:rPr>
      </w:pPr>
      <w:r>
        <w:rPr>
          <w:szCs w:val="21"/>
        </w:rPr>
        <w:t>（盖章）_________________________          （盖章）_______________________</w:t>
      </w:r>
    </w:p>
    <w:p w14:paraId="5D5FD216">
      <w:pPr>
        <w:adjustRightInd w:val="0"/>
        <w:snapToGrid w:val="0"/>
        <w:spacing w:line="360" w:lineRule="auto"/>
        <w:ind w:firstLine="35" w:firstLineChars="17"/>
        <w:rPr>
          <w:szCs w:val="21"/>
        </w:rPr>
      </w:pPr>
      <w:r>
        <w:rPr>
          <w:szCs w:val="21"/>
        </w:rPr>
        <w:t>法人代表或授权代表：____________             法人代表或授权代表：_________________</w:t>
      </w:r>
    </w:p>
    <w:p w14:paraId="1731FB94">
      <w:pPr>
        <w:adjustRightInd w:val="0"/>
        <w:snapToGrid w:val="0"/>
        <w:spacing w:line="360" w:lineRule="auto"/>
        <w:ind w:firstLine="105" w:firstLineChars="50"/>
        <w:rPr>
          <w:szCs w:val="21"/>
        </w:rPr>
      </w:pPr>
      <w:r>
        <w:rPr>
          <w:szCs w:val="21"/>
        </w:rPr>
        <w:t>地址：___________________                   地址：____________________</w:t>
      </w:r>
    </w:p>
    <w:p w14:paraId="00D8A40B">
      <w:pPr>
        <w:adjustRightInd w:val="0"/>
        <w:snapToGrid w:val="0"/>
        <w:spacing w:line="360" w:lineRule="auto"/>
        <w:ind w:firstLine="105" w:firstLineChars="50"/>
        <w:rPr>
          <w:szCs w:val="21"/>
        </w:rPr>
      </w:pPr>
      <w:r>
        <w:rPr>
          <w:szCs w:val="21"/>
        </w:rPr>
        <w:t>电话：___________________                   电话：___________________</w:t>
      </w:r>
    </w:p>
    <w:p w14:paraId="674EBBBE">
      <w:pPr>
        <w:adjustRightInd w:val="0"/>
        <w:snapToGrid w:val="0"/>
        <w:spacing w:line="360" w:lineRule="auto"/>
        <w:ind w:firstLine="105" w:firstLineChars="50"/>
        <w:rPr>
          <w:szCs w:val="21"/>
          <w:u w:val="single"/>
        </w:rPr>
      </w:pPr>
      <w:r>
        <w:rPr>
          <w:szCs w:val="21"/>
        </w:rPr>
        <w:t>开户银行：___________________    开户银行：___________________</w:t>
      </w:r>
    </w:p>
    <w:p w14:paraId="123B839B">
      <w:pPr>
        <w:adjustRightInd w:val="0"/>
        <w:snapToGrid w:val="0"/>
        <w:spacing w:line="360" w:lineRule="auto"/>
        <w:ind w:firstLine="105" w:firstLineChars="50"/>
        <w:rPr>
          <w:szCs w:val="21"/>
        </w:rPr>
      </w:pPr>
      <w:r>
        <w:rPr>
          <w:szCs w:val="21"/>
        </w:rPr>
        <w:t>银行账号：___________________ 银行账号：___________________</w:t>
      </w:r>
    </w:p>
    <w:p w14:paraId="68E6D555">
      <w:pPr>
        <w:spacing w:line="360" w:lineRule="auto"/>
        <w:ind w:firstLine="5040" w:firstLineChars="2400"/>
        <w:rPr>
          <w:szCs w:val="21"/>
        </w:rPr>
      </w:pPr>
    </w:p>
    <w:p w14:paraId="2E08607C">
      <w:pPr>
        <w:spacing w:line="360" w:lineRule="auto"/>
        <w:ind w:firstLine="5040" w:firstLineChars="2400"/>
        <w:rPr>
          <w:szCs w:val="21"/>
        </w:rPr>
      </w:pPr>
      <w:r>
        <w:rPr>
          <w:rFonts w:hint="eastAsia"/>
          <w:szCs w:val="21"/>
        </w:rPr>
        <w:t>签订日期：年月日</w:t>
      </w:r>
      <w:bookmarkEnd w:id="34"/>
    </w:p>
    <w:p w14:paraId="07020D27">
      <w:pPr>
        <w:autoSpaceDE w:val="0"/>
        <w:autoSpaceDN w:val="0"/>
        <w:adjustRightInd w:val="0"/>
        <w:spacing w:line="360" w:lineRule="auto"/>
        <w:ind w:firstLine="420"/>
        <w:jc w:val="center"/>
        <w:rPr>
          <w:rFonts w:ascii="宋体" w:hAnsi="宋体"/>
          <w:b/>
          <w:bCs/>
          <w:sz w:val="28"/>
          <w:szCs w:val="28"/>
        </w:rPr>
        <w:sectPr>
          <w:pgSz w:w="12240" w:h="15840"/>
          <w:pgMar w:top="1418" w:right="1418" w:bottom="1418" w:left="1418" w:header="720" w:footer="720" w:gutter="0"/>
          <w:pgNumType w:fmt="numberInDash"/>
          <w:cols w:space="720" w:num="1"/>
          <w:docGrid w:linePitch="286" w:charSpace="0"/>
        </w:sectPr>
      </w:pPr>
    </w:p>
    <w:p w14:paraId="2B9A3E5F">
      <w:pPr>
        <w:spacing w:line="360" w:lineRule="auto"/>
        <w:rPr>
          <w:rFonts w:ascii="宋体" w:hAnsi="宋体"/>
          <w:b/>
          <w:bCs/>
          <w:color w:val="000000"/>
          <w:szCs w:val="21"/>
        </w:rPr>
      </w:pPr>
      <w:r>
        <w:rPr>
          <w:rFonts w:hint="eastAsia" w:ascii="宋体" w:hAnsi="宋体"/>
          <w:b/>
          <w:bCs/>
          <w:color w:val="000000"/>
          <w:szCs w:val="21"/>
        </w:rPr>
        <w:t>附件一：价格表</w:t>
      </w:r>
    </w:p>
    <w:p w14:paraId="196D5101">
      <w:pPr>
        <w:rPr>
          <w:rFonts w:ascii="宋体" w:hAnsi="宋体"/>
          <w:b/>
          <w:bCs/>
          <w:color w:val="000000"/>
          <w:szCs w:val="21"/>
        </w:rPr>
      </w:pPr>
    </w:p>
    <w:tbl>
      <w:tblPr>
        <w:tblStyle w:val="53"/>
        <w:tblW w:w="100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7"/>
        <w:gridCol w:w="1135"/>
        <w:gridCol w:w="1275"/>
        <w:gridCol w:w="1843"/>
        <w:gridCol w:w="1418"/>
        <w:gridCol w:w="1559"/>
        <w:gridCol w:w="1134"/>
        <w:gridCol w:w="1204"/>
      </w:tblGrid>
      <w:tr w14:paraId="51795B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497" w:type="dxa"/>
            <w:shd w:val="clear" w:color="000000" w:fill="FFFFFF"/>
            <w:vAlign w:val="center"/>
          </w:tcPr>
          <w:p w14:paraId="3F0C4533">
            <w:pPr>
              <w:widowControl/>
              <w:spacing w:before="156" w:after="156"/>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135" w:type="dxa"/>
            <w:shd w:val="clear" w:color="000000" w:fill="FFFFFF"/>
            <w:vAlign w:val="center"/>
          </w:tcPr>
          <w:p w14:paraId="380385BD">
            <w:pPr>
              <w:widowControl/>
              <w:spacing w:before="156" w:after="156"/>
              <w:jc w:val="center"/>
              <w:rPr>
                <w:rFonts w:ascii="宋体" w:hAnsi="宋体" w:cs="宋体"/>
                <w:b/>
                <w:bCs/>
                <w:color w:val="000000"/>
                <w:kern w:val="0"/>
                <w:szCs w:val="21"/>
              </w:rPr>
            </w:pPr>
            <w:r>
              <w:rPr>
                <w:rFonts w:hint="eastAsia" w:ascii="宋体" w:hAnsi="宋体" w:cs="宋体"/>
                <w:b/>
                <w:bCs/>
                <w:color w:val="000000"/>
                <w:kern w:val="0"/>
                <w:szCs w:val="21"/>
              </w:rPr>
              <w:t>所属项目</w:t>
            </w:r>
          </w:p>
        </w:tc>
        <w:tc>
          <w:tcPr>
            <w:tcW w:w="1275" w:type="dxa"/>
            <w:shd w:val="clear" w:color="000000" w:fill="FFFFFF"/>
            <w:vAlign w:val="center"/>
          </w:tcPr>
          <w:p w14:paraId="6A59D564">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1843" w:type="dxa"/>
            <w:shd w:val="clear" w:color="000000" w:fill="FFFFFF"/>
            <w:vAlign w:val="center"/>
          </w:tcPr>
          <w:p w14:paraId="028437D0">
            <w:pPr>
              <w:widowControl/>
              <w:jc w:val="center"/>
              <w:rPr>
                <w:rFonts w:ascii="宋体" w:hAnsi="宋体" w:cs="宋体"/>
                <w:b/>
                <w:bCs/>
                <w:color w:val="000000"/>
                <w:kern w:val="0"/>
                <w:szCs w:val="21"/>
              </w:rPr>
            </w:pPr>
            <w:r>
              <w:rPr>
                <w:rFonts w:hint="eastAsia" w:ascii="宋体" w:hAnsi="宋体" w:cs="宋体"/>
                <w:b/>
                <w:bCs/>
                <w:color w:val="000000"/>
                <w:kern w:val="0"/>
                <w:szCs w:val="21"/>
              </w:rPr>
              <w:t>规格型号</w:t>
            </w:r>
          </w:p>
        </w:tc>
        <w:tc>
          <w:tcPr>
            <w:tcW w:w="1418" w:type="dxa"/>
            <w:tcBorders>
              <w:right w:val="single" w:color="auto" w:sz="4" w:space="0"/>
            </w:tcBorders>
            <w:shd w:val="clear" w:color="000000" w:fill="FFFFFF"/>
            <w:vAlign w:val="center"/>
          </w:tcPr>
          <w:p w14:paraId="1D2D791D">
            <w:pPr>
              <w:widowControl/>
              <w:jc w:val="center"/>
              <w:rPr>
                <w:rFonts w:ascii="宋体" w:hAnsi="宋体" w:cs="宋体"/>
                <w:b/>
                <w:bCs/>
                <w:color w:val="000000"/>
                <w:kern w:val="0"/>
                <w:szCs w:val="21"/>
              </w:rPr>
            </w:pPr>
            <w:r>
              <w:rPr>
                <w:rFonts w:hint="eastAsia" w:ascii="宋体" w:hAnsi="宋体" w:cs="宋体"/>
                <w:b/>
                <w:bCs/>
                <w:color w:val="000000"/>
                <w:kern w:val="0"/>
                <w:szCs w:val="21"/>
              </w:rPr>
              <w:t>配置</w:t>
            </w:r>
          </w:p>
        </w:tc>
        <w:tc>
          <w:tcPr>
            <w:tcW w:w="1559" w:type="dxa"/>
            <w:tcBorders>
              <w:left w:val="single" w:color="auto" w:sz="4" w:space="0"/>
            </w:tcBorders>
            <w:shd w:val="clear" w:color="000000" w:fill="FFFFFF"/>
            <w:vAlign w:val="center"/>
          </w:tcPr>
          <w:p w14:paraId="01D28CCA">
            <w:pPr>
              <w:widowControl/>
              <w:jc w:val="center"/>
              <w:rPr>
                <w:rFonts w:ascii="宋体" w:hAnsi="宋体" w:cs="宋体"/>
                <w:b/>
                <w:bCs/>
                <w:color w:val="000000"/>
                <w:kern w:val="0"/>
                <w:szCs w:val="21"/>
              </w:rPr>
            </w:pPr>
            <w:r>
              <w:rPr>
                <w:rFonts w:hint="eastAsia" w:ascii="宋体" w:hAnsi="宋体" w:cs="宋体"/>
                <w:b/>
                <w:bCs/>
                <w:color w:val="000000"/>
                <w:kern w:val="0"/>
                <w:szCs w:val="21"/>
              </w:rPr>
              <w:t>单价</w:t>
            </w:r>
          </w:p>
        </w:tc>
        <w:tc>
          <w:tcPr>
            <w:tcW w:w="1134" w:type="dxa"/>
            <w:tcBorders>
              <w:left w:val="single" w:color="auto" w:sz="4" w:space="0"/>
              <w:right w:val="single" w:color="auto" w:sz="4" w:space="0"/>
            </w:tcBorders>
            <w:shd w:val="clear" w:color="000000" w:fill="FFFFFF"/>
            <w:vAlign w:val="center"/>
          </w:tcPr>
          <w:p w14:paraId="7429DABE">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1204" w:type="dxa"/>
            <w:tcBorders>
              <w:left w:val="single" w:color="auto" w:sz="4" w:space="0"/>
            </w:tcBorders>
            <w:shd w:val="clear" w:color="000000" w:fill="FFFFFF"/>
            <w:vAlign w:val="center"/>
          </w:tcPr>
          <w:p w14:paraId="44A09EF6">
            <w:pPr>
              <w:widowControl/>
              <w:jc w:val="center"/>
              <w:rPr>
                <w:rFonts w:ascii="宋体" w:hAnsi="宋体" w:cs="宋体"/>
                <w:b/>
                <w:bCs/>
                <w:color w:val="000000"/>
                <w:kern w:val="0"/>
                <w:szCs w:val="21"/>
              </w:rPr>
            </w:pPr>
            <w:r>
              <w:rPr>
                <w:rFonts w:hint="eastAsia" w:ascii="宋体" w:hAnsi="宋体" w:cs="宋体"/>
                <w:b/>
                <w:bCs/>
                <w:color w:val="000000"/>
                <w:kern w:val="0"/>
                <w:szCs w:val="21"/>
              </w:rPr>
              <w:t>小计</w:t>
            </w:r>
          </w:p>
        </w:tc>
      </w:tr>
      <w:tr w14:paraId="166CAD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97" w:type="dxa"/>
            <w:vAlign w:val="center"/>
          </w:tcPr>
          <w:p w14:paraId="7E1D8104">
            <w:pPr>
              <w:widowControl/>
              <w:jc w:val="center"/>
              <w:rPr>
                <w:color w:val="000000"/>
                <w:kern w:val="0"/>
                <w:sz w:val="18"/>
                <w:szCs w:val="18"/>
              </w:rPr>
            </w:pPr>
            <w:r>
              <w:rPr>
                <w:rFonts w:hint="eastAsia"/>
                <w:color w:val="000000"/>
                <w:kern w:val="0"/>
                <w:sz w:val="18"/>
                <w:szCs w:val="18"/>
              </w:rPr>
              <w:t>1</w:t>
            </w:r>
          </w:p>
        </w:tc>
        <w:tc>
          <w:tcPr>
            <w:tcW w:w="1135" w:type="dxa"/>
            <w:vAlign w:val="center"/>
          </w:tcPr>
          <w:p w14:paraId="073EC944">
            <w:pPr>
              <w:widowControl/>
              <w:jc w:val="left"/>
              <w:rPr>
                <w:color w:val="000000"/>
                <w:kern w:val="0"/>
                <w:sz w:val="18"/>
                <w:szCs w:val="18"/>
              </w:rPr>
            </w:pPr>
          </w:p>
        </w:tc>
        <w:tc>
          <w:tcPr>
            <w:tcW w:w="1275" w:type="dxa"/>
            <w:vAlign w:val="center"/>
          </w:tcPr>
          <w:p w14:paraId="068D9DCB">
            <w:pPr>
              <w:widowControl/>
              <w:jc w:val="center"/>
              <w:rPr>
                <w:color w:val="000000"/>
                <w:kern w:val="0"/>
                <w:sz w:val="18"/>
                <w:szCs w:val="18"/>
              </w:rPr>
            </w:pPr>
          </w:p>
        </w:tc>
        <w:tc>
          <w:tcPr>
            <w:tcW w:w="1843" w:type="dxa"/>
            <w:vAlign w:val="center"/>
          </w:tcPr>
          <w:p w14:paraId="274B0F3B">
            <w:pPr>
              <w:widowControl/>
              <w:jc w:val="center"/>
              <w:rPr>
                <w:color w:val="000000"/>
                <w:kern w:val="0"/>
                <w:sz w:val="18"/>
                <w:szCs w:val="18"/>
              </w:rPr>
            </w:pPr>
          </w:p>
        </w:tc>
        <w:tc>
          <w:tcPr>
            <w:tcW w:w="1418" w:type="dxa"/>
            <w:tcBorders>
              <w:right w:val="single" w:color="auto" w:sz="4" w:space="0"/>
            </w:tcBorders>
            <w:vAlign w:val="center"/>
          </w:tcPr>
          <w:p w14:paraId="63AB057C">
            <w:pPr>
              <w:widowControl/>
              <w:jc w:val="left"/>
              <w:rPr>
                <w:color w:val="000000"/>
                <w:kern w:val="0"/>
                <w:sz w:val="18"/>
                <w:szCs w:val="18"/>
              </w:rPr>
            </w:pPr>
          </w:p>
        </w:tc>
        <w:tc>
          <w:tcPr>
            <w:tcW w:w="1559" w:type="dxa"/>
            <w:tcBorders>
              <w:left w:val="single" w:color="auto" w:sz="4" w:space="0"/>
            </w:tcBorders>
            <w:vAlign w:val="center"/>
          </w:tcPr>
          <w:p w14:paraId="6D4AAD37">
            <w:pPr>
              <w:widowControl/>
              <w:jc w:val="center"/>
              <w:rPr>
                <w:color w:val="000000"/>
                <w:kern w:val="0"/>
                <w:sz w:val="18"/>
                <w:szCs w:val="18"/>
              </w:rPr>
            </w:pPr>
          </w:p>
        </w:tc>
        <w:tc>
          <w:tcPr>
            <w:tcW w:w="1134" w:type="dxa"/>
            <w:tcBorders>
              <w:left w:val="single" w:color="auto" w:sz="4" w:space="0"/>
              <w:right w:val="single" w:color="auto" w:sz="4" w:space="0"/>
            </w:tcBorders>
            <w:vAlign w:val="center"/>
          </w:tcPr>
          <w:p w14:paraId="78A489C2">
            <w:pPr>
              <w:widowControl/>
              <w:jc w:val="center"/>
              <w:rPr>
                <w:color w:val="000000"/>
                <w:kern w:val="0"/>
                <w:sz w:val="18"/>
                <w:szCs w:val="18"/>
              </w:rPr>
            </w:pPr>
          </w:p>
        </w:tc>
        <w:tc>
          <w:tcPr>
            <w:tcW w:w="1204" w:type="dxa"/>
            <w:tcBorders>
              <w:left w:val="single" w:color="auto" w:sz="4" w:space="0"/>
            </w:tcBorders>
            <w:vAlign w:val="center"/>
          </w:tcPr>
          <w:p w14:paraId="39E6B216">
            <w:pPr>
              <w:widowControl/>
              <w:jc w:val="center"/>
              <w:rPr>
                <w:color w:val="000000"/>
                <w:kern w:val="0"/>
                <w:sz w:val="18"/>
                <w:szCs w:val="18"/>
              </w:rPr>
            </w:pPr>
          </w:p>
        </w:tc>
      </w:tr>
      <w:tr w14:paraId="6D7723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97" w:type="dxa"/>
            <w:vAlign w:val="center"/>
          </w:tcPr>
          <w:p w14:paraId="102893DF">
            <w:pPr>
              <w:widowControl/>
              <w:jc w:val="center"/>
              <w:rPr>
                <w:color w:val="000000"/>
                <w:kern w:val="0"/>
                <w:sz w:val="18"/>
                <w:szCs w:val="18"/>
              </w:rPr>
            </w:pPr>
            <w:r>
              <w:rPr>
                <w:rFonts w:hint="eastAsia"/>
                <w:color w:val="000000"/>
                <w:kern w:val="0"/>
                <w:sz w:val="18"/>
                <w:szCs w:val="18"/>
              </w:rPr>
              <w:t>2</w:t>
            </w:r>
          </w:p>
        </w:tc>
        <w:tc>
          <w:tcPr>
            <w:tcW w:w="1135" w:type="dxa"/>
            <w:vAlign w:val="center"/>
          </w:tcPr>
          <w:p w14:paraId="7AC442FE">
            <w:pPr>
              <w:widowControl/>
              <w:jc w:val="left"/>
              <w:rPr>
                <w:color w:val="000000"/>
                <w:kern w:val="0"/>
                <w:sz w:val="18"/>
                <w:szCs w:val="18"/>
              </w:rPr>
            </w:pPr>
          </w:p>
        </w:tc>
        <w:tc>
          <w:tcPr>
            <w:tcW w:w="1275" w:type="dxa"/>
            <w:vAlign w:val="center"/>
          </w:tcPr>
          <w:p w14:paraId="09352CB8">
            <w:pPr>
              <w:widowControl/>
              <w:jc w:val="center"/>
              <w:rPr>
                <w:color w:val="000000"/>
                <w:kern w:val="0"/>
                <w:sz w:val="18"/>
                <w:szCs w:val="18"/>
              </w:rPr>
            </w:pPr>
          </w:p>
        </w:tc>
        <w:tc>
          <w:tcPr>
            <w:tcW w:w="1843" w:type="dxa"/>
            <w:vAlign w:val="center"/>
          </w:tcPr>
          <w:p w14:paraId="01C2F6EF">
            <w:pPr>
              <w:widowControl/>
              <w:jc w:val="center"/>
              <w:rPr>
                <w:color w:val="000000"/>
                <w:kern w:val="0"/>
                <w:sz w:val="18"/>
                <w:szCs w:val="18"/>
              </w:rPr>
            </w:pPr>
          </w:p>
        </w:tc>
        <w:tc>
          <w:tcPr>
            <w:tcW w:w="1418" w:type="dxa"/>
            <w:tcBorders>
              <w:right w:val="single" w:color="auto" w:sz="4" w:space="0"/>
            </w:tcBorders>
            <w:vAlign w:val="center"/>
          </w:tcPr>
          <w:p w14:paraId="764C819C">
            <w:pPr>
              <w:widowControl/>
              <w:jc w:val="left"/>
              <w:rPr>
                <w:color w:val="000000"/>
                <w:kern w:val="0"/>
                <w:sz w:val="18"/>
                <w:szCs w:val="18"/>
              </w:rPr>
            </w:pPr>
          </w:p>
        </w:tc>
        <w:tc>
          <w:tcPr>
            <w:tcW w:w="1559" w:type="dxa"/>
            <w:tcBorders>
              <w:left w:val="single" w:color="auto" w:sz="4" w:space="0"/>
            </w:tcBorders>
            <w:vAlign w:val="center"/>
          </w:tcPr>
          <w:p w14:paraId="73040CC3">
            <w:pPr>
              <w:widowControl/>
              <w:jc w:val="center"/>
              <w:rPr>
                <w:color w:val="000000"/>
                <w:kern w:val="0"/>
                <w:sz w:val="18"/>
                <w:szCs w:val="18"/>
              </w:rPr>
            </w:pPr>
          </w:p>
        </w:tc>
        <w:tc>
          <w:tcPr>
            <w:tcW w:w="1134" w:type="dxa"/>
            <w:tcBorders>
              <w:left w:val="single" w:color="auto" w:sz="4" w:space="0"/>
              <w:right w:val="single" w:color="auto" w:sz="4" w:space="0"/>
            </w:tcBorders>
            <w:vAlign w:val="center"/>
          </w:tcPr>
          <w:p w14:paraId="0B395372">
            <w:pPr>
              <w:widowControl/>
              <w:jc w:val="center"/>
              <w:rPr>
                <w:color w:val="000000"/>
                <w:kern w:val="0"/>
                <w:sz w:val="18"/>
                <w:szCs w:val="18"/>
              </w:rPr>
            </w:pPr>
          </w:p>
        </w:tc>
        <w:tc>
          <w:tcPr>
            <w:tcW w:w="1204" w:type="dxa"/>
            <w:tcBorders>
              <w:left w:val="single" w:color="auto" w:sz="4" w:space="0"/>
            </w:tcBorders>
            <w:vAlign w:val="center"/>
          </w:tcPr>
          <w:p w14:paraId="177E64F7">
            <w:pPr>
              <w:widowControl/>
              <w:jc w:val="center"/>
              <w:rPr>
                <w:color w:val="000000"/>
                <w:kern w:val="0"/>
                <w:sz w:val="18"/>
                <w:szCs w:val="18"/>
              </w:rPr>
            </w:pPr>
          </w:p>
        </w:tc>
      </w:tr>
      <w:tr w14:paraId="02EBB9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97" w:type="dxa"/>
            <w:vAlign w:val="center"/>
          </w:tcPr>
          <w:p w14:paraId="2943CDF6">
            <w:pPr>
              <w:widowControl/>
              <w:jc w:val="center"/>
              <w:rPr>
                <w:color w:val="000000"/>
                <w:kern w:val="0"/>
                <w:sz w:val="18"/>
                <w:szCs w:val="18"/>
              </w:rPr>
            </w:pPr>
            <w:r>
              <w:rPr>
                <w:rFonts w:hint="eastAsia"/>
                <w:color w:val="000000"/>
                <w:kern w:val="0"/>
                <w:sz w:val="18"/>
                <w:szCs w:val="18"/>
              </w:rPr>
              <w:t>3</w:t>
            </w:r>
          </w:p>
        </w:tc>
        <w:tc>
          <w:tcPr>
            <w:tcW w:w="1135" w:type="dxa"/>
            <w:vAlign w:val="center"/>
          </w:tcPr>
          <w:p w14:paraId="77B9C5C6">
            <w:pPr>
              <w:widowControl/>
              <w:jc w:val="left"/>
              <w:rPr>
                <w:color w:val="000000"/>
                <w:kern w:val="0"/>
                <w:sz w:val="18"/>
                <w:szCs w:val="18"/>
              </w:rPr>
            </w:pPr>
          </w:p>
        </w:tc>
        <w:tc>
          <w:tcPr>
            <w:tcW w:w="1275" w:type="dxa"/>
            <w:vAlign w:val="center"/>
          </w:tcPr>
          <w:p w14:paraId="53B8BDBE">
            <w:pPr>
              <w:widowControl/>
              <w:jc w:val="center"/>
              <w:rPr>
                <w:color w:val="000000"/>
                <w:kern w:val="0"/>
                <w:sz w:val="18"/>
                <w:szCs w:val="18"/>
              </w:rPr>
            </w:pPr>
          </w:p>
        </w:tc>
        <w:tc>
          <w:tcPr>
            <w:tcW w:w="1843" w:type="dxa"/>
            <w:vAlign w:val="center"/>
          </w:tcPr>
          <w:p w14:paraId="2F240FE8">
            <w:pPr>
              <w:widowControl/>
              <w:jc w:val="center"/>
              <w:rPr>
                <w:color w:val="000000"/>
                <w:kern w:val="0"/>
                <w:sz w:val="18"/>
                <w:szCs w:val="18"/>
              </w:rPr>
            </w:pPr>
          </w:p>
        </w:tc>
        <w:tc>
          <w:tcPr>
            <w:tcW w:w="1418" w:type="dxa"/>
            <w:tcBorders>
              <w:right w:val="single" w:color="auto" w:sz="4" w:space="0"/>
            </w:tcBorders>
            <w:vAlign w:val="center"/>
          </w:tcPr>
          <w:p w14:paraId="0E9E384A">
            <w:pPr>
              <w:widowControl/>
              <w:jc w:val="left"/>
              <w:rPr>
                <w:color w:val="000000"/>
                <w:kern w:val="0"/>
                <w:sz w:val="18"/>
                <w:szCs w:val="18"/>
              </w:rPr>
            </w:pPr>
          </w:p>
        </w:tc>
        <w:tc>
          <w:tcPr>
            <w:tcW w:w="1559" w:type="dxa"/>
            <w:tcBorders>
              <w:left w:val="single" w:color="auto" w:sz="4" w:space="0"/>
            </w:tcBorders>
            <w:vAlign w:val="center"/>
          </w:tcPr>
          <w:p w14:paraId="7F15975A">
            <w:pPr>
              <w:widowControl/>
              <w:jc w:val="center"/>
              <w:rPr>
                <w:color w:val="000000"/>
                <w:kern w:val="0"/>
                <w:sz w:val="18"/>
                <w:szCs w:val="18"/>
              </w:rPr>
            </w:pPr>
          </w:p>
        </w:tc>
        <w:tc>
          <w:tcPr>
            <w:tcW w:w="1134" w:type="dxa"/>
            <w:tcBorders>
              <w:left w:val="single" w:color="auto" w:sz="4" w:space="0"/>
              <w:right w:val="single" w:color="auto" w:sz="4" w:space="0"/>
            </w:tcBorders>
            <w:vAlign w:val="center"/>
          </w:tcPr>
          <w:p w14:paraId="7D66C5B9">
            <w:pPr>
              <w:widowControl/>
              <w:jc w:val="center"/>
              <w:rPr>
                <w:color w:val="000000"/>
                <w:kern w:val="0"/>
                <w:sz w:val="18"/>
                <w:szCs w:val="18"/>
              </w:rPr>
            </w:pPr>
          </w:p>
        </w:tc>
        <w:tc>
          <w:tcPr>
            <w:tcW w:w="1204" w:type="dxa"/>
            <w:tcBorders>
              <w:left w:val="single" w:color="auto" w:sz="4" w:space="0"/>
            </w:tcBorders>
            <w:vAlign w:val="center"/>
          </w:tcPr>
          <w:p w14:paraId="38920187">
            <w:pPr>
              <w:widowControl/>
              <w:jc w:val="center"/>
              <w:rPr>
                <w:color w:val="000000"/>
                <w:kern w:val="0"/>
                <w:sz w:val="18"/>
                <w:szCs w:val="18"/>
              </w:rPr>
            </w:pPr>
          </w:p>
        </w:tc>
      </w:tr>
      <w:tr w14:paraId="4A15F2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497" w:type="dxa"/>
            <w:vAlign w:val="center"/>
          </w:tcPr>
          <w:p w14:paraId="21405824">
            <w:pPr>
              <w:widowControl/>
              <w:jc w:val="center"/>
              <w:rPr>
                <w:color w:val="000000"/>
                <w:kern w:val="0"/>
                <w:sz w:val="18"/>
                <w:szCs w:val="18"/>
              </w:rPr>
            </w:pPr>
            <w:r>
              <w:rPr>
                <w:rFonts w:hint="eastAsia"/>
                <w:color w:val="000000"/>
                <w:kern w:val="0"/>
                <w:sz w:val="18"/>
                <w:szCs w:val="18"/>
              </w:rPr>
              <w:t>4</w:t>
            </w:r>
          </w:p>
        </w:tc>
        <w:tc>
          <w:tcPr>
            <w:tcW w:w="1135" w:type="dxa"/>
            <w:vAlign w:val="center"/>
          </w:tcPr>
          <w:p w14:paraId="004103CA">
            <w:pPr>
              <w:widowControl/>
              <w:jc w:val="left"/>
              <w:rPr>
                <w:color w:val="000000"/>
                <w:kern w:val="0"/>
                <w:sz w:val="18"/>
                <w:szCs w:val="18"/>
              </w:rPr>
            </w:pPr>
          </w:p>
        </w:tc>
        <w:tc>
          <w:tcPr>
            <w:tcW w:w="1275" w:type="dxa"/>
            <w:vAlign w:val="center"/>
          </w:tcPr>
          <w:p w14:paraId="6AD12F9E">
            <w:pPr>
              <w:widowControl/>
              <w:jc w:val="center"/>
              <w:rPr>
                <w:color w:val="000000"/>
                <w:kern w:val="0"/>
                <w:sz w:val="18"/>
                <w:szCs w:val="18"/>
              </w:rPr>
            </w:pPr>
          </w:p>
        </w:tc>
        <w:tc>
          <w:tcPr>
            <w:tcW w:w="1843" w:type="dxa"/>
            <w:vAlign w:val="center"/>
          </w:tcPr>
          <w:p w14:paraId="5C020AA0">
            <w:pPr>
              <w:widowControl/>
              <w:jc w:val="center"/>
              <w:rPr>
                <w:color w:val="000000"/>
                <w:kern w:val="0"/>
                <w:sz w:val="18"/>
                <w:szCs w:val="18"/>
              </w:rPr>
            </w:pPr>
          </w:p>
        </w:tc>
        <w:tc>
          <w:tcPr>
            <w:tcW w:w="1418" w:type="dxa"/>
            <w:tcBorders>
              <w:right w:val="single" w:color="auto" w:sz="4" w:space="0"/>
            </w:tcBorders>
            <w:vAlign w:val="center"/>
          </w:tcPr>
          <w:p w14:paraId="0D346270">
            <w:pPr>
              <w:widowControl/>
              <w:jc w:val="left"/>
              <w:rPr>
                <w:color w:val="000000"/>
                <w:kern w:val="0"/>
                <w:sz w:val="18"/>
                <w:szCs w:val="18"/>
              </w:rPr>
            </w:pPr>
          </w:p>
        </w:tc>
        <w:tc>
          <w:tcPr>
            <w:tcW w:w="1559" w:type="dxa"/>
            <w:tcBorders>
              <w:left w:val="single" w:color="auto" w:sz="4" w:space="0"/>
            </w:tcBorders>
            <w:vAlign w:val="center"/>
          </w:tcPr>
          <w:p w14:paraId="5BF11EC0">
            <w:pPr>
              <w:widowControl/>
              <w:jc w:val="center"/>
              <w:rPr>
                <w:color w:val="000000"/>
                <w:kern w:val="0"/>
                <w:sz w:val="18"/>
                <w:szCs w:val="18"/>
              </w:rPr>
            </w:pPr>
          </w:p>
        </w:tc>
        <w:tc>
          <w:tcPr>
            <w:tcW w:w="1134" w:type="dxa"/>
            <w:tcBorders>
              <w:left w:val="single" w:color="auto" w:sz="4" w:space="0"/>
              <w:right w:val="single" w:color="auto" w:sz="4" w:space="0"/>
            </w:tcBorders>
            <w:vAlign w:val="center"/>
          </w:tcPr>
          <w:p w14:paraId="32603052">
            <w:pPr>
              <w:widowControl/>
              <w:jc w:val="center"/>
              <w:rPr>
                <w:color w:val="000000"/>
                <w:kern w:val="0"/>
                <w:sz w:val="18"/>
                <w:szCs w:val="18"/>
              </w:rPr>
            </w:pPr>
          </w:p>
        </w:tc>
        <w:tc>
          <w:tcPr>
            <w:tcW w:w="1204" w:type="dxa"/>
            <w:tcBorders>
              <w:left w:val="single" w:color="auto" w:sz="4" w:space="0"/>
            </w:tcBorders>
            <w:vAlign w:val="center"/>
          </w:tcPr>
          <w:p w14:paraId="21FE1865">
            <w:pPr>
              <w:widowControl/>
              <w:jc w:val="center"/>
              <w:rPr>
                <w:color w:val="000000"/>
                <w:kern w:val="0"/>
                <w:sz w:val="18"/>
                <w:szCs w:val="18"/>
              </w:rPr>
            </w:pPr>
          </w:p>
        </w:tc>
      </w:tr>
      <w:tr w14:paraId="48CF8A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1632" w:type="dxa"/>
            <w:gridSpan w:val="2"/>
            <w:vAlign w:val="center"/>
          </w:tcPr>
          <w:p w14:paraId="6C2E15BA">
            <w:pPr>
              <w:widowControl/>
              <w:jc w:val="center"/>
              <w:rPr>
                <w:b/>
                <w:color w:val="000000"/>
                <w:kern w:val="0"/>
                <w:sz w:val="18"/>
                <w:szCs w:val="18"/>
              </w:rPr>
            </w:pPr>
            <w:r>
              <w:rPr>
                <w:rFonts w:hint="eastAsia"/>
                <w:b/>
                <w:color w:val="000000"/>
                <w:kern w:val="0"/>
                <w:sz w:val="18"/>
                <w:szCs w:val="18"/>
              </w:rPr>
              <w:t>总价：</w:t>
            </w:r>
          </w:p>
        </w:tc>
        <w:tc>
          <w:tcPr>
            <w:tcW w:w="8433" w:type="dxa"/>
            <w:gridSpan w:val="6"/>
            <w:vAlign w:val="center"/>
          </w:tcPr>
          <w:p w14:paraId="74944D5B">
            <w:pPr>
              <w:widowControl/>
              <w:jc w:val="center"/>
              <w:rPr>
                <w:b/>
                <w:color w:val="000000"/>
                <w:kern w:val="0"/>
                <w:sz w:val="18"/>
                <w:szCs w:val="18"/>
              </w:rPr>
            </w:pPr>
          </w:p>
        </w:tc>
      </w:tr>
    </w:tbl>
    <w:p w14:paraId="734DE874">
      <w:pPr>
        <w:rPr>
          <w:rFonts w:ascii="仿宋" w:hAnsi="仿宋" w:eastAsia="仿宋"/>
          <w:sz w:val="24"/>
        </w:rPr>
        <w:sectPr>
          <w:headerReference r:id="rId9" w:type="default"/>
          <w:footerReference r:id="rId10" w:type="default"/>
          <w:pgSz w:w="11906" w:h="16838"/>
          <w:pgMar w:top="1440" w:right="1800" w:bottom="1440" w:left="1800" w:header="851" w:footer="992" w:gutter="0"/>
          <w:cols w:space="720" w:num="1"/>
          <w:docGrid w:type="lines" w:linePitch="312" w:charSpace="0"/>
        </w:sectPr>
      </w:pPr>
    </w:p>
    <w:bookmarkEnd w:id="18"/>
    <w:p w14:paraId="1D13BF89">
      <w:pPr>
        <w:pStyle w:val="3"/>
      </w:pPr>
      <w:bookmarkStart w:id="53" w:name="_Toc18088"/>
      <w:r>
        <w:rPr>
          <w:rFonts w:hint="eastAsia"/>
        </w:rPr>
        <w:t>第五章技术需求书</w:t>
      </w:r>
      <w:bookmarkEnd w:id="53"/>
    </w:p>
    <w:p w14:paraId="75B1C3B9">
      <w:pPr>
        <w:spacing w:line="360" w:lineRule="auto"/>
        <w:rPr>
          <w:rFonts w:ascii="宋体" w:hAnsi="宋体"/>
          <w:b/>
          <w:color w:val="000000"/>
          <w:sz w:val="24"/>
          <w:szCs w:val="21"/>
        </w:rPr>
      </w:pPr>
      <w:bookmarkStart w:id="54" w:name="_Toc76996580"/>
      <w:bookmarkStart w:id="55" w:name="_Toc76856250"/>
      <w:bookmarkStart w:id="56" w:name="_Toc30212"/>
      <w:bookmarkStart w:id="57" w:name="_Toc51053569"/>
      <w:bookmarkStart w:id="58" w:name="_Toc31826"/>
      <w:r>
        <w:rPr>
          <w:rFonts w:hint="eastAsia" w:ascii="宋体" w:hAnsi="宋体"/>
          <w:b/>
          <w:color w:val="000000"/>
          <w:sz w:val="24"/>
          <w:szCs w:val="21"/>
        </w:rPr>
        <w:t>说明：</w:t>
      </w:r>
    </w:p>
    <w:p w14:paraId="2F34ADCB">
      <w:pPr>
        <w:spacing w:line="360" w:lineRule="auto"/>
        <w:ind w:firstLine="480" w:firstLineChars="200"/>
        <w:rPr>
          <w:rFonts w:ascii="宋体" w:hAnsi="宋体"/>
          <w:color w:val="000000"/>
          <w:sz w:val="24"/>
          <w:szCs w:val="21"/>
        </w:rPr>
      </w:pPr>
      <w:r>
        <w:rPr>
          <w:rFonts w:hint="eastAsia" w:ascii="宋体" w:hAnsi="宋体"/>
          <w:color w:val="000000"/>
          <w:sz w:val="24"/>
          <w:szCs w:val="21"/>
        </w:rPr>
        <w:t>1、供应商须对照本《技术需求书》，依据供应商本身产品说明书及样本，逐条说明所提供货物和服务已对谈判文件的技术规格、参数与要求做出了实质性的响应，或申明与技术规格、参数与要求条文的偏差和例外（按第六章附件技术需求偏离表格式填写），对于可以用量化形式表示的条款，供应商必须明确回答，或以功能描述回答。任何通过简单拷贝谈判文件技术要求或简单标注“符合”“满足”的响应文件将可能导致废标。</w:t>
      </w:r>
      <w:r>
        <w:rPr>
          <w:rFonts w:hint="eastAsia" w:ascii="宋体" w:hAnsi="宋体"/>
          <w:color w:val="000000"/>
          <w:kern w:val="0"/>
          <w:sz w:val="24"/>
          <w:szCs w:val="21"/>
        </w:rPr>
        <w:t>中标后中标人在合同签订中的任何偏差都不得超越技术偏离表中已被采购人确认的条款。</w:t>
      </w:r>
    </w:p>
    <w:p w14:paraId="263CB32A">
      <w:pPr>
        <w:spacing w:line="360" w:lineRule="auto"/>
        <w:ind w:firstLine="480" w:firstLineChars="200"/>
        <w:rPr>
          <w:rFonts w:ascii="宋体" w:hAnsi="宋体"/>
          <w:color w:val="000000"/>
          <w:sz w:val="24"/>
          <w:szCs w:val="21"/>
        </w:rPr>
      </w:pPr>
      <w:r>
        <w:rPr>
          <w:rFonts w:hint="eastAsia" w:ascii="宋体" w:hAnsi="宋体"/>
          <w:color w:val="000000"/>
          <w:sz w:val="24"/>
          <w:szCs w:val="21"/>
        </w:rPr>
        <w:t>2、谈判文件技术要求中所描述的内容为本项目的基本技术要求，不应作为完整的详细要求。对于为满足正常运行所需的设备材料的供应、安装、调试、验收及质量保证的内容请供应商自行考虑。中标人应满足本技术需求书中未描述的，但为保证设备能正常有效运行所需要的其它要求和所需的设备与附件。</w:t>
      </w:r>
    </w:p>
    <w:p w14:paraId="6545F9B4">
      <w:pPr>
        <w:spacing w:line="360" w:lineRule="auto"/>
        <w:ind w:firstLine="480" w:firstLineChars="200"/>
        <w:rPr>
          <w:rFonts w:ascii="宋体" w:hAnsi="宋体"/>
          <w:color w:val="000000"/>
          <w:sz w:val="24"/>
          <w:szCs w:val="21"/>
        </w:rPr>
      </w:pPr>
      <w:r>
        <w:rPr>
          <w:rFonts w:hint="eastAsia" w:ascii="宋体" w:hAnsi="宋体"/>
          <w:color w:val="000000"/>
          <w:sz w:val="24"/>
          <w:szCs w:val="21"/>
        </w:rPr>
        <w:t>3、技术需求书中带“</w:t>
      </w:r>
      <w:r>
        <w:rPr>
          <w:rFonts w:hint="eastAsia"/>
          <w:sz w:val="24"/>
          <w:szCs w:val="21"/>
        </w:rPr>
        <w:t>★</w:t>
      </w:r>
      <w:r>
        <w:rPr>
          <w:rFonts w:hint="eastAsia" w:ascii="宋体" w:hAnsi="宋体"/>
          <w:color w:val="000000"/>
          <w:sz w:val="24"/>
          <w:szCs w:val="21"/>
        </w:rPr>
        <w:t>”部分为必须保证满足要求的条款。</w:t>
      </w:r>
    </w:p>
    <w:p w14:paraId="6BE49FB3">
      <w:pPr>
        <w:spacing w:line="360" w:lineRule="auto"/>
        <w:ind w:firstLine="480" w:firstLineChars="200"/>
        <w:rPr>
          <w:rFonts w:ascii="宋体" w:hAnsi="宋体"/>
          <w:sz w:val="24"/>
          <w:szCs w:val="21"/>
        </w:rPr>
      </w:pPr>
      <w:r>
        <w:rPr>
          <w:rFonts w:hint="eastAsia" w:ascii="宋体" w:hAnsi="宋体"/>
          <w:color w:val="000000"/>
          <w:sz w:val="24"/>
          <w:szCs w:val="21"/>
        </w:rPr>
        <w:t>4、</w:t>
      </w:r>
      <w:r>
        <w:rPr>
          <w:rFonts w:hint="eastAsia" w:ascii="宋体" w:hAnsi="宋体"/>
          <w:sz w:val="24"/>
          <w:szCs w:val="21"/>
        </w:rPr>
        <w:t>在响应文件中必须包括对第五章《技术需求书》的逐项应答，逐项应答必须按照技术偏离表格式，对照谈判文件技术规格、参数与要求，依据供应商本身产品、服务，如实逐条说明所提供货物及/或服务已对谈判文件的技术规格、参数与要求做出了实质性的响应，或申明与技术规格、参数与要求条文的偏差和例外。技术偏离表填报的内容必须与开标一览表和分项报价表一致。对于可以用量化形式表示的条款，供应商必须明确回答，或以功能描述回答。</w:t>
      </w:r>
    </w:p>
    <w:p w14:paraId="10D0785B">
      <w:pPr>
        <w:spacing w:line="360" w:lineRule="auto"/>
        <w:outlineLvl w:val="1"/>
        <w:rPr>
          <w:b/>
          <w:sz w:val="24"/>
        </w:rPr>
      </w:pPr>
      <w:r>
        <w:rPr>
          <w:rFonts w:eastAsia="黑体"/>
          <w:b/>
          <w:sz w:val="37"/>
          <w:szCs w:val="37"/>
        </w:rPr>
        <w:br w:type="page"/>
      </w:r>
      <w:bookmarkEnd w:id="54"/>
      <w:bookmarkEnd w:id="55"/>
      <w:bookmarkEnd w:id="56"/>
      <w:bookmarkEnd w:id="57"/>
      <w:bookmarkEnd w:id="58"/>
      <w:r>
        <w:rPr>
          <w:rFonts w:hint="eastAsia"/>
          <w:b/>
          <w:sz w:val="24"/>
        </w:rPr>
        <w:t>一、综述</w:t>
      </w:r>
    </w:p>
    <w:p w14:paraId="720AD07F">
      <w:pPr>
        <w:spacing w:line="360" w:lineRule="auto"/>
        <w:outlineLvl w:val="2"/>
        <w:rPr>
          <w:sz w:val="24"/>
          <w:szCs w:val="32"/>
        </w:rPr>
      </w:pPr>
      <w:r>
        <w:rPr>
          <w:sz w:val="24"/>
          <w:szCs w:val="32"/>
        </w:rPr>
        <w:t xml:space="preserve">1.1 </w:t>
      </w:r>
      <w:r>
        <w:rPr>
          <w:rFonts w:hint="eastAsia"/>
          <w:sz w:val="24"/>
          <w:szCs w:val="32"/>
        </w:rPr>
        <w:t>说明</w:t>
      </w:r>
    </w:p>
    <w:p w14:paraId="60BF9546">
      <w:pPr>
        <w:spacing w:line="360" w:lineRule="auto"/>
        <w:rPr>
          <w:color w:val="262626"/>
          <w:sz w:val="24"/>
          <w:szCs w:val="32"/>
        </w:rPr>
      </w:pPr>
      <w:r>
        <w:rPr>
          <w:color w:val="262626"/>
          <w:sz w:val="24"/>
          <w:szCs w:val="32"/>
        </w:rPr>
        <w:t>1.1.1</w:t>
      </w:r>
      <w:r>
        <w:rPr>
          <w:color w:val="262626"/>
          <w:sz w:val="24"/>
          <w:szCs w:val="32"/>
        </w:rPr>
        <w:tab/>
      </w:r>
      <w:r>
        <w:rPr>
          <w:rFonts w:hint="eastAsia"/>
          <w:color w:val="262626"/>
          <w:sz w:val="24"/>
          <w:szCs w:val="32"/>
        </w:rPr>
        <w:t>本技术需求书为</w:t>
      </w:r>
      <w:r>
        <w:rPr>
          <w:rFonts w:hint="eastAsia"/>
          <w:color w:val="262626"/>
          <w:sz w:val="24"/>
          <w:szCs w:val="32"/>
          <w:u w:val="single"/>
        </w:rPr>
        <w:t>园区1号楼无线网络优化项目</w:t>
      </w:r>
      <w:r>
        <w:rPr>
          <w:rFonts w:hint="eastAsia"/>
          <w:color w:val="262626"/>
          <w:sz w:val="24"/>
          <w:szCs w:val="32"/>
        </w:rPr>
        <w:t>中软硬件的主要技术要求和供货要求，投标文件的技术部分内容格式应符合本技术需求书的要求，供应商提供的各项设备及系统的功能和性能应完全符合本技术需求书中指明的标准，并满足或高于技术需求书中提出的技术指标要求。</w:t>
      </w:r>
    </w:p>
    <w:p w14:paraId="1601B48B">
      <w:pPr>
        <w:spacing w:line="360" w:lineRule="auto"/>
        <w:rPr>
          <w:color w:val="262626"/>
          <w:sz w:val="24"/>
          <w:szCs w:val="32"/>
        </w:rPr>
      </w:pPr>
      <w:r>
        <w:rPr>
          <w:color w:val="262626"/>
          <w:sz w:val="24"/>
          <w:szCs w:val="32"/>
        </w:rPr>
        <w:t>1.1.2</w:t>
      </w:r>
      <w:r>
        <w:rPr>
          <w:color w:val="262626"/>
          <w:sz w:val="24"/>
          <w:szCs w:val="32"/>
        </w:rPr>
        <w:tab/>
      </w:r>
      <w:r>
        <w:rPr>
          <w:rFonts w:hint="eastAsia"/>
          <w:color w:val="262626"/>
          <w:sz w:val="24"/>
          <w:szCs w:val="32"/>
        </w:rPr>
        <w:t>投标人应根据本技术需求书的要求，基于自己的产品和技术提供具体、完整的配置方案。投标人在投标文件中给出的设备硬件和软件配置，必须保证投标文件中各项性能和功能承诺指标的实现。设备在各种承诺业务功能同时启用时，不应影响设备性能和稳定性。</w:t>
      </w:r>
    </w:p>
    <w:p w14:paraId="79246F57">
      <w:pPr>
        <w:spacing w:line="360" w:lineRule="auto"/>
        <w:rPr>
          <w:color w:val="262626"/>
          <w:sz w:val="24"/>
          <w:szCs w:val="32"/>
        </w:rPr>
      </w:pPr>
      <w:r>
        <w:rPr>
          <w:color w:val="262626"/>
          <w:sz w:val="24"/>
          <w:szCs w:val="32"/>
        </w:rPr>
        <w:t>1.1.3</w:t>
      </w:r>
      <w:r>
        <w:rPr>
          <w:color w:val="262626"/>
          <w:sz w:val="24"/>
          <w:szCs w:val="32"/>
        </w:rPr>
        <w:tab/>
      </w:r>
      <w:r>
        <w:rPr>
          <w:rFonts w:hint="eastAsia"/>
          <w:color w:val="262626"/>
          <w:sz w:val="24"/>
          <w:szCs w:val="32"/>
        </w:rPr>
        <w:t>投标人应提供所投标的各产品型号的推出时间。投标人所投设备应是制造商新推出的产品型号，投标人应保证本次投标的产品在</w:t>
      </w:r>
      <w:r>
        <w:rPr>
          <w:color w:val="262626"/>
          <w:sz w:val="24"/>
          <w:szCs w:val="32"/>
        </w:rPr>
        <w:t>5</w:t>
      </w:r>
      <w:r>
        <w:rPr>
          <w:rFonts w:hint="eastAsia"/>
          <w:color w:val="262626"/>
          <w:sz w:val="24"/>
          <w:szCs w:val="32"/>
        </w:rPr>
        <w:t>年内不会因制造商的技术路线调整、技术升级等原因导致停产及不再销售。</w:t>
      </w:r>
    </w:p>
    <w:p w14:paraId="371B4414">
      <w:pPr>
        <w:spacing w:line="360" w:lineRule="auto"/>
        <w:rPr>
          <w:color w:val="262626"/>
          <w:sz w:val="24"/>
          <w:szCs w:val="32"/>
        </w:rPr>
      </w:pPr>
      <w:r>
        <w:rPr>
          <w:color w:val="262626"/>
          <w:sz w:val="24"/>
          <w:szCs w:val="32"/>
        </w:rPr>
        <w:t>1.1.4</w:t>
      </w:r>
      <w:r>
        <w:rPr>
          <w:color w:val="262626"/>
          <w:sz w:val="24"/>
          <w:szCs w:val="32"/>
        </w:rPr>
        <w:tab/>
      </w:r>
      <w:r>
        <w:rPr>
          <w:rFonts w:hint="eastAsia"/>
          <w:color w:val="262626"/>
          <w:sz w:val="24"/>
          <w:szCs w:val="32"/>
        </w:rPr>
        <w:t>本技术需求书应视为保证网络运行所需的最低要求。如有遗漏，投标人应予以补充，否则一旦中标将认为投标人认同遗漏部分并免费提供。</w:t>
      </w:r>
    </w:p>
    <w:p w14:paraId="69BFF8F6">
      <w:pPr>
        <w:spacing w:line="360" w:lineRule="auto"/>
        <w:rPr>
          <w:color w:val="262626"/>
          <w:sz w:val="24"/>
          <w:szCs w:val="32"/>
        </w:rPr>
      </w:pPr>
      <w:r>
        <w:rPr>
          <w:color w:val="262626"/>
          <w:sz w:val="24"/>
          <w:szCs w:val="32"/>
        </w:rPr>
        <w:t>1.1.5</w:t>
      </w:r>
      <w:r>
        <w:rPr>
          <w:color w:val="262626"/>
          <w:sz w:val="24"/>
          <w:szCs w:val="32"/>
        </w:rPr>
        <w:tab/>
      </w:r>
      <w:r>
        <w:rPr>
          <w:rFonts w:hint="eastAsia"/>
          <w:color w:val="262626"/>
          <w:sz w:val="24"/>
          <w:szCs w:val="32"/>
        </w:rPr>
        <w:t>投标人若在投标文件中应答“满足”但实际应用中发现不能满足，则投标人应在六周内免费更换满足技术需求书要求的设备（更换设备时所需的一切相关费用，例如运输费、施工费、集成费等由投标人承担），同时承担期间招标人所有损失，招标人保留退货的权力。因此造成招标人计划用其他厂商设备替换该设备的，投标人必须负责替换设备所需的一切费用（包括但不限于运输费、施工费、集成费等），并且期间招标人所有损失由投标人承担；同时招标人保留限制投标人参加后期集采的权力。</w:t>
      </w:r>
    </w:p>
    <w:p w14:paraId="3ECBD007">
      <w:pPr>
        <w:spacing w:line="360" w:lineRule="auto"/>
        <w:rPr>
          <w:color w:val="262626"/>
          <w:sz w:val="24"/>
          <w:szCs w:val="32"/>
        </w:rPr>
      </w:pPr>
      <w:r>
        <w:rPr>
          <w:color w:val="262626"/>
          <w:sz w:val="24"/>
          <w:szCs w:val="32"/>
        </w:rPr>
        <w:t>1.1.6</w:t>
      </w:r>
      <w:r>
        <w:rPr>
          <w:color w:val="262626"/>
          <w:sz w:val="24"/>
          <w:szCs w:val="32"/>
        </w:rPr>
        <w:tab/>
      </w:r>
      <w:r>
        <w:rPr>
          <w:rFonts w:hint="eastAsia"/>
          <w:color w:val="262626"/>
          <w:sz w:val="24"/>
          <w:szCs w:val="32"/>
        </w:rPr>
        <w:t>投标人不同软件、设备对技术需求书所要求功能和性能支持若有所不同，须逐一说明，否则招标人认为投标人不同软件、设备均支持所要求的功能和性能，若在实际使用中发现与应答有出入，则投标人必须免费更换所有的不满足要求的设备</w:t>
      </w:r>
      <w:r>
        <w:rPr>
          <w:color w:val="262626"/>
          <w:sz w:val="24"/>
          <w:szCs w:val="32"/>
        </w:rPr>
        <w:t xml:space="preserve"> (</w:t>
      </w:r>
      <w:r>
        <w:rPr>
          <w:rFonts w:hint="eastAsia"/>
          <w:color w:val="262626"/>
          <w:sz w:val="24"/>
          <w:szCs w:val="32"/>
        </w:rPr>
        <w:t>更换设备所需的一切相关费用，例如运输费、施工费、集成费等也由投标人承担</w:t>
      </w:r>
      <w:r>
        <w:rPr>
          <w:color w:val="262626"/>
          <w:sz w:val="24"/>
          <w:szCs w:val="32"/>
        </w:rPr>
        <w:t>)</w:t>
      </w:r>
      <w:r>
        <w:rPr>
          <w:rFonts w:hint="eastAsia"/>
          <w:color w:val="262626"/>
          <w:sz w:val="24"/>
          <w:szCs w:val="32"/>
        </w:rPr>
        <w:t>，并且期间招标人所有损失由投标人承担。同时招标人保留退货的权力，如果招标人计划用其他厂商设备替换该设备，投标人必须负责替换设备所需的一切费用（包括但不限于运输费、施工费、集成费等），并且期间招标人所有损失由投标人承担；同时招标人保留限制投标人参加后期集采的权力。</w:t>
      </w:r>
    </w:p>
    <w:p w14:paraId="4B4561A1">
      <w:pPr>
        <w:spacing w:line="360" w:lineRule="auto"/>
        <w:rPr>
          <w:color w:val="262626"/>
          <w:sz w:val="24"/>
          <w:szCs w:val="32"/>
        </w:rPr>
      </w:pPr>
      <w:r>
        <w:rPr>
          <w:color w:val="262626"/>
          <w:sz w:val="24"/>
          <w:szCs w:val="32"/>
        </w:rPr>
        <w:t>1.1.7</w:t>
      </w:r>
      <w:r>
        <w:rPr>
          <w:color w:val="262626"/>
          <w:sz w:val="24"/>
          <w:szCs w:val="32"/>
        </w:rPr>
        <w:tab/>
      </w:r>
      <w:r>
        <w:rPr>
          <w:rFonts w:hint="eastAsia"/>
          <w:color w:val="262626"/>
          <w:sz w:val="24"/>
          <w:szCs w:val="32"/>
        </w:rPr>
        <w:t>招标人在任何时候都保留和拥有对本技术需求书的解释权。</w:t>
      </w:r>
    </w:p>
    <w:p w14:paraId="46E10DCF">
      <w:pPr>
        <w:spacing w:line="360" w:lineRule="auto"/>
        <w:outlineLvl w:val="2"/>
        <w:rPr>
          <w:sz w:val="24"/>
          <w:szCs w:val="32"/>
        </w:rPr>
      </w:pPr>
      <w:bookmarkStart w:id="59" w:name="_Hlk74066017"/>
      <w:r>
        <w:rPr>
          <w:sz w:val="24"/>
          <w:szCs w:val="32"/>
        </w:rPr>
        <w:t xml:space="preserve">1.2 </w:t>
      </w:r>
      <w:r>
        <w:rPr>
          <w:rFonts w:hint="eastAsia"/>
          <w:sz w:val="24"/>
          <w:szCs w:val="32"/>
        </w:rPr>
        <w:t>技术应答要求</w:t>
      </w:r>
    </w:p>
    <w:p w14:paraId="0404E649">
      <w:pPr>
        <w:spacing w:line="360" w:lineRule="auto"/>
        <w:ind w:firstLine="480" w:firstLineChars="200"/>
        <w:rPr>
          <w:sz w:val="24"/>
          <w:szCs w:val="32"/>
        </w:rPr>
      </w:pPr>
      <w:r>
        <w:rPr>
          <w:rFonts w:hint="eastAsia"/>
          <w:sz w:val="24"/>
          <w:szCs w:val="32"/>
        </w:rPr>
        <w:t>投标人应按照本技术需求书的要求提供响应文件的技术部分，并包含但不限于以下内容：</w:t>
      </w:r>
    </w:p>
    <w:p w14:paraId="016AE267">
      <w:pPr>
        <w:spacing w:line="360" w:lineRule="auto"/>
        <w:rPr>
          <w:sz w:val="24"/>
          <w:szCs w:val="32"/>
        </w:rPr>
      </w:pPr>
      <w:r>
        <w:rPr>
          <w:sz w:val="24"/>
          <w:szCs w:val="32"/>
        </w:rPr>
        <w:t xml:space="preserve">1.2.1 </w:t>
      </w:r>
      <w:r>
        <w:rPr>
          <w:rFonts w:hint="eastAsia"/>
          <w:sz w:val="24"/>
          <w:szCs w:val="32"/>
        </w:rPr>
        <w:t>综述</w:t>
      </w:r>
    </w:p>
    <w:p w14:paraId="46A18620">
      <w:pPr>
        <w:spacing w:line="360" w:lineRule="auto"/>
        <w:ind w:firstLine="480" w:firstLineChars="200"/>
        <w:rPr>
          <w:sz w:val="24"/>
          <w:szCs w:val="32"/>
        </w:rPr>
      </w:pPr>
      <w:r>
        <w:rPr>
          <w:rFonts w:hint="eastAsia"/>
          <w:sz w:val="24"/>
          <w:szCs w:val="32"/>
        </w:rPr>
        <w:t>包括总体技术方案、产品设计原则、供应商的技术优势、第三方测评等内容。投标人应对其主流商用产品及产品线进行详细介绍和技术说明，说明的设备范围应涵盖所有的响应设备及其所在产品线，并能够完全反映响应设备制造商的主流商用产品概况。</w:t>
      </w:r>
    </w:p>
    <w:p w14:paraId="17F8EB33">
      <w:pPr>
        <w:spacing w:line="360" w:lineRule="auto"/>
        <w:rPr>
          <w:sz w:val="24"/>
          <w:szCs w:val="32"/>
        </w:rPr>
      </w:pPr>
      <w:r>
        <w:rPr>
          <w:sz w:val="24"/>
          <w:szCs w:val="32"/>
        </w:rPr>
        <w:t xml:space="preserve">1.2.2 </w:t>
      </w:r>
      <w:r>
        <w:rPr>
          <w:rFonts w:hint="eastAsia"/>
          <w:sz w:val="24"/>
          <w:szCs w:val="32"/>
        </w:rPr>
        <w:t>投标人所提供的设备</w:t>
      </w:r>
      <w:r>
        <w:rPr>
          <w:sz w:val="24"/>
          <w:szCs w:val="32"/>
        </w:rPr>
        <w:t>(</w:t>
      </w:r>
      <w:r>
        <w:rPr>
          <w:rFonts w:hint="eastAsia"/>
          <w:sz w:val="24"/>
          <w:szCs w:val="32"/>
        </w:rPr>
        <w:t>包括软、硬件</w:t>
      </w:r>
      <w:r>
        <w:rPr>
          <w:sz w:val="24"/>
          <w:szCs w:val="32"/>
        </w:rPr>
        <w:t>)</w:t>
      </w:r>
      <w:r>
        <w:rPr>
          <w:rFonts w:hint="eastAsia"/>
          <w:sz w:val="24"/>
          <w:szCs w:val="32"/>
        </w:rPr>
        <w:t>和系统建设方案应符合如下技术标准：</w:t>
      </w:r>
    </w:p>
    <w:p w14:paraId="720216FA">
      <w:pPr>
        <w:spacing w:line="360" w:lineRule="auto"/>
        <w:rPr>
          <w:sz w:val="24"/>
          <w:szCs w:val="32"/>
        </w:rPr>
      </w:pPr>
      <w:r>
        <w:rPr>
          <w:sz w:val="24"/>
          <w:szCs w:val="32"/>
        </w:rPr>
        <w:t>1.2.2.1</w:t>
      </w:r>
      <w:r>
        <w:rPr>
          <w:rFonts w:hint="eastAsia"/>
          <w:sz w:val="24"/>
          <w:szCs w:val="32"/>
        </w:rPr>
        <w:t>符合有关国际标准</w:t>
      </w:r>
      <w:r>
        <w:rPr>
          <w:sz w:val="24"/>
          <w:szCs w:val="32"/>
        </w:rPr>
        <w:t>(</w:t>
      </w:r>
      <w:r>
        <w:rPr>
          <w:rFonts w:hint="eastAsia"/>
          <w:sz w:val="24"/>
          <w:szCs w:val="32"/>
        </w:rPr>
        <w:t>如</w:t>
      </w:r>
      <w:r>
        <w:rPr>
          <w:sz w:val="24"/>
          <w:szCs w:val="32"/>
        </w:rPr>
        <w:t>ISO</w:t>
      </w:r>
      <w:r>
        <w:rPr>
          <w:rFonts w:hint="eastAsia"/>
          <w:sz w:val="24"/>
          <w:szCs w:val="32"/>
        </w:rPr>
        <w:t>、</w:t>
      </w:r>
      <w:r>
        <w:rPr>
          <w:sz w:val="24"/>
          <w:szCs w:val="32"/>
        </w:rPr>
        <w:t>ITU-T</w:t>
      </w:r>
      <w:r>
        <w:rPr>
          <w:rFonts w:hint="eastAsia"/>
          <w:sz w:val="24"/>
          <w:szCs w:val="32"/>
        </w:rPr>
        <w:t>、</w:t>
      </w:r>
      <w:r>
        <w:rPr>
          <w:sz w:val="24"/>
          <w:szCs w:val="32"/>
        </w:rPr>
        <w:t>ETSI</w:t>
      </w:r>
      <w:r>
        <w:rPr>
          <w:rFonts w:hint="eastAsia"/>
          <w:sz w:val="24"/>
          <w:szCs w:val="32"/>
        </w:rPr>
        <w:t>、</w:t>
      </w:r>
      <w:r>
        <w:rPr>
          <w:sz w:val="24"/>
          <w:szCs w:val="32"/>
        </w:rPr>
        <w:t>IMTC</w:t>
      </w:r>
      <w:r>
        <w:rPr>
          <w:rFonts w:hint="eastAsia"/>
          <w:sz w:val="24"/>
          <w:szCs w:val="32"/>
        </w:rPr>
        <w:t>、</w:t>
      </w:r>
      <w:r>
        <w:rPr>
          <w:sz w:val="24"/>
          <w:szCs w:val="32"/>
        </w:rPr>
        <w:t>IETF</w:t>
      </w:r>
      <w:r>
        <w:rPr>
          <w:rFonts w:hint="eastAsia"/>
          <w:sz w:val="24"/>
          <w:szCs w:val="32"/>
        </w:rPr>
        <w:t>、</w:t>
      </w:r>
      <w:r>
        <w:rPr>
          <w:sz w:val="24"/>
          <w:szCs w:val="32"/>
        </w:rPr>
        <w:t xml:space="preserve">IEEE </w:t>
      </w:r>
      <w:r>
        <w:rPr>
          <w:rFonts w:hint="eastAsia"/>
          <w:sz w:val="24"/>
          <w:szCs w:val="32"/>
        </w:rPr>
        <w:t>等国际组织发布的标准、规范和建议等</w:t>
      </w:r>
      <w:r>
        <w:rPr>
          <w:sz w:val="24"/>
          <w:szCs w:val="32"/>
        </w:rPr>
        <w:t>)</w:t>
      </w:r>
      <w:r>
        <w:rPr>
          <w:rFonts w:hint="eastAsia"/>
          <w:sz w:val="24"/>
          <w:szCs w:val="32"/>
        </w:rPr>
        <w:t>，投标人应在响应文件中具体说明，并附上相应的详细技术资料。</w:t>
      </w:r>
    </w:p>
    <w:p w14:paraId="39F27A60">
      <w:pPr>
        <w:spacing w:line="360" w:lineRule="auto"/>
        <w:rPr>
          <w:sz w:val="24"/>
          <w:szCs w:val="32"/>
        </w:rPr>
      </w:pPr>
      <w:r>
        <w:rPr>
          <w:sz w:val="24"/>
          <w:szCs w:val="32"/>
        </w:rPr>
        <w:t>1.2.2.2</w:t>
      </w:r>
      <w:r>
        <w:rPr>
          <w:rFonts w:hint="eastAsia"/>
          <w:sz w:val="24"/>
          <w:szCs w:val="32"/>
        </w:rPr>
        <w:t>若投标人的设备和系统中包含自己的专用标准，应在响应文件中具体说明，并附上相应的详细技术资料。</w:t>
      </w:r>
    </w:p>
    <w:p w14:paraId="390C4733">
      <w:pPr>
        <w:spacing w:line="360" w:lineRule="auto"/>
        <w:rPr>
          <w:sz w:val="24"/>
          <w:szCs w:val="32"/>
        </w:rPr>
      </w:pPr>
      <w:r>
        <w:rPr>
          <w:sz w:val="24"/>
          <w:szCs w:val="32"/>
        </w:rPr>
        <w:t>1.2.2.3</w:t>
      </w:r>
      <w:r>
        <w:rPr>
          <w:rFonts w:hint="eastAsia"/>
          <w:sz w:val="24"/>
          <w:szCs w:val="32"/>
        </w:rPr>
        <w:t>本文件中未列出但</w:t>
      </w:r>
      <w:r>
        <w:rPr>
          <w:sz w:val="24"/>
          <w:szCs w:val="32"/>
        </w:rPr>
        <w:t xml:space="preserve">ITU-T </w:t>
      </w:r>
      <w:r>
        <w:rPr>
          <w:rFonts w:hint="eastAsia"/>
          <w:sz w:val="24"/>
          <w:szCs w:val="32"/>
        </w:rPr>
        <w:t>已有建议的，投标人的系统设备性能和功能均应满足</w:t>
      </w:r>
      <w:r>
        <w:rPr>
          <w:sz w:val="24"/>
          <w:szCs w:val="32"/>
        </w:rPr>
        <w:t xml:space="preserve">ITU-T </w:t>
      </w:r>
      <w:r>
        <w:rPr>
          <w:rFonts w:hint="eastAsia"/>
          <w:sz w:val="24"/>
          <w:szCs w:val="32"/>
        </w:rPr>
        <w:t>最新建议要求。</w:t>
      </w:r>
    </w:p>
    <w:p w14:paraId="38CA406F">
      <w:pPr>
        <w:spacing w:line="360" w:lineRule="auto"/>
        <w:rPr>
          <w:sz w:val="24"/>
          <w:szCs w:val="32"/>
        </w:rPr>
      </w:pPr>
      <w:r>
        <w:rPr>
          <w:sz w:val="24"/>
          <w:szCs w:val="32"/>
        </w:rPr>
        <w:t xml:space="preserve">1.2.3 </w:t>
      </w:r>
      <w:r>
        <w:rPr>
          <w:rFonts w:hint="eastAsia"/>
          <w:sz w:val="24"/>
          <w:szCs w:val="32"/>
        </w:rPr>
        <w:t>所有投标设备的技术文档，投标人应针对各种设备逐一说明以下内容：</w:t>
      </w:r>
    </w:p>
    <w:p w14:paraId="10B4F5F7">
      <w:pPr>
        <w:spacing w:line="360" w:lineRule="auto"/>
        <w:rPr>
          <w:sz w:val="24"/>
          <w:szCs w:val="32"/>
        </w:rPr>
      </w:pPr>
      <w:r>
        <w:rPr>
          <w:sz w:val="24"/>
          <w:szCs w:val="32"/>
        </w:rPr>
        <w:t>1.2.3</w:t>
      </w:r>
      <w:r>
        <w:rPr>
          <w:rFonts w:hint="eastAsia"/>
          <w:sz w:val="24"/>
          <w:szCs w:val="32"/>
        </w:rPr>
        <w:t>.1设备功能、性能说明；</w:t>
      </w:r>
    </w:p>
    <w:p w14:paraId="75F4A38C">
      <w:pPr>
        <w:spacing w:line="360" w:lineRule="auto"/>
        <w:rPr>
          <w:sz w:val="24"/>
          <w:szCs w:val="32"/>
        </w:rPr>
      </w:pPr>
      <w:r>
        <w:rPr>
          <w:sz w:val="24"/>
          <w:szCs w:val="32"/>
        </w:rPr>
        <w:t>1.2.3</w:t>
      </w:r>
      <w:r>
        <w:rPr>
          <w:rFonts w:hint="eastAsia"/>
          <w:sz w:val="24"/>
          <w:szCs w:val="32"/>
        </w:rPr>
        <w:t>.</w:t>
      </w:r>
      <w:r>
        <w:rPr>
          <w:sz w:val="24"/>
          <w:szCs w:val="32"/>
        </w:rPr>
        <w:t>2</w:t>
      </w:r>
      <w:r>
        <w:rPr>
          <w:rFonts w:hint="eastAsia"/>
          <w:sz w:val="24"/>
          <w:szCs w:val="32"/>
        </w:rPr>
        <w:t>设备体系结构；</w:t>
      </w:r>
    </w:p>
    <w:p w14:paraId="3511E9CD">
      <w:pPr>
        <w:spacing w:line="360" w:lineRule="auto"/>
        <w:rPr>
          <w:sz w:val="24"/>
          <w:szCs w:val="32"/>
        </w:rPr>
      </w:pPr>
      <w:r>
        <w:rPr>
          <w:sz w:val="24"/>
          <w:szCs w:val="32"/>
        </w:rPr>
        <w:t>1.2.3</w:t>
      </w:r>
      <w:r>
        <w:rPr>
          <w:rFonts w:hint="eastAsia"/>
          <w:sz w:val="24"/>
          <w:szCs w:val="32"/>
        </w:rPr>
        <w:t>.</w:t>
      </w:r>
      <w:r>
        <w:rPr>
          <w:sz w:val="24"/>
          <w:szCs w:val="32"/>
        </w:rPr>
        <w:t>3</w:t>
      </w:r>
      <w:r>
        <w:rPr>
          <w:rFonts w:hint="eastAsia"/>
          <w:sz w:val="24"/>
          <w:szCs w:val="32"/>
        </w:rPr>
        <w:t>设备各种接口特性；</w:t>
      </w:r>
    </w:p>
    <w:p w14:paraId="698A5228">
      <w:pPr>
        <w:spacing w:line="360" w:lineRule="auto"/>
        <w:rPr>
          <w:sz w:val="24"/>
          <w:szCs w:val="32"/>
        </w:rPr>
      </w:pPr>
      <w:r>
        <w:rPr>
          <w:sz w:val="24"/>
          <w:szCs w:val="32"/>
        </w:rPr>
        <w:t>1.2.3</w:t>
      </w:r>
      <w:r>
        <w:rPr>
          <w:rFonts w:hint="eastAsia"/>
          <w:sz w:val="24"/>
          <w:szCs w:val="32"/>
        </w:rPr>
        <w:t>.</w:t>
      </w:r>
      <w:r>
        <w:rPr>
          <w:sz w:val="24"/>
          <w:szCs w:val="32"/>
        </w:rPr>
        <w:t>4</w:t>
      </w:r>
      <w:r>
        <w:rPr>
          <w:rFonts w:hint="eastAsia"/>
          <w:sz w:val="24"/>
          <w:szCs w:val="32"/>
        </w:rPr>
        <w:t>安装方式；</w:t>
      </w:r>
    </w:p>
    <w:p w14:paraId="51987EC8">
      <w:pPr>
        <w:spacing w:line="360" w:lineRule="auto"/>
        <w:rPr>
          <w:sz w:val="24"/>
          <w:szCs w:val="32"/>
        </w:rPr>
      </w:pPr>
      <w:r>
        <w:rPr>
          <w:sz w:val="24"/>
          <w:szCs w:val="32"/>
        </w:rPr>
        <w:t>1.2.3</w:t>
      </w:r>
      <w:r>
        <w:rPr>
          <w:rFonts w:hint="eastAsia"/>
          <w:sz w:val="24"/>
          <w:szCs w:val="32"/>
        </w:rPr>
        <w:t>.</w:t>
      </w:r>
      <w:r>
        <w:rPr>
          <w:sz w:val="24"/>
          <w:szCs w:val="32"/>
        </w:rPr>
        <w:t>5</w:t>
      </w:r>
      <w:r>
        <w:rPr>
          <w:rFonts w:hint="eastAsia"/>
          <w:sz w:val="24"/>
          <w:szCs w:val="32"/>
        </w:rPr>
        <w:t>物理尺寸；</w:t>
      </w:r>
    </w:p>
    <w:p w14:paraId="10A770AF">
      <w:pPr>
        <w:spacing w:line="360" w:lineRule="auto"/>
        <w:rPr>
          <w:sz w:val="24"/>
          <w:szCs w:val="32"/>
        </w:rPr>
      </w:pPr>
      <w:r>
        <w:rPr>
          <w:sz w:val="24"/>
          <w:szCs w:val="32"/>
        </w:rPr>
        <w:t>1.2.3</w:t>
      </w:r>
      <w:r>
        <w:rPr>
          <w:rFonts w:hint="eastAsia"/>
          <w:sz w:val="24"/>
          <w:szCs w:val="32"/>
        </w:rPr>
        <w:t>.</w:t>
      </w:r>
      <w:r>
        <w:rPr>
          <w:sz w:val="24"/>
          <w:szCs w:val="32"/>
        </w:rPr>
        <w:t>6</w:t>
      </w:r>
      <w:r>
        <w:rPr>
          <w:rFonts w:hint="eastAsia"/>
          <w:sz w:val="24"/>
          <w:szCs w:val="32"/>
        </w:rPr>
        <w:t>供电方式、耗电量；</w:t>
      </w:r>
    </w:p>
    <w:p w14:paraId="12844FCA">
      <w:pPr>
        <w:spacing w:line="360" w:lineRule="auto"/>
        <w:rPr>
          <w:sz w:val="24"/>
          <w:szCs w:val="32"/>
        </w:rPr>
      </w:pPr>
      <w:r>
        <w:rPr>
          <w:sz w:val="24"/>
          <w:szCs w:val="32"/>
        </w:rPr>
        <w:t>1.2.3</w:t>
      </w:r>
      <w:r>
        <w:rPr>
          <w:rFonts w:hint="eastAsia"/>
          <w:sz w:val="24"/>
          <w:szCs w:val="32"/>
        </w:rPr>
        <w:t>.</w:t>
      </w:r>
      <w:r>
        <w:rPr>
          <w:sz w:val="24"/>
          <w:szCs w:val="32"/>
        </w:rPr>
        <w:t>7</w:t>
      </w:r>
      <w:r>
        <w:rPr>
          <w:rFonts w:hint="eastAsia"/>
          <w:sz w:val="24"/>
          <w:szCs w:val="32"/>
        </w:rPr>
        <w:t>设备或机架接地要求；</w:t>
      </w:r>
    </w:p>
    <w:p w14:paraId="6D4B2FF0">
      <w:pPr>
        <w:spacing w:line="360" w:lineRule="auto"/>
        <w:rPr>
          <w:sz w:val="24"/>
          <w:szCs w:val="32"/>
        </w:rPr>
      </w:pPr>
      <w:r>
        <w:rPr>
          <w:sz w:val="24"/>
          <w:szCs w:val="32"/>
        </w:rPr>
        <w:t>1.2.3</w:t>
      </w:r>
      <w:r>
        <w:rPr>
          <w:rFonts w:hint="eastAsia"/>
          <w:sz w:val="24"/>
          <w:szCs w:val="32"/>
        </w:rPr>
        <w:t>.</w:t>
      </w:r>
      <w:r>
        <w:rPr>
          <w:sz w:val="24"/>
          <w:szCs w:val="32"/>
        </w:rPr>
        <w:t>8</w:t>
      </w:r>
      <w:r>
        <w:rPr>
          <w:rFonts w:hint="eastAsia"/>
          <w:sz w:val="24"/>
          <w:szCs w:val="32"/>
        </w:rPr>
        <w:t>重量、温湿度等环境要求；</w:t>
      </w:r>
    </w:p>
    <w:p w14:paraId="353F760B">
      <w:pPr>
        <w:spacing w:line="360" w:lineRule="auto"/>
        <w:rPr>
          <w:sz w:val="24"/>
          <w:szCs w:val="32"/>
        </w:rPr>
      </w:pPr>
      <w:r>
        <w:rPr>
          <w:sz w:val="24"/>
          <w:szCs w:val="32"/>
        </w:rPr>
        <w:t>1.2.3</w:t>
      </w:r>
      <w:r>
        <w:rPr>
          <w:rFonts w:hint="eastAsia"/>
          <w:sz w:val="24"/>
          <w:szCs w:val="32"/>
        </w:rPr>
        <w:t>.</w:t>
      </w:r>
      <w:r>
        <w:rPr>
          <w:sz w:val="24"/>
          <w:szCs w:val="32"/>
        </w:rPr>
        <w:t>9</w:t>
      </w:r>
      <w:r>
        <w:rPr>
          <w:rFonts w:hint="eastAsia"/>
          <w:sz w:val="24"/>
          <w:szCs w:val="32"/>
        </w:rPr>
        <w:t>设备相关性能指标的测试记录文档；</w:t>
      </w:r>
    </w:p>
    <w:p w14:paraId="33C6BFDA">
      <w:pPr>
        <w:spacing w:line="360" w:lineRule="auto"/>
        <w:rPr>
          <w:sz w:val="24"/>
          <w:szCs w:val="32"/>
        </w:rPr>
      </w:pPr>
      <w:r>
        <w:rPr>
          <w:sz w:val="24"/>
          <w:szCs w:val="32"/>
        </w:rPr>
        <w:t>1.2.3</w:t>
      </w:r>
      <w:r>
        <w:rPr>
          <w:rFonts w:hint="eastAsia"/>
          <w:sz w:val="24"/>
          <w:szCs w:val="32"/>
        </w:rPr>
        <w:t>.</w:t>
      </w:r>
      <w:r>
        <w:rPr>
          <w:sz w:val="24"/>
          <w:szCs w:val="32"/>
        </w:rPr>
        <w:t>10</w:t>
      </w:r>
      <w:r>
        <w:rPr>
          <w:rFonts w:hint="eastAsia"/>
          <w:sz w:val="24"/>
          <w:szCs w:val="32"/>
        </w:rPr>
        <w:t>设备装架示意图：如所响应设备为装架式，供应商应提供相应的装架示意图；</w:t>
      </w:r>
    </w:p>
    <w:p w14:paraId="1B34F81B">
      <w:pPr>
        <w:spacing w:line="360" w:lineRule="auto"/>
        <w:rPr>
          <w:sz w:val="24"/>
          <w:szCs w:val="32"/>
        </w:rPr>
      </w:pPr>
      <w:r>
        <w:rPr>
          <w:sz w:val="24"/>
          <w:szCs w:val="32"/>
        </w:rPr>
        <w:t>1.2.3</w:t>
      </w:r>
      <w:r>
        <w:rPr>
          <w:rFonts w:hint="eastAsia"/>
          <w:sz w:val="24"/>
          <w:szCs w:val="32"/>
        </w:rPr>
        <w:t>.</w:t>
      </w:r>
      <w:r>
        <w:rPr>
          <w:sz w:val="24"/>
          <w:szCs w:val="32"/>
        </w:rPr>
        <w:t>11</w:t>
      </w:r>
      <w:r>
        <w:rPr>
          <w:rFonts w:hint="eastAsia"/>
          <w:sz w:val="24"/>
          <w:szCs w:val="32"/>
        </w:rPr>
        <w:t>单台设备和相关部件的可靠性指标，至少包括：设备和部件的无故障运行时间、每年的不可用时间。</w:t>
      </w:r>
    </w:p>
    <w:p w14:paraId="03F075A6">
      <w:pPr>
        <w:spacing w:line="360" w:lineRule="auto"/>
        <w:outlineLvl w:val="2"/>
        <w:rPr>
          <w:sz w:val="24"/>
          <w:szCs w:val="32"/>
        </w:rPr>
      </w:pPr>
      <w:r>
        <w:rPr>
          <w:sz w:val="24"/>
          <w:szCs w:val="32"/>
        </w:rPr>
        <w:t>1.3</w:t>
      </w:r>
      <w:r>
        <w:rPr>
          <w:rFonts w:hint="eastAsia"/>
          <w:sz w:val="24"/>
          <w:szCs w:val="32"/>
        </w:rPr>
        <w:t>环境要求</w:t>
      </w:r>
    </w:p>
    <w:p w14:paraId="2EBFBD3E">
      <w:pPr>
        <w:spacing w:line="360" w:lineRule="auto"/>
        <w:ind w:firstLine="480" w:firstLineChars="200"/>
        <w:rPr>
          <w:sz w:val="24"/>
          <w:szCs w:val="32"/>
        </w:rPr>
      </w:pPr>
      <w:r>
        <w:rPr>
          <w:rFonts w:hint="eastAsia"/>
          <w:sz w:val="24"/>
          <w:szCs w:val="32"/>
        </w:rPr>
        <w:t>本次投标的硬件设备应能适应如下环境要求：</w:t>
      </w:r>
    </w:p>
    <w:p w14:paraId="651A3CEC">
      <w:pPr>
        <w:spacing w:line="360" w:lineRule="auto"/>
        <w:rPr>
          <w:sz w:val="24"/>
          <w:szCs w:val="32"/>
        </w:rPr>
      </w:pPr>
      <w:r>
        <w:rPr>
          <w:rFonts w:hint="eastAsia"/>
          <w:sz w:val="24"/>
          <w:szCs w:val="32"/>
        </w:rPr>
        <w:t>1.3.1</w:t>
      </w:r>
      <w:r>
        <w:rPr>
          <w:sz w:val="24"/>
          <w:szCs w:val="32"/>
        </w:rPr>
        <w:tab/>
      </w:r>
      <w:r>
        <w:rPr>
          <w:rFonts w:hint="eastAsia"/>
          <w:sz w:val="24"/>
          <w:szCs w:val="32"/>
        </w:rPr>
        <w:t>温度：</w:t>
      </w:r>
      <w:r>
        <w:rPr>
          <w:sz w:val="24"/>
          <w:szCs w:val="32"/>
        </w:rPr>
        <w:t>5~40</w:t>
      </w:r>
      <w:r>
        <w:rPr>
          <w:rFonts w:hint="eastAsia"/>
          <w:sz w:val="24"/>
          <w:szCs w:val="32"/>
        </w:rPr>
        <w:t>℃</w:t>
      </w:r>
    </w:p>
    <w:p w14:paraId="0D062A6B">
      <w:pPr>
        <w:spacing w:line="360" w:lineRule="auto"/>
        <w:rPr>
          <w:sz w:val="24"/>
          <w:szCs w:val="32"/>
        </w:rPr>
      </w:pPr>
      <w:r>
        <w:rPr>
          <w:rFonts w:hint="eastAsia"/>
          <w:sz w:val="24"/>
          <w:szCs w:val="32"/>
        </w:rPr>
        <w:t>1.3.</w:t>
      </w:r>
      <w:r>
        <w:rPr>
          <w:sz w:val="24"/>
          <w:szCs w:val="32"/>
        </w:rPr>
        <w:t>2</w:t>
      </w:r>
      <w:r>
        <w:rPr>
          <w:sz w:val="24"/>
          <w:szCs w:val="32"/>
        </w:rPr>
        <w:tab/>
      </w:r>
      <w:r>
        <w:rPr>
          <w:rFonts w:hint="eastAsia"/>
          <w:sz w:val="24"/>
          <w:szCs w:val="32"/>
        </w:rPr>
        <w:t>相对湿度：</w:t>
      </w:r>
      <w:r>
        <w:rPr>
          <w:sz w:val="24"/>
          <w:szCs w:val="32"/>
        </w:rPr>
        <w:t>10%</w:t>
      </w:r>
      <w:r>
        <w:rPr>
          <w:rFonts w:hint="eastAsia"/>
          <w:sz w:val="24"/>
          <w:szCs w:val="32"/>
        </w:rPr>
        <w:t>～</w:t>
      </w:r>
      <w:r>
        <w:rPr>
          <w:sz w:val="24"/>
          <w:szCs w:val="32"/>
        </w:rPr>
        <w:t>80%</w:t>
      </w:r>
    </w:p>
    <w:p w14:paraId="11482DA1">
      <w:pPr>
        <w:spacing w:line="360" w:lineRule="auto"/>
        <w:rPr>
          <w:sz w:val="24"/>
          <w:szCs w:val="32"/>
        </w:rPr>
      </w:pPr>
      <w:r>
        <w:rPr>
          <w:rFonts w:hint="eastAsia"/>
          <w:sz w:val="24"/>
          <w:szCs w:val="32"/>
        </w:rPr>
        <w:t>1.3.</w:t>
      </w:r>
      <w:r>
        <w:rPr>
          <w:sz w:val="24"/>
          <w:szCs w:val="32"/>
        </w:rPr>
        <w:t>3</w:t>
      </w:r>
      <w:r>
        <w:rPr>
          <w:sz w:val="24"/>
          <w:szCs w:val="32"/>
        </w:rPr>
        <w:tab/>
      </w:r>
      <w:r>
        <w:rPr>
          <w:rFonts w:hint="eastAsia"/>
          <w:sz w:val="24"/>
          <w:szCs w:val="32"/>
        </w:rPr>
        <w:t>温度变化率：≤</w:t>
      </w:r>
      <w:r>
        <w:rPr>
          <w:sz w:val="24"/>
          <w:szCs w:val="32"/>
        </w:rPr>
        <w:t>10</w:t>
      </w:r>
      <w:r>
        <w:rPr>
          <w:rFonts w:hint="eastAsia"/>
          <w:sz w:val="24"/>
          <w:szCs w:val="32"/>
        </w:rPr>
        <w:t>℃</w:t>
      </w:r>
      <w:r>
        <w:rPr>
          <w:sz w:val="24"/>
          <w:szCs w:val="32"/>
        </w:rPr>
        <w:t>/h</w:t>
      </w:r>
      <w:r>
        <w:rPr>
          <w:rFonts w:hint="eastAsia"/>
          <w:sz w:val="24"/>
          <w:szCs w:val="32"/>
        </w:rPr>
        <w:t>，不结露</w:t>
      </w:r>
    </w:p>
    <w:p w14:paraId="036BF135">
      <w:pPr>
        <w:spacing w:line="360" w:lineRule="auto"/>
        <w:rPr>
          <w:sz w:val="24"/>
          <w:szCs w:val="32"/>
        </w:rPr>
      </w:pPr>
      <w:r>
        <w:rPr>
          <w:rFonts w:hint="eastAsia"/>
          <w:sz w:val="24"/>
          <w:szCs w:val="32"/>
        </w:rPr>
        <w:t>1.3.</w:t>
      </w:r>
      <w:r>
        <w:rPr>
          <w:sz w:val="24"/>
          <w:szCs w:val="32"/>
        </w:rPr>
        <w:t>4</w:t>
      </w:r>
      <w:r>
        <w:rPr>
          <w:sz w:val="24"/>
          <w:szCs w:val="32"/>
        </w:rPr>
        <w:tab/>
      </w:r>
      <w:r>
        <w:rPr>
          <w:rFonts w:hint="eastAsia"/>
          <w:sz w:val="24"/>
          <w:szCs w:val="32"/>
        </w:rPr>
        <w:t>海拔高度：</w:t>
      </w:r>
      <w:r>
        <w:rPr>
          <w:sz w:val="24"/>
          <w:szCs w:val="32"/>
        </w:rPr>
        <w:t>-200</w:t>
      </w:r>
      <w:r>
        <w:rPr>
          <w:rFonts w:hint="eastAsia"/>
          <w:sz w:val="24"/>
          <w:szCs w:val="32"/>
        </w:rPr>
        <w:t>米～</w:t>
      </w:r>
      <w:r>
        <w:rPr>
          <w:sz w:val="24"/>
          <w:szCs w:val="32"/>
        </w:rPr>
        <w:t>3000</w:t>
      </w:r>
      <w:r>
        <w:rPr>
          <w:rFonts w:hint="eastAsia"/>
          <w:sz w:val="24"/>
          <w:szCs w:val="32"/>
        </w:rPr>
        <w:t>米</w:t>
      </w:r>
    </w:p>
    <w:p w14:paraId="64933A61">
      <w:pPr>
        <w:spacing w:line="360" w:lineRule="auto"/>
        <w:rPr>
          <w:sz w:val="24"/>
          <w:szCs w:val="32"/>
        </w:rPr>
      </w:pPr>
      <w:r>
        <w:rPr>
          <w:rFonts w:hint="eastAsia"/>
          <w:sz w:val="24"/>
          <w:szCs w:val="32"/>
        </w:rPr>
        <w:t>1.3.</w:t>
      </w:r>
      <w:r>
        <w:rPr>
          <w:sz w:val="24"/>
          <w:szCs w:val="32"/>
        </w:rPr>
        <w:t>5</w:t>
      </w:r>
      <w:r>
        <w:rPr>
          <w:sz w:val="24"/>
          <w:szCs w:val="32"/>
        </w:rPr>
        <w:tab/>
      </w:r>
      <w:r>
        <w:rPr>
          <w:rFonts w:hint="eastAsia"/>
          <w:sz w:val="24"/>
          <w:szCs w:val="32"/>
        </w:rPr>
        <w:t>防尘：静态条件下测试，主机房空气中≥</w:t>
      </w:r>
      <w:r>
        <w:rPr>
          <w:sz w:val="24"/>
          <w:szCs w:val="32"/>
        </w:rPr>
        <w:t>0.5</w:t>
      </w:r>
      <w:r>
        <w:rPr>
          <w:rFonts w:hint="eastAsia"/>
          <w:sz w:val="24"/>
          <w:szCs w:val="32"/>
        </w:rPr>
        <w:t>μ</w:t>
      </w:r>
      <w:r>
        <w:rPr>
          <w:sz w:val="24"/>
          <w:szCs w:val="32"/>
        </w:rPr>
        <w:t>m</w:t>
      </w:r>
      <w:r>
        <w:rPr>
          <w:rFonts w:hint="eastAsia"/>
          <w:sz w:val="24"/>
          <w:szCs w:val="32"/>
        </w:rPr>
        <w:t>的尘粒数，少于</w:t>
      </w:r>
      <w:r>
        <w:rPr>
          <w:sz w:val="24"/>
          <w:szCs w:val="32"/>
        </w:rPr>
        <w:t>18000</w:t>
      </w:r>
      <w:r>
        <w:rPr>
          <w:rFonts w:hint="eastAsia"/>
          <w:sz w:val="24"/>
          <w:szCs w:val="32"/>
        </w:rPr>
        <w:t>粒</w:t>
      </w:r>
      <w:r>
        <w:rPr>
          <w:sz w:val="24"/>
          <w:szCs w:val="32"/>
        </w:rPr>
        <w:t>/</w:t>
      </w:r>
      <w:r>
        <w:rPr>
          <w:rFonts w:hint="eastAsia"/>
          <w:sz w:val="24"/>
          <w:szCs w:val="32"/>
        </w:rPr>
        <w:t>升</w:t>
      </w:r>
    </w:p>
    <w:p w14:paraId="5DF83CF6">
      <w:pPr>
        <w:spacing w:line="360" w:lineRule="auto"/>
        <w:rPr>
          <w:sz w:val="24"/>
          <w:szCs w:val="32"/>
        </w:rPr>
      </w:pPr>
      <w:r>
        <w:rPr>
          <w:rFonts w:hint="eastAsia"/>
          <w:sz w:val="24"/>
          <w:szCs w:val="32"/>
        </w:rPr>
        <w:t>1.3.</w:t>
      </w:r>
      <w:r>
        <w:rPr>
          <w:sz w:val="24"/>
          <w:szCs w:val="32"/>
        </w:rPr>
        <w:t>6</w:t>
      </w:r>
      <w:r>
        <w:rPr>
          <w:sz w:val="24"/>
          <w:szCs w:val="32"/>
        </w:rPr>
        <w:tab/>
      </w:r>
      <w:r>
        <w:rPr>
          <w:rFonts w:hint="eastAsia"/>
          <w:sz w:val="24"/>
          <w:szCs w:val="32"/>
        </w:rPr>
        <w:t>额定电压交流220～240</w:t>
      </w:r>
      <w:r>
        <w:rPr>
          <w:sz w:val="24"/>
          <w:szCs w:val="32"/>
        </w:rPr>
        <w:t xml:space="preserve">V  </w:t>
      </w:r>
      <w:r>
        <w:rPr>
          <w:rFonts w:hint="eastAsia"/>
          <w:sz w:val="24"/>
          <w:szCs w:val="32"/>
        </w:rPr>
        <w:t>直流</w:t>
      </w:r>
      <w:r>
        <w:rPr>
          <w:sz w:val="24"/>
          <w:szCs w:val="32"/>
        </w:rPr>
        <w:t>-48V</w:t>
      </w:r>
      <w:r>
        <w:rPr>
          <w:rFonts w:hint="eastAsia"/>
          <w:sz w:val="24"/>
          <w:szCs w:val="32"/>
        </w:rPr>
        <w:t>～</w:t>
      </w:r>
      <w:r>
        <w:rPr>
          <w:sz w:val="24"/>
          <w:szCs w:val="32"/>
        </w:rPr>
        <w:t>-57V</w:t>
      </w:r>
    </w:p>
    <w:p w14:paraId="0CEA1DA0">
      <w:pPr>
        <w:spacing w:line="360" w:lineRule="auto"/>
        <w:ind w:firstLine="480" w:firstLineChars="200"/>
        <w:rPr>
          <w:sz w:val="24"/>
          <w:szCs w:val="32"/>
        </w:rPr>
      </w:pPr>
      <w:r>
        <w:rPr>
          <w:rFonts w:hint="eastAsia"/>
          <w:sz w:val="24"/>
          <w:szCs w:val="32"/>
        </w:rPr>
        <w:t>投标设备如不能适应上述要求时请说明。同时，投标人须详细提供所有投标设备对机房环境的要求，诸如：运行及非运行状态时的温度、湿度、防尘、设备噪声强度、各种电磁干扰等要求，以及运输、长期和短期储存要求等。</w:t>
      </w:r>
      <w:bookmarkEnd w:id="59"/>
    </w:p>
    <w:p w14:paraId="6C5CEDE4">
      <w:pPr>
        <w:spacing w:line="360" w:lineRule="auto"/>
        <w:outlineLvl w:val="1"/>
        <w:rPr>
          <w:b/>
          <w:sz w:val="24"/>
        </w:rPr>
      </w:pPr>
      <w:r>
        <w:rPr>
          <w:rFonts w:hint="eastAsia"/>
          <w:b/>
          <w:sz w:val="24"/>
        </w:rPr>
        <w:t>二、技术要求</w:t>
      </w:r>
    </w:p>
    <w:p w14:paraId="02B3B543">
      <w:pPr>
        <w:spacing w:line="360" w:lineRule="auto"/>
        <w:outlineLvl w:val="2"/>
        <w:rPr>
          <w:sz w:val="24"/>
          <w:szCs w:val="32"/>
        </w:rPr>
      </w:pPr>
      <w:r>
        <w:rPr>
          <w:rFonts w:hint="eastAsia"/>
          <w:sz w:val="24"/>
          <w:szCs w:val="21"/>
        </w:rPr>
        <w:t>★</w:t>
      </w:r>
      <w:r>
        <w:rPr>
          <w:rFonts w:hint="eastAsia"/>
          <w:sz w:val="24"/>
          <w:szCs w:val="32"/>
        </w:rPr>
        <w:t>2.1、AP设备数量及技术要求</w:t>
      </w:r>
    </w:p>
    <w:p w14:paraId="60313EB6">
      <w:pPr>
        <w:pStyle w:val="21"/>
        <w:rPr>
          <w:sz w:val="24"/>
          <w:szCs w:val="32"/>
        </w:rPr>
      </w:pPr>
      <w:r>
        <w:rPr>
          <w:rFonts w:hint="eastAsia"/>
          <w:sz w:val="24"/>
          <w:szCs w:val="32"/>
        </w:rPr>
        <w:t>2.1.1、AP设备数量要求</w:t>
      </w:r>
    </w:p>
    <w:p w14:paraId="312D895E">
      <w:pPr>
        <w:spacing w:line="360" w:lineRule="auto"/>
        <w:ind w:firstLine="480" w:firstLineChars="200"/>
        <w:rPr>
          <w:sz w:val="24"/>
          <w:szCs w:val="32"/>
        </w:rPr>
      </w:pPr>
      <w:r>
        <w:rPr>
          <w:rFonts w:hint="eastAsia"/>
          <w:sz w:val="24"/>
          <w:szCs w:val="32"/>
        </w:rPr>
        <w:t>新增69套高性能AP及授权（包括面板AP 20个、放装AP 25个和高密AP 24个），主要涉及1号楼核心区域、2号楼公寓区和木屋会议室。通过设备调优，解决信道干扰等问题。具体点位情况如下表所示。</w:t>
      </w:r>
    </w:p>
    <w:tbl>
      <w:tblPr>
        <w:tblStyle w:val="53"/>
        <w:tblW w:w="9232" w:type="dxa"/>
        <w:jc w:val="center"/>
        <w:tblLayout w:type="fixed"/>
        <w:tblCellMar>
          <w:top w:w="0" w:type="dxa"/>
          <w:left w:w="108" w:type="dxa"/>
          <w:bottom w:w="0" w:type="dxa"/>
          <w:right w:w="108" w:type="dxa"/>
        </w:tblCellMar>
      </w:tblPr>
      <w:tblGrid>
        <w:gridCol w:w="427"/>
        <w:gridCol w:w="427"/>
        <w:gridCol w:w="520"/>
        <w:gridCol w:w="600"/>
        <w:gridCol w:w="1500"/>
        <w:gridCol w:w="1581"/>
        <w:gridCol w:w="741"/>
        <w:gridCol w:w="620"/>
        <w:gridCol w:w="660"/>
        <w:gridCol w:w="1556"/>
        <w:gridCol w:w="600"/>
      </w:tblGrid>
      <w:tr w14:paraId="7C672B0C">
        <w:tblPrEx>
          <w:tblCellMar>
            <w:top w:w="0" w:type="dxa"/>
            <w:left w:w="108" w:type="dxa"/>
            <w:bottom w:w="0" w:type="dxa"/>
            <w:right w:w="108" w:type="dxa"/>
          </w:tblCellMar>
        </w:tblPrEx>
        <w:trPr>
          <w:trHeight w:val="291"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14:paraId="436941A4">
            <w:pPr>
              <w:widowControl/>
              <w:jc w:val="center"/>
              <w:rPr>
                <w:rFonts w:ascii="宋体" w:hAnsi="宋体" w:cs="宋体"/>
                <w:b/>
                <w:bCs/>
                <w:kern w:val="0"/>
                <w:szCs w:val="21"/>
              </w:rPr>
            </w:pPr>
            <w:r>
              <w:rPr>
                <w:rFonts w:hint="eastAsia" w:ascii="宋体" w:hAnsi="宋体" w:cs="宋体"/>
                <w:b/>
                <w:bCs/>
                <w:kern w:val="0"/>
                <w:szCs w:val="21"/>
              </w:rPr>
              <w:t>编号</w:t>
            </w:r>
          </w:p>
        </w:tc>
        <w:tc>
          <w:tcPr>
            <w:tcW w:w="427" w:type="dxa"/>
            <w:vMerge w:val="restart"/>
            <w:tcBorders>
              <w:top w:val="single" w:color="auto" w:sz="4" w:space="0"/>
              <w:left w:val="single" w:color="auto" w:sz="4" w:space="0"/>
              <w:bottom w:val="single" w:color="000000" w:sz="4" w:space="0"/>
              <w:right w:val="single" w:color="auto" w:sz="4" w:space="0"/>
            </w:tcBorders>
            <w:vAlign w:val="center"/>
          </w:tcPr>
          <w:p w14:paraId="77B48C07">
            <w:pPr>
              <w:widowControl/>
              <w:jc w:val="center"/>
              <w:rPr>
                <w:rFonts w:ascii="宋体" w:hAnsi="宋体" w:cs="宋体"/>
                <w:b/>
                <w:bCs/>
                <w:kern w:val="0"/>
                <w:szCs w:val="21"/>
              </w:rPr>
            </w:pPr>
            <w:r>
              <w:rPr>
                <w:rFonts w:hint="eastAsia" w:ascii="宋体" w:hAnsi="宋体" w:cs="宋体"/>
                <w:b/>
                <w:bCs/>
                <w:kern w:val="0"/>
                <w:szCs w:val="21"/>
              </w:rPr>
              <w:t>楼栋</w:t>
            </w:r>
          </w:p>
        </w:tc>
        <w:tc>
          <w:tcPr>
            <w:tcW w:w="520" w:type="dxa"/>
            <w:vMerge w:val="restart"/>
            <w:tcBorders>
              <w:top w:val="single" w:color="auto" w:sz="4" w:space="0"/>
              <w:left w:val="single" w:color="auto" w:sz="4" w:space="0"/>
              <w:bottom w:val="single" w:color="000000" w:sz="4" w:space="0"/>
              <w:right w:val="single" w:color="auto" w:sz="4" w:space="0"/>
            </w:tcBorders>
            <w:noWrap/>
            <w:vAlign w:val="center"/>
          </w:tcPr>
          <w:p w14:paraId="31E7358D">
            <w:pPr>
              <w:widowControl/>
              <w:jc w:val="center"/>
              <w:rPr>
                <w:rFonts w:ascii="宋体" w:hAnsi="宋体" w:cs="宋体"/>
                <w:b/>
                <w:bCs/>
                <w:kern w:val="0"/>
                <w:szCs w:val="21"/>
              </w:rPr>
            </w:pPr>
            <w:r>
              <w:rPr>
                <w:rFonts w:hint="eastAsia" w:ascii="宋体" w:hAnsi="宋体" w:cs="宋体"/>
                <w:b/>
                <w:bCs/>
                <w:kern w:val="0"/>
                <w:szCs w:val="21"/>
              </w:rPr>
              <w:t>楼层</w:t>
            </w:r>
          </w:p>
        </w:tc>
        <w:tc>
          <w:tcPr>
            <w:tcW w:w="600" w:type="dxa"/>
            <w:vMerge w:val="restart"/>
            <w:tcBorders>
              <w:top w:val="single" w:color="auto" w:sz="4" w:space="0"/>
              <w:left w:val="single" w:color="auto" w:sz="4" w:space="0"/>
              <w:bottom w:val="single" w:color="000000" w:sz="4" w:space="0"/>
              <w:right w:val="single" w:color="auto" w:sz="4" w:space="0"/>
            </w:tcBorders>
            <w:vAlign w:val="center"/>
          </w:tcPr>
          <w:p w14:paraId="3D8DF2DD">
            <w:pPr>
              <w:widowControl/>
              <w:jc w:val="center"/>
              <w:rPr>
                <w:rFonts w:ascii="宋体" w:hAnsi="宋体" w:cs="宋体"/>
                <w:b/>
                <w:bCs/>
                <w:kern w:val="0"/>
                <w:szCs w:val="21"/>
              </w:rPr>
            </w:pPr>
            <w:r>
              <w:rPr>
                <w:rFonts w:hint="eastAsia" w:ascii="宋体" w:hAnsi="宋体" w:cs="宋体"/>
                <w:b/>
                <w:bCs/>
                <w:kern w:val="0"/>
                <w:szCs w:val="21"/>
              </w:rPr>
              <w:t>房间号</w:t>
            </w:r>
          </w:p>
        </w:tc>
        <w:tc>
          <w:tcPr>
            <w:tcW w:w="1500" w:type="dxa"/>
            <w:vMerge w:val="restart"/>
            <w:tcBorders>
              <w:top w:val="single" w:color="auto" w:sz="4" w:space="0"/>
              <w:left w:val="single" w:color="auto" w:sz="4" w:space="0"/>
              <w:bottom w:val="single" w:color="000000" w:sz="4" w:space="0"/>
              <w:right w:val="single" w:color="auto" w:sz="4" w:space="0"/>
            </w:tcBorders>
            <w:noWrap/>
            <w:vAlign w:val="center"/>
          </w:tcPr>
          <w:p w14:paraId="0D78F05E">
            <w:pPr>
              <w:widowControl/>
              <w:jc w:val="center"/>
              <w:rPr>
                <w:rFonts w:ascii="宋体" w:hAnsi="宋体" w:cs="宋体"/>
                <w:b/>
                <w:bCs/>
                <w:kern w:val="0"/>
                <w:szCs w:val="21"/>
              </w:rPr>
            </w:pPr>
            <w:r>
              <w:rPr>
                <w:rFonts w:hint="eastAsia" w:ascii="宋体" w:hAnsi="宋体" w:cs="宋体"/>
                <w:b/>
                <w:bCs/>
                <w:kern w:val="0"/>
                <w:szCs w:val="21"/>
              </w:rPr>
              <w:t>房间名称</w:t>
            </w:r>
          </w:p>
        </w:tc>
        <w:tc>
          <w:tcPr>
            <w:tcW w:w="2942" w:type="dxa"/>
            <w:gridSpan w:val="3"/>
            <w:tcBorders>
              <w:top w:val="single" w:color="auto" w:sz="4" w:space="0"/>
              <w:left w:val="nil"/>
              <w:bottom w:val="single" w:color="auto" w:sz="4" w:space="0"/>
              <w:right w:val="single" w:color="auto" w:sz="4" w:space="0"/>
            </w:tcBorders>
            <w:noWrap/>
            <w:vAlign w:val="center"/>
          </w:tcPr>
          <w:p w14:paraId="3CC47881">
            <w:pPr>
              <w:widowControl/>
              <w:jc w:val="center"/>
              <w:rPr>
                <w:rFonts w:ascii="宋体" w:hAnsi="宋体" w:cs="宋体"/>
                <w:b/>
                <w:bCs/>
                <w:kern w:val="0"/>
                <w:szCs w:val="21"/>
              </w:rPr>
            </w:pPr>
            <w:r>
              <w:rPr>
                <w:rFonts w:hint="eastAsia" w:ascii="宋体" w:hAnsi="宋体" w:cs="宋体"/>
                <w:b/>
                <w:bCs/>
                <w:kern w:val="0"/>
                <w:szCs w:val="21"/>
              </w:rPr>
              <w:t>现状</w:t>
            </w:r>
          </w:p>
        </w:tc>
        <w:tc>
          <w:tcPr>
            <w:tcW w:w="2816" w:type="dxa"/>
            <w:gridSpan w:val="3"/>
            <w:tcBorders>
              <w:top w:val="single" w:color="auto" w:sz="4" w:space="0"/>
              <w:left w:val="nil"/>
              <w:bottom w:val="single" w:color="auto" w:sz="4" w:space="0"/>
              <w:right w:val="single" w:color="auto" w:sz="4" w:space="0"/>
            </w:tcBorders>
            <w:noWrap/>
            <w:vAlign w:val="center"/>
          </w:tcPr>
          <w:p w14:paraId="4AE962EC">
            <w:pPr>
              <w:widowControl/>
              <w:jc w:val="center"/>
              <w:rPr>
                <w:rFonts w:ascii="宋体" w:hAnsi="宋体" w:cs="宋体"/>
                <w:b/>
                <w:bCs/>
                <w:kern w:val="0"/>
                <w:szCs w:val="21"/>
              </w:rPr>
            </w:pPr>
            <w:r>
              <w:rPr>
                <w:rFonts w:hint="eastAsia" w:ascii="宋体" w:hAnsi="宋体" w:cs="宋体"/>
                <w:b/>
                <w:bCs/>
                <w:kern w:val="0"/>
                <w:szCs w:val="21"/>
              </w:rPr>
              <w:t>优化方案</w:t>
            </w:r>
          </w:p>
        </w:tc>
      </w:tr>
      <w:tr w14:paraId="003E5DBF">
        <w:tblPrEx>
          <w:tblCellMar>
            <w:top w:w="0" w:type="dxa"/>
            <w:left w:w="108" w:type="dxa"/>
            <w:bottom w:w="0" w:type="dxa"/>
            <w:right w:w="108" w:type="dxa"/>
          </w:tblCellMar>
        </w:tblPrEx>
        <w:trPr>
          <w:trHeight w:val="581" w:hRule="atLeast"/>
          <w:jc w:val="center"/>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2BC2F751">
            <w:pPr>
              <w:widowControl/>
              <w:jc w:val="left"/>
              <w:rPr>
                <w:rFonts w:ascii="宋体" w:hAnsi="宋体" w:cs="宋体"/>
                <w:b/>
                <w:bCs/>
                <w:kern w:val="0"/>
                <w:szCs w:val="21"/>
              </w:rPr>
            </w:pPr>
          </w:p>
        </w:tc>
        <w:tc>
          <w:tcPr>
            <w:tcW w:w="427" w:type="dxa"/>
            <w:vMerge w:val="continue"/>
            <w:tcBorders>
              <w:top w:val="single" w:color="auto" w:sz="4" w:space="0"/>
              <w:left w:val="single" w:color="auto" w:sz="4" w:space="0"/>
              <w:bottom w:val="single" w:color="000000" w:sz="4" w:space="0"/>
              <w:right w:val="single" w:color="auto" w:sz="4" w:space="0"/>
            </w:tcBorders>
            <w:vAlign w:val="center"/>
          </w:tcPr>
          <w:p w14:paraId="37F45C58">
            <w:pPr>
              <w:widowControl/>
              <w:jc w:val="left"/>
              <w:rPr>
                <w:rFonts w:ascii="宋体" w:hAnsi="宋体" w:cs="宋体"/>
                <w:b/>
                <w:bCs/>
                <w:kern w:val="0"/>
                <w:szCs w:val="21"/>
              </w:rPr>
            </w:pPr>
          </w:p>
        </w:tc>
        <w:tc>
          <w:tcPr>
            <w:tcW w:w="520" w:type="dxa"/>
            <w:vMerge w:val="continue"/>
            <w:tcBorders>
              <w:top w:val="single" w:color="auto" w:sz="4" w:space="0"/>
              <w:left w:val="single" w:color="auto" w:sz="4" w:space="0"/>
              <w:bottom w:val="single" w:color="000000" w:sz="4" w:space="0"/>
              <w:right w:val="single" w:color="auto" w:sz="4" w:space="0"/>
            </w:tcBorders>
            <w:vAlign w:val="center"/>
          </w:tcPr>
          <w:p w14:paraId="037B8EA4">
            <w:pPr>
              <w:widowControl/>
              <w:jc w:val="left"/>
              <w:rPr>
                <w:rFonts w:ascii="宋体" w:hAnsi="宋体" w:cs="宋体"/>
                <w:b/>
                <w:bCs/>
                <w:kern w:val="0"/>
                <w:szCs w:val="21"/>
              </w:rPr>
            </w:pPr>
          </w:p>
        </w:tc>
        <w:tc>
          <w:tcPr>
            <w:tcW w:w="600" w:type="dxa"/>
            <w:vMerge w:val="continue"/>
            <w:tcBorders>
              <w:top w:val="single" w:color="auto" w:sz="4" w:space="0"/>
              <w:left w:val="single" w:color="auto" w:sz="4" w:space="0"/>
              <w:bottom w:val="single" w:color="000000" w:sz="4" w:space="0"/>
              <w:right w:val="single" w:color="auto" w:sz="4" w:space="0"/>
            </w:tcBorders>
            <w:vAlign w:val="center"/>
          </w:tcPr>
          <w:p w14:paraId="2583B0F5">
            <w:pPr>
              <w:widowControl/>
              <w:jc w:val="left"/>
              <w:rPr>
                <w:rFonts w:ascii="宋体" w:hAnsi="宋体" w:cs="宋体"/>
                <w:b/>
                <w:bCs/>
                <w:kern w:val="0"/>
                <w:szCs w:val="21"/>
              </w:rPr>
            </w:pPr>
          </w:p>
        </w:tc>
        <w:tc>
          <w:tcPr>
            <w:tcW w:w="1500" w:type="dxa"/>
            <w:vMerge w:val="continue"/>
            <w:tcBorders>
              <w:top w:val="single" w:color="auto" w:sz="4" w:space="0"/>
              <w:left w:val="single" w:color="auto" w:sz="4" w:space="0"/>
              <w:bottom w:val="single" w:color="000000" w:sz="4" w:space="0"/>
              <w:right w:val="single" w:color="auto" w:sz="4" w:space="0"/>
            </w:tcBorders>
            <w:vAlign w:val="center"/>
          </w:tcPr>
          <w:p w14:paraId="27C1C87D">
            <w:pPr>
              <w:widowControl/>
              <w:jc w:val="left"/>
              <w:rPr>
                <w:rFonts w:ascii="宋体" w:hAnsi="宋体" w:cs="宋体"/>
                <w:b/>
                <w:bCs/>
                <w:kern w:val="0"/>
                <w:szCs w:val="21"/>
              </w:rPr>
            </w:pPr>
          </w:p>
        </w:tc>
        <w:tc>
          <w:tcPr>
            <w:tcW w:w="1581" w:type="dxa"/>
            <w:tcBorders>
              <w:top w:val="nil"/>
              <w:left w:val="nil"/>
              <w:bottom w:val="single" w:color="auto" w:sz="4" w:space="0"/>
              <w:right w:val="single" w:color="auto" w:sz="4" w:space="0"/>
            </w:tcBorders>
            <w:vAlign w:val="center"/>
          </w:tcPr>
          <w:p w14:paraId="790D8167">
            <w:pPr>
              <w:widowControl/>
              <w:jc w:val="center"/>
              <w:rPr>
                <w:rFonts w:ascii="宋体" w:hAnsi="宋体" w:cs="宋体"/>
                <w:b/>
                <w:bCs/>
                <w:kern w:val="0"/>
                <w:szCs w:val="21"/>
              </w:rPr>
            </w:pPr>
            <w:r>
              <w:rPr>
                <w:rFonts w:hint="eastAsia" w:ascii="宋体" w:hAnsi="宋体" w:cs="宋体"/>
                <w:b/>
                <w:bCs/>
                <w:kern w:val="0"/>
                <w:szCs w:val="21"/>
              </w:rPr>
              <w:t>现有型号</w:t>
            </w:r>
          </w:p>
        </w:tc>
        <w:tc>
          <w:tcPr>
            <w:tcW w:w="741" w:type="dxa"/>
            <w:tcBorders>
              <w:top w:val="nil"/>
              <w:left w:val="nil"/>
              <w:bottom w:val="single" w:color="auto" w:sz="4" w:space="0"/>
              <w:right w:val="single" w:color="auto" w:sz="4" w:space="0"/>
            </w:tcBorders>
            <w:vAlign w:val="center"/>
          </w:tcPr>
          <w:p w14:paraId="65D4CDA6">
            <w:pPr>
              <w:widowControl/>
              <w:jc w:val="center"/>
              <w:rPr>
                <w:rFonts w:ascii="宋体" w:hAnsi="宋体" w:cs="宋体"/>
                <w:b/>
                <w:bCs/>
                <w:kern w:val="0"/>
                <w:szCs w:val="21"/>
              </w:rPr>
            </w:pPr>
            <w:r>
              <w:rPr>
                <w:rFonts w:hint="eastAsia" w:ascii="宋体" w:hAnsi="宋体" w:cs="宋体"/>
                <w:b/>
                <w:bCs/>
                <w:kern w:val="0"/>
                <w:szCs w:val="21"/>
              </w:rPr>
              <w:t>支持协议</w:t>
            </w:r>
          </w:p>
        </w:tc>
        <w:tc>
          <w:tcPr>
            <w:tcW w:w="620" w:type="dxa"/>
            <w:tcBorders>
              <w:top w:val="nil"/>
              <w:left w:val="nil"/>
              <w:bottom w:val="single" w:color="auto" w:sz="4" w:space="0"/>
              <w:right w:val="single" w:color="auto" w:sz="4" w:space="0"/>
            </w:tcBorders>
            <w:noWrap/>
            <w:vAlign w:val="center"/>
          </w:tcPr>
          <w:p w14:paraId="24C4E63D">
            <w:pPr>
              <w:widowControl/>
              <w:jc w:val="center"/>
              <w:rPr>
                <w:rFonts w:ascii="宋体" w:hAnsi="宋体" w:cs="宋体"/>
                <w:b/>
                <w:bCs/>
                <w:kern w:val="0"/>
                <w:szCs w:val="21"/>
              </w:rPr>
            </w:pPr>
            <w:r>
              <w:rPr>
                <w:rFonts w:hint="eastAsia" w:ascii="宋体" w:hAnsi="宋体" w:cs="宋体"/>
                <w:b/>
                <w:bCs/>
                <w:kern w:val="0"/>
                <w:szCs w:val="21"/>
              </w:rPr>
              <w:t>数量</w:t>
            </w:r>
          </w:p>
        </w:tc>
        <w:tc>
          <w:tcPr>
            <w:tcW w:w="660" w:type="dxa"/>
            <w:tcBorders>
              <w:top w:val="nil"/>
              <w:left w:val="nil"/>
              <w:bottom w:val="single" w:color="auto" w:sz="4" w:space="0"/>
              <w:right w:val="single" w:color="auto" w:sz="4" w:space="0"/>
            </w:tcBorders>
            <w:vAlign w:val="center"/>
          </w:tcPr>
          <w:p w14:paraId="5263FF35">
            <w:pPr>
              <w:widowControl/>
              <w:jc w:val="center"/>
              <w:rPr>
                <w:rFonts w:ascii="宋体" w:hAnsi="宋体" w:cs="宋体"/>
                <w:b/>
                <w:bCs/>
                <w:kern w:val="0"/>
                <w:szCs w:val="21"/>
              </w:rPr>
            </w:pPr>
            <w:r>
              <w:rPr>
                <w:rFonts w:hint="eastAsia" w:ascii="宋体" w:hAnsi="宋体" w:cs="宋体"/>
                <w:b/>
                <w:bCs/>
                <w:kern w:val="0"/>
                <w:szCs w:val="21"/>
              </w:rPr>
              <w:t>实施方案</w:t>
            </w:r>
          </w:p>
        </w:tc>
        <w:tc>
          <w:tcPr>
            <w:tcW w:w="1556" w:type="dxa"/>
            <w:tcBorders>
              <w:top w:val="nil"/>
              <w:left w:val="nil"/>
              <w:bottom w:val="single" w:color="auto" w:sz="4" w:space="0"/>
              <w:right w:val="single" w:color="auto" w:sz="4" w:space="0"/>
            </w:tcBorders>
            <w:vAlign w:val="center"/>
          </w:tcPr>
          <w:p w14:paraId="6F9915E1">
            <w:pPr>
              <w:widowControl/>
              <w:jc w:val="center"/>
              <w:rPr>
                <w:rFonts w:ascii="宋体" w:hAnsi="宋体" w:cs="宋体"/>
                <w:b/>
                <w:bCs/>
                <w:kern w:val="0"/>
                <w:szCs w:val="21"/>
              </w:rPr>
            </w:pPr>
            <w:r>
              <w:rPr>
                <w:rFonts w:hint="eastAsia" w:ascii="宋体" w:hAnsi="宋体" w:cs="宋体"/>
                <w:b/>
                <w:bCs/>
                <w:kern w:val="0"/>
                <w:szCs w:val="21"/>
              </w:rPr>
              <w:t>设备属性</w:t>
            </w:r>
          </w:p>
        </w:tc>
        <w:tc>
          <w:tcPr>
            <w:tcW w:w="600" w:type="dxa"/>
            <w:tcBorders>
              <w:top w:val="nil"/>
              <w:left w:val="nil"/>
              <w:bottom w:val="single" w:color="auto" w:sz="4" w:space="0"/>
              <w:right w:val="single" w:color="auto" w:sz="4" w:space="0"/>
            </w:tcBorders>
            <w:noWrap/>
            <w:vAlign w:val="center"/>
          </w:tcPr>
          <w:p w14:paraId="1DDB0199">
            <w:pPr>
              <w:widowControl/>
              <w:jc w:val="center"/>
              <w:rPr>
                <w:rFonts w:ascii="宋体" w:hAnsi="宋体" w:cs="宋体"/>
                <w:b/>
                <w:bCs/>
                <w:kern w:val="0"/>
                <w:szCs w:val="21"/>
              </w:rPr>
            </w:pPr>
            <w:r>
              <w:rPr>
                <w:rFonts w:hint="eastAsia" w:ascii="宋体" w:hAnsi="宋体" w:cs="宋体"/>
                <w:b/>
                <w:bCs/>
                <w:kern w:val="0"/>
                <w:szCs w:val="21"/>
              </w:rPr>
              <w:t>数量</w:t>
            </w:r>
          </w:p>
        </w:tc>
      </w:tr>
      <w:tr w14:paraId="0FABA1EB">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538E8D69">
            <w:pPr>
              <w:widowControl/>
              <w:jc w:val="center"/>
              <w:rPr>
                <w:rFonts w:ascii="宋体" w:hAnsi="宋体" w:cs="宋体"/>
                <w:kern w:val="0"/>
                <w:szCs w:val="21"/>
              </w:rPr>
            </w:pPr>
            <w:r>
              <w:rPr>
                <w:rFonts w:hint="eastAsia" w:ascii="宋体" w:hAnsi="宋体" w:cs="宋体"/>
                <w:kern w:val="0"/>
                <w:szCs w:val="21"/>
              </w:rPr>
              <w:t>1</w:t>
            </w:r>
          </w:p>
        </w:tc>
        <w:tc>
          <w:tcPr>
            <w:tcW w:w="427" w:type="dxa"/>
            <w:vMerge w:val="restart"/>
            <w:tcBorders>
              <w:top w:val="nil"/>
              <w:left w:val="single" w:color="auto" w:sz="4" w:space="0"/>
              <w:bottom w:val="single" w:color="000000" w:sz="4" w:space="0"/>
              <w:right w:val="single" w:color="auto" w:sz="4" w:space="0"/>
            </w:tcBorders>
            <w:vAlign w:val="center"/>
          </w:tcPr>
          <w:p w14:paraId="75C8D9D0">
            <w:pPr>
              <w:widowControl/>
              <w:jc w:val="center"/>
              <w:rPr>
                <w:rFonts w:ascii="宋体" w:hAnsi="宋体" w:cs="宋体"/>
                <w:kern w:val="0"/>
                <w:szCs w:val="21"/>
              </w:rPr>
            </w:pPr>
            <w:r>
              <w:rPr>
                <w:rFonts w:hint="eastAsia" w:ascii="宋体" w:hAnsi="宋体" w:cs="宋体"/>
                <w:kern w:val="0"/>
                <w:szCs w:val="21"/>
              </w:rPr>
              <w:t>1号楼</w:t>
            </w:r>
          </w:p>
        </w:tc>
        <w:tc>
          <w:tcPr>
            <w:tcW w:w="520" w:type="dxa"/>
            <w:vMerge w:val="restart"/>
            <w:tcBorders>
              <w:top w:val="nil"/>
              <w:left w:val="single" w:color="auto" w:sz="4" w:space="0"/>
              <w:bottom w:val="single" w:color="000000" w:sz="4" w:space="0"/>
              <w:right w:val="single" w:color="auto" w:sz="4" w:space="0"/>
            </w:tcBorders>
            <w:noWrap/>
            <w:vAlign w:val="center"/>
          </w:tcPr>
          <w:p w14:paraId="6147A5B5">
            <w:pPr>
              <w:widowControl/>
              <w:jc w:val="center"/>
              <w:rPr>
                <w:rFonts w:ascii="宋体" w:hAnsi="宋体" w:cs="宋体"/>
                <w:kern w:val="0"/>
                <w:szCs w:val="21"/>
              </w:rPr>
            </w:pPr>
            <w:r>
              <w:rPr>
                <w:rFonts w:hint="eastAsia" w:ascii="宋体" w:hAnsi="宋体" w:cs="宋体"/>
                <w:kern w:val="0"/>
                <w:szCs w:val="21"/>
              </w:rPr>
              <w:t>1F</w:t>
            </w:r>
          </w:p>
        </w:tc>
        <w:tc>
          <w:tcPr>
            <w:tcW w:w="600" w:type="dxa"/>
            <w:tcBorders>
              <w:top w:val="nil"/>
              <w:left w:val="nil"/>
              <w:bottom w:val="single" w:color="auto" w:sz="4" w:space="0"/>
              <w:right w:val="single" w:color="auto" w:sz="4" w:space="0"/>
            </w:tcBorders>
            <w:vAlign w:val="center"/>
          </w:tcPr>
          <w:p w14:paraId="3995B5F5">
            <w:pPr>
              <w:widowControl/>
              <w:jc w:val="center"/>
              <w:rPr>
                <w:rFonts w:ascii="宋体" w:hAnsi="宋体" w:cs="宋体"/>
                <w:kern w:val="0"/>
                <w:szCs w:val="21"/>
              </w:rPr>
            </w:pPr>
            <w:r>
              <w:rPr>
                <w:rFonts w:hint="eastAsia" w:ascii="宋体" w:hAnsi="宋体" w:cs="宋体"/>
                <w:kern w:val="0"/>
                <w:szCs w:val="21"/>
              </w:rPr>
              <w:t>111</w:t>
            </w:r>
          </w:p>
        </w:tc>
        <w:tc>
          <w:tcPr>
            <w:tcW w:w="1500" w:type="dxa"/>
            <w:tcBorders>
              <w:top w:val="nil"/>
              <w:left w:val="nil"/>
              <w:bottom w:val="single" w:color="auto" w:sz="4" w:space="0"/>
              <w:right w:val="single" w:color="auto" w:sz="4" w:space="0"/>
            </w:tcBorders>
            <w:noWrap/>
            <w:vAlign w:val="center"/>
          </w:tcPr>
          <w:p w14:paraId="494A68A5">
            <w:pPr>
              <w:widowControl/>
              <w:jc w:val="center"/>
              <w:rPr>
                <w:rFonts w:ascii="宋体" w:hAnsi="宋体" w:cs="宋体"/>
                <w:kern w:val="0"/>
                <w:szCs w:val="21"/>
              </w:rPr>
            </w:pPr>
            <w:r>
              <w:rPr>
                <w:rFonts w:hint="eastAsia" w:ascii="宋体" w:hAnsi="宋体" w:cs="宋体"/>
                <w:kern w:val="0"/>
                <w:szCs w:val="21"/>
              </w:rPr>
              <w:t>多功能厅</w:t>
            </w:r>
          </w:p>
        </w:tc>
        <w:tc>
          <w:tcPr>
            <w:tcW w:w="1581" w:type="dxa"/>
            <w:vMerge w:val="restart"/>
            <w:tcBorders>
              <w:top w:val="nil"/>
              <w:left w:val="single" w:color="auto" w:sz="4" w:space="0"/>
              <w:bottom w:val="nil"/>
              <w:right w:val="single" w:color="auto" w:sz="4" w:space="0"/>
            </w:tcBorders>
            <w:vAlign w:val="center"/>
          </w:tcPr>
          <w:p w14:paraId="034BA14C">
            <w:pPr>
              <w:widowControl/>
              <w:jc w:val="center"/>
              <w:rPr>
                <w:rFonts w:ascii="宋体" w:hAnsi="宋体" w:cs="宋体"/>
                <w:kern w:val="0"/>
                <w:szCs w:val="21"/>
              </w:rPr>
            </w:pPr>
            <w:r>
              <w:rPr>
                <w:rFonts w:hint="eastAsia" w:ascii="宋体" w:hAnsi="宋体" w:cs="宋体"/>
                <w:kern w:val="0"/>
                <w:szCs w:val="21"/>
              </w:rPr>
              <w:t>WA4320-ACN-SI</w:t>
            </w:r>
          </w:p>
        </w:tc>
        <w:tc>
          <w:tcPr>
            <w:tcW w:w="741" w:type="dxa"/>
            <w:vMerge w:val="restart"/>
            <w:tcBorders>
              <w:top w:val="nil"/>
              <w:left w:val="single" w:color="auto" w:sz="4" w:space="0"/>
              <w:bottom w:val="nil"/>
              <w:right w:val="single" w:color="auto" w:sz="4" w:space="0"/>
            </w:tcBorders>
            <w:vAlign w:val="center"/>
          </w:tcPr>
          <w:p w14:paraId="7C5D9F6C">
            <w:pPr>
              <w:widowControl/>
              <w:jc w:val="center"/>
              <w:rPr>
                <w:rFonts w:ascii="宋体" w:hAnsi="宋体" w:cs="宋体"/>
                <w:kern w:val="0"/>
                <w:szCs w:val="21"/>
              </w:rPr>
            </w:pPr>
            <w:r>
              <w:rPr>
                <w:rFonts w:hint="eastAsia" w:ascii="宋体" w:hAnsi="宋体" w:cs="宋体"/>
                <w:kern w:val="0"/>
                <w:szCs w:val="21"/>
              </w:rPr>
              <w:t>WiFi5</w:t>
            </w:r>
          </w:p>
        </w:tc>
        <w:tc>
          <w:tcPr>
            <w:tcW w:w="620" w:type="dxa"/>
            <w:tcBorders>
              <w:top w:val="nil"/>
              <w:left w:val="nil"/>
              <w:bottom w:val="single" w:color="auto" w:sz="4" w:space="0"/>
              <w:right w:val="single" w:color="auto" w:sz="4" w:space="0"/>
            </w:tcBorders>
            <w:noWrap/>
            <w:vAlign w:val="center"/>
          </w:tcPr>
          <w:p w14:paraId="0E0A40CB">
            <w:pPr>
              <w:widowControl/>
              <w:jc w:val="center"/>
              <w:rPr>
                <w:rFonts w:ascii="宋体" w:hAnsi="宋体" w:cs="宋体"/>
                <w:kern w:val="0"/>
                <w:szCs w:val="21"/>
              </w:rPr>
            </w:pPr>
            <w:r>
              <w:rPr>
                <w:rFonts w:hint="eastAsia" w:ascii="宋体" w:hAnsi="宋体" w:cs="宋体"/>
                <w:kern w:val="0"/>
                <w:szCs w:val="21"/>
              </w:rPr>
              <w:t>4</w:t>
            </w:r>
          </w:p>
        </w:tc>
        <w:tc>
          <w:tcPr>
            <w:tcW w:w="660" w:type="dxa"/>
            <w:tcBorders>
              <w:top w:val="nil"/>
              <w:left w:val="nil"/>
              <w:bottom w:val="single" w:color="auto" w:sz="4" w:space="0"/>
              <w:right w:val="single" w:color="auto" w:sz="4" w:space="0"/>
            </w:tcBorders>
            <w:vAlign w:val="center"/>
          </w:tcPr>
          <w:p w14:paraId="6936B1C7">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18B7C63C">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0CE7A69B">
            <w:pPr>
              <w:widowControl/>
              <w:jc w:val="center"/>
              <w:rPr>
                <w:rFonts w:ascii="宋体" w:hAnsi="宋体" w:cs="宋体"/>
                <w:kern w:val="0"/>
                <w:szCs w:val="21"/>
              </w:rPr>
            </w:pPr>
            <w:r>
              <w:rPr>
                <w:rFonts w:hint="eastAsia" w:ascii="宋体" w:hAnsi="宋体" w:cs="宋体"/>
                <w:kern w:val="0"/>
                <w:szCs w:val="21"/>
              </w:rPr>
              <w:t>4</w:t>
            </w:r>
          </w:p>
        </w:tc>
      </w:tr>
      <w:tr w14:paraId="13366437">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3A93EDC3">
            <w:pPr>
              <w:widowControl/>
              <w:jc w:val="center"/>
              <w:rPr>
                <w:rFonts w:ascii="宋体" w:hAnsi="宋体" w:cs="宋体"/>
                <w:kern w:val="0"/>
                <w:szCs w:val="21"/>
              </w:rPr>
            </w:pPr>
            <w:r>
              <w:rPr>
                <w:rFonts w:hint="eastAsia" w:ascii="宋体" w:hAnsi="宋体" w:cs="宋体"/>
                <w:kern w:val="0"/>
                <w:szCs w:val="21"/>
              </w:rPr>
              <w:t>2</w:t>
            </w:r>
          </w:p>
        </w:tc>
        <w:tc>
          <w:tcPr>
            <w:tcW w:w="427" w:type="dxa"/>
            <w:vMerge w:val="continue"/>
            <w:tcBorders>
              <w:top w:val="nil"/>
              <w:left w:val="single" w:color="auto" w:sz="4" w:space="0"/>
              <w:bottom w:val="single" w:color="000000" w:sz="4" w:space="0"/>
              <w:right w:val="single" w:color="auto" w:sz="4" w:space="0"/>
            </w:tcBorders>
            <w:vAlign w:val="center"/>
          </w:tcPr>
          <w:p w14:paraId="370BB8D2">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3D75036F">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29C3116D">
            <w:pPr>
              <w:widowControl/>
              <w:jc w:val="center"/>
              <w:rPr>
                <w:rFonts w:ascii="宋体" w:hAnsi="宋体" w:cs="宋体"/>
                <w:kern w:val="0"/>
                <w:szCs w:val="21"/>
              </w:rPr>
            </w:pPr>
            <w:r>
              <w:rPr>
                <w:rFonts w:hint="eastAsia" w:ascii="宋体" w:hAnsi="宋体" w:cs="宋体"/>
                <w:kern w:val="0"/>
                <w:szCs w:val="21"/>
              </w:rPr>
              <w:t>108</w:t>
            </w:r>
          </w:p>
        </w:tc>
        <w:tc>
          <w:tcPr>
            <w:tcW w:w="1500" w:type="dxa"/>
            <w:tcBorders>
              <w:top w:val="nil"/>
              <w:left w:val="nil"/>
              <w:bottom w:val="single" w:color="auto" w:sz="4" w:space="0"/>
              <w:right w:val="single" w:color="auto" w:sz="4" w:space="0"/>
            </w:tcBorders>
            <w:noWrap/>
            <w:vAlign w:val="center"/>
          </w:tcPr>
          <w:p w14:paraId="1CE48765">
            <w:pPr>
              <w:widowControl/>
              <w:jc w:val="center"/>
              <w:rPr>
                <w:rFonts w:ascii="宋体" w:hAnsi="宋体" w:cs="宋体"/>
                <w:kern w:val="0"/>
                <w:szCs w:val="21"/>
              </w:rPr>
            </w:pPr>
            <w:r>
              <w:rPr>
                <w:rFonts w:hint="eastAsia" w:ascii="宋体" w:hAnsi="宋体" w:cs="宋体"/>
                <w:kern w:val="0"/>
                <w:szCs w:val="21"/>
              </w:rPr>
              <w:t>直播间</w:t>
            </w:r>
          </w:p>
        </w:tc>
        <w:tc>
          <w:tcPr>
            <w:tcW w:w="1581" w:type="dxa"/>
            <w:vMerge w:val="continue"/>
            <w:tcBorders>
              <w:top w:val="nil"/>
              <w:left w:val="single" w:color="auto" w:sz="4" w:space="0"/>
              <w:bottom w:val="nil"/>
              <w:right w:val="single" w:color="auto" w:sz="4" w:space="0"/>
            </w:tcBorders>
            <w:vAlign w:val="center"/>
          </w:tcPr>
          <w:p w14:paraId="72096B07">
            <w:pPr>
              <w:widowControl/>
              <w:jc w:val="left"/>
              <w:rPr>
                <w:rFonts w:ascii="宋体" w:hAnsi="宋体" w:cs="宋体"/>
                <w:kern w:val="0"/>
                <w:szCs w:val="21"/>
              </w:rPr>
            </w:pPr>
          </w:p>
        </w:tc>
        <w:tc>
          <w:tcPr>
            <w:tcW w:w="741" w:type="dxa"/>
            <w:vMerge w:val="continue"/>
            <w:tcBorders>
              <w:top w:val="nil"/>
              <w:left w:val="single" w:color="auto" w:sz="4" w:space="0"/>
              <w:bottom w:val="nil"/>
              <w:right w:val="single" w:color="auto" w:sz="4" w:space="0"/>
            </w:tcBorders>
            <w:vAlign w:val="center"/>
          </w:tcPr>
          <w:p w14:paraId="7920F89D">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4013830B">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2213B28B">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154FFFD3">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7B624E71">
            <w:pPr>
              <w:widowControl/>
              <w:jc w:val="center"/>
              <w:rPr>
                <w:rFonts w:ascii="宋体" w:hAnsi="宋体" w:cs="宋体"/>
                <w:kern w:val="0"/>
                <w:szCs w:val="21"/>
              </w:rPr>
            </w:pPr>
            <w:r>
              <w:rPr>
                <w:rFonts w:hint="eastAsia" w:ascii="宋体" w:hAnsi="宋体" w:cs="宋体"/>
                <w:kern w:val="0"/>
                <w:szCs w:val="21"/>
              </w:rPr>
              <w:t>1</w:t>
            </w:r>
          </w:p>
        </w:tc>
      </w:tr>
      <w:tr w14:paraId="42E502F5">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409B6155">
            <w:pPr>
              <w:widowControl/>
              <w:jc w:val="center"/>
              <w:rPr>
                <w:rFonts w:ascii="宋体" w:hAnsi="宋体" w:cs="宋体"/>
                <w:kern w:val="0"/>
                <w:szCs w:val="21"/>
              </w:rPr>
            </w:pPr>
            <w:r>
              <w:rPr>
                <w:rFonts w:hint="eastAsia" w:ascii="宋体" w:hAnsi="宋体" w:cs="宋体"/>
                <w:kern w:val="0"/>
                <w:szCs w:val="21"/>
              </w:rPr>
              <w:t>3</w:t>
            </w:r>
          </w:p>
        </w:tc>
        <w:tc>
          <w:tcPr>
            <w:tcW w:w="427" w:type="dxa"/>
            <w:vMerge w:val="continue"/>
            <w:tcBorders>
              <w:top w:val="nil"/>
              <w:left w:val="single" w:color="auto" w:sz="4" w:space="0"/>
              <w:bottom w:val="single" w:color="000000" w:sz="4" w:space="0"/>
              <w:right w:val="single" w:color="auto" w:sz="4" w:space="0"/>
            </w:tcBorders>
            <w:vAlign w:val="center"/>
          </w:tcPr>
          <w:p w14:paraId="22E39242">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5C409010">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6645CD60">
            <w:pPr>
              <w:widowControl/>
              <w:jc w:val="center"/>
              <w:rPr>
                <w:rFonts w:ascii="宋体" w:hAnsi="宋体" w:cs="宋体"/>
                <w:kern w:val="0"/>
                <w:szCs w:val="21"/>
              </w:rPr>
            </w:pPr>
            <w:r>
              <w:rPr>
                <w:rFonts w:hint="eastAsia" w:ascii="宋体" w:hAnsi="宋体" w:cs="宋体"/>
                <w:kern w:val="0"/>
                <w:szCs w:val="21"/>
              </w:rPr>
              <w:t>110</w:t>
            </w:r>
          </w:p>
        </w:tc>
        <w:tc>
          <w:tcPr>
            <w:tcW w:w="1500" w:type="dxa"/>
            <w:tcBorders>
              <w:top w:val="nil"/>
              <w:left w:val="nil"/>
              <w:bottom w:val="single" w:color="auto" w:sz="4" w:space="0"/>
              <w:right w:val="single" w:color="auto" w:sz="4" w:space="0"/>
            </w:tcBorders>
            <w:noWrap/>
            <w:vAlign w:val="center"/>
          </w:tcPr>
          <w:p w14:paraId="3FFB3DF6">
            <w:pPr>
              <w:widowControl/>
              <w:jc w:val="center"/>
              <w:rPr>
                <w:rFonts w:ascii="宋体" w:hAnsi="宋体" w:cs="宋体"/>
                <w:kern w:val="0"/>
                <w:szCs w:val="21"/>
              </w:rPr>
            </w:pPr>
            <w:r>
              <w:rPr>
                <w:rFonts w:hint="eastAsia" w:ascii="宋体" w:hAnsi="宋体" w:cs="宋体"/>
                <w:kern w:val="0"/>
                <w:szCs w:val="21"/>
              </w:rPr>
              <w:t>休息室</w:t>
            </w:r>
          </w:p>
        </w:tc>
        <w:tc>
          <w:tcPr>
            <w:tcW w:w="1581" w:type="dxa"/>
            <w:vMerge w:val="continue"/>
            <w:tcBorders>
              <w:top w:val="nil"/>
              <w:left w:val="single" w:color="auto" w:sz="4" w:space="0"/>
              <w:bottom w:val="nil"/>
              <w:right w:val="single" w:color="auto" w:sz="4" w:space="0"/>
            </w:tcBorders>
            <w:vAlign w:val="center"/>
          </w:tcPr>
          <w:p w14:paraId="672FC4AA">
            <w:pPr>
              <w:widowControl/>
              <w:jc w:val="left"/>
              <w:rPr>
                <w:rFonts w:ascii="宋体" w:hAnsi="宋体" w:cs="宋体"/>
                <w:kern w:val="0"/>
                <w:szCs w:val="21"/>
              </w:rPr>
            </w:pPr>
          </w:p>
        </w:tc>
        <w:tc>
          <w:tcPr>
            <w:tcW w:w="741" w:type="dxa"/>
            <w:vMerge w:val="continue"/>
            <w:tcBorders>
              <w:top w:val="nil"/>
              <w:left w:val="single" w:color="auto" w:sz="4" w:space="0"/>
              <w:bottom w:val="nil"/>
              <w:right w:val="single" w:color="auto" w:sz="4" w:space="0"/>
            </w:tcBorders>
            <w:vAlign w:val="center"/>
          </w:tcPr>
          <w:p w14:paraId="1CAB8919">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48E71266">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0028F9DD">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A79FAC6">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394F0163">
            <w:pPr>
              <w:widowControl/>
              <w:jc w:val="center"/>
              <w:rPr>
                <w:rFonts w:ascii="宋体" w:hAnsi="宋体" w:cs="宋体"/>
                <w:kern w:val="0"/>
                <w:szCs w:val="21"/>
              </w:rPr>
            </w:pPr>
            <w:r>
              <w:rPr>
                <w:rFonts w:hint="eastAsia" w:ascii="宋体" w:hAnsi="宋体" w:cs="宋体"/>
                <w:kern w:val="0"/>
                <w:szCs w:val="21"/>
              </w:rPr>
              <w:t>1</w:t>
            </w:r>
          </w:p>
        </w:tc>
      </w:tr>
      <w:tr w14:paraId="25C91070">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5E1930E2">
            <w:pPr>
              <w:widowControl/>
              <w:jc w:val="center"/>
              <w:rPr>
                <w:rFonts w:ascii="宋体" w:hAnsi="宋体" w:cs="宋体"/>
                <w:kern w:val="0"/>
                <w:szCs w:val="21"/>
              </w:rPr>
            </w:pPr>
            <w:r>
              <w:rPr>
                <w:rFonts w:hint="eastAsia" w:ascii="宋体" w:hAnsi="宋体" w:cs="宋体"/>
                <w:kern w:val="0"/>
                <w:szCs w:val="21"/>
              </w:rPr>
              <w:t>4</w:t>
            </w:r>
          </w:p>
        </w:tc>
        <w:tc>
          <w:tcPr>
            <w:tcW w:w="427" w:type="dxa"/>
            <w:vMerge w:val="continue"/>
            <w:tcBorders>
              <w:top w:val="nil"/>
              <w:left w:val="single" w:color="auto" w:sz="4" w:space="0"/>
              <w:bottom w:val="single" w:color="000000" w:sz="4" w:space="0"/>
              <w:right w:val="single" w:color="auto" w:sz="4" w:space="0"/>
            </w:tcBorders>
            <w:vAlign w:val="center"/>
          </w:tcPr>
          <w:p w14:paraId="5DF2CA27">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1EC48270">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129BA3BE">
            <w:pPr>
              <w:widowControl/>
              <w:jc w:val="center"/>
              <w:rPr>
                <w:rFonts w:ascii="宋体" w:hAnsi="宋体" w:cs="宋体"/>
                <w:kern w:val="0"/>
                <w:szCs w:val="21"/>
              </w:rPr>
            </w:pPr>
            <w:r>
              <w:rPr>
                <w:rFonts w:hint="eastAsia" w:ascii="宋体" w:hAnsi="宋体" w:cs="宋体"/>
                <w:kern w:val="0"/>
                <w:szCs w:val="21"/>
              </w:rPr>
              <w:t>102</w:t>
            </w:r>
          </w:p>
        </w:tc>
        <w:tc>
          <w:tcPr>
            <w:tcW w:w="1500" w:type="dxa"/>
            <w:tcBorders>
              <w:top w:val="nil"/>
              <w:left w:val="nil"/>
              <w:bottom w:val="single" w:color="auto" w:sz="4" w:space="0"/>
              <w:right w:val="single" w:color="auto" w:sz="4" w:space="0"/>
            </w:tcBorders>
            <w:noWrap/>
            <w:vAlign w:val="center"/>
          </w:tcPr>
          <w:p w14:paraId="46AB7CF4">
            <w:pPr>
              <w:widowControl/>
              <w:jc w:val="center"/>
              <w:rPr>
                <w:rFonts w:ascii="宋体" w:hAnsi="宋体" w:cs="宋体"/>
                <w:kern w:val="0"/>
                <w:szCs w:val="21"/>
              </w:rPr>
            </w:pPr>
            <w:r>
              <w:rPr>
                <w:rFonts w:hint="eastAsia" w:ascii="宋体" w:hAnsi="宋体" w:cs="宋体"/>
                <w:kern w:val="0"/>
                <w:szCs w:val="21"/>
              </w:rPr>
              <w:t>视频会议室</w:t>
            </w:r>
          </w:p>
        </w:tc>
        <w:tc>
          <w:tcPr>
            <w:tcW w:w="1581" w:type="dxa"/>
            <w:vMerge w:val="continue"/>
            <w:tcBorders>
              <w:top w:val="nil"/>
              <w:left w:val="single" w:color="auto" w:sz="4" w:space="0"/>
              <w:bottom w:val="nil"/>
              <w:right w:val="single" w:color="auto" w:sz="4" w:space="0"/>
            </w:tcBorders>
            <w:vAlign w:val="center"/>
          </w:tcPr>
          <w:p w14:paraId="702CD8B2">
            <w:pPr>
              <w:widowControl/>
              <w:jc w:val="left"/>
              <w:rPr>
                <w:rFonts w:ascii="宋体" w:hAnsi="宋体" w:cs="宋体"/>
                <w:kern w:val="0"/>
                <w:szCs w:val="21"/>
              </w:rPr>
            </w:pPr>
          </w:p>
        </w:tc>
        <w:tc>
          <w:tcPr>
            <w:tcW w:w="741" w:type="dxa"/>
            <w:vMerge w:val="continue"/>
            <w:tcBorders>
              <w:top w:val="nil"/>
              <w:left w:val="single" w:color="auto" w:sz="4" w:space="0"/>
              <w:bottom w:val="nil"/>
              <w:right w:val="single" w:color="auto" w:sz="4" w:space="0"/>
            </w:tcBorders>
            <w:vAlign w:val="center"/>
          </w:tcPr>
          <w:p w14:paraId="708569C9">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59D7CB71">
            <w:pPr>
              <w:widowControl/>
              <w:jc w:val="center"/>
              <w:rPr>
                <w:rFonts w:ascii="宋体" w:hAnsi="宋体" w:cs="宋体"/>
                <w:kern w:val="0"/>
                <w:szCs w:val="21"/>
              </w:rPr>
            </w:pPr>
            <w:r>
              <w:rPr>
                <w:rFonts w:hint="eastAsia" w:ascii="宋体" w:hAnsi="宋体" w:cs="宋体"/>
                <w:kern w:val="0"/>
                <w:szCs w:val="21"/>
              </w:rPr>
              <w:t>2</w:t>
            </w:r>
          </w:p>
        </w:tc>
        <w:tc>
          <w:tcPr>
            <w:tcW w:w="660" w:type="dxa"/>
            <w:tcBorders>
              <w:top w:val="nil"/>
              <w:left w:val="nil"/>
              <w:bottom w:val="single" w:color="auto" w:sz="4" w:space="0"/>
              <w:right w:val="single" w:color="auto" w:sz="4" w:space="0"/>
            </w:tcBorders>
            <w:vAlign w:val="center"/>
          </w:tcPr>
          <w:p w14:paraId="6AB0722F">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077E107E">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1C1C9FA6">
            <w:pPr>
              <w:widowControl/>
              <w:jc w:val="center"/>
              <w:rPr>
                <w:rFonts w:ascii="宋体" w:hAnsi="宋体" w:cs="宋体"/>
                <w:kern w:val="0"/>
                <w:szCs w:val="21"/>
              </w:rPr>
            </w:pPr>
            <w:r>
              <w:rPr>
                <w:rFonts w:hint="eastAsia" w:ascii="宋体" w:hAnsi="宋体" w:cs="宋体"/>
                <w:kern w:val="0"/>
                <w:szCs w:val="21"/>
              </w:rPr>
              <w:t>2</w:t>
            </w:r>
          </w:p>
        </w:tc>
      </w:tr>
      <w:tr w14:paraId="4BFD1CA8">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4712197F">
            <w:pPr>
              <w:widowControl/>
              <w:jc w:val="center"/>
              <w:rPr>
                <w:rFonts w:ascii="宋体" w:hAnsi="宋体" w:cs="宋体"/>
                <w:kern w:val="0"/>
                <w:szCs w:val="21"/>
              </w:rPr>
            </w:pPr>
            <w:r>
              <w:rPr>
                <w:rFonts w:hint="eastAsia" w:ascii="宋体" w:hAnsi="宋体" w:cs="宋体"/>
                <w:kern w:val="0"/>
                <w:szCs w:val="21"/>
              </w:rPr>
              <w:t>5</w:t>
            </w:r>
          </w:p>
        </w:tc>
        <w:tc>
          <w:tcPr>
            <w:tcW w:w="427" w:type="dxa"/>
            <w:vMerge w:val="continue"/>
            <w:tcBorders>
              <w:top w:val="nil"/>
              <w:left w:val="single" w:color="auto" w:sz="4" w:space="0"/>
              <w:bottom w:val="single" w:color="000000" w:sz="4" w:space="0"/>
              <w:right w:val="single" w:color="auto" w:sz="4" w:space="0"/>
            </w:tcBorders>
            <w:vAlign w:val="center"/>
          </w:tcPr>
          <w:p w14:paraId="0B9F6C1E">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082A3432">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5A89525A">
            <w:pPr>
              <w:widowControl/>
              <w:jc w:val="center"/>
              <w:rPr>
                <w:rFonts w:ascii="宋体" w:hAnsi="宋体" w:cs="宋体"/>
                <w:kern w:val="0"/>
                <w:szCs w:val="21"/>
              </w:rPr>
            </w:pPr>
            <w:r>
              <w:rPr>
                <w:rFonts w:hint="eastAsia" w:ascii="宋体" w:hAnsi="宋体" w:cs="宋体"/>
                <w:kern w:val="0"/>
                <w:szCs w:val="21"/>
              </w:rPr>
              <w:t>103</w:t>
            </w:r>
          </w:p>
        </w:tc>
        <w:tc>
          <w:tcPr>
            <w:tcW w:w="1500" w:type="dxa"/>
            <w:tcBorders>
              <w:top w:val="nil"/>
              <w:left w:val="nil"/>
              <w:bottom w:val="single" w:color="auto" w:sz="4" w:space="0"/>
              <w:right w:val="single" w:color="auto" w:sz="4" w:space="0"/>
            </w:tcBorders>
            <w:noWrap/>
            <w:vAlign w:val="center"/>
          </w:tcPr>
          <w:p w14:paraId="70914C21">
            <w:pPr>
              <w:widowControl/>
              <w:jc w:val="center"/>
              <w:rPr>
                <w:rFonts w:ascii="宋体" w:hAnsi="宋体" w:cs="宋体"/>
                <w:kern w:val="0"/>
                <w:szCs w:val="21"/>
              </w:rPr>
            </w:pPr>
            <w:r>
              <w:rPr>
                <w:rFonts w:hint="eastAsia" w:ascii="宋体" w:hAnsi="宋体" w:cs="宋体"/>
                <w:kern w:val="0"/>
                <w:szCs w:val="21"/>
              </w:rPr>
              <w:t>贵宾室</w:t>
            </w:r>
          </w:p>
        </w:tc>
        <w:tc>
          <w:tcPr>
            <w:tcW w:w="1581" w:type="dxa"/>
            <w:vMerge w:val="continue"/>
            <w:tcBorders>
              <w:top w:val="nil"/>
              <w:left w:val="single" w:color="auto" w:sz="4" w:space="0"/>
              <w:bottom w:val="nil"/>
              <w:right w:val="single" w:color="auto" w:sz="4" w:space="0"/>
            </w:tcBorders>
            <w:vAlign w:val="center"/>
          </w:tcPr>
          <w:p w14:paraId="466D7C2A">
            <w:pPr>
              <w:widowControl/>
              <w:jc w:val="left"/>
              <w:rPr>
                <w:rFonts w:ascii="宋体" w:hAnsi="宋体" w:cs="宋体"/>
                <w:kern w:val="0"/>
                <w:szCs w:val="21"/>
              </w:rPr>
            </w:pPr>
          </w:p>
        </w:tc>
        <w:tc>
          <w:tcPr>
            <w:tcW w:w="741" w:type="dxa"/>
            <w:vMerge w:val="continue"/>
            <w:tcBorders>
              <w:top w:val="nil"/>
              <w:left w:val="single" w:color="auto" w:sz="4" w:space="0"/>
              <w:bottom w:val="nil"/>
              <w:right w:val="single" w:color="auto" w:sz="4" w:space="0"/>
            </w:tcBorders>
            <w:vAlign w:val="center"/>
          </w:tcPr>
          <w:p w14:paraId="5C64029F">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264F37F6">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3906F9A6">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11B1B810">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62540C2E">
            <w:pPr>
              <w:widowControl/>
              <w:jc w:val="center"/>
              <w:rPr>
                <w:rFonts w:ascii="宋体" w:hAnsi="宋体" w:cs="宋体"/>
                <w:kern w:val="0"/>
                <w:szCs w:val="21"/>
              </w:rPr>
            </w:pPr>
            <w:r>
              <w:rPr>
                <w:rFonts w:hint="eastAsia" w:ascii="宋体" w:hAnsi="宋体" w:cs="宋体"/>
                <w:kern w:val="0"/>
                <w:szCs w:val="21"/>
              </w:rPr>
              <w:t>1</w:t>
            </w:r>
          </w:p>
        </w:tc>
      </w:tr>
      <w:tr w14:paraId="1BE5FCC1">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51A4A5E2">
            <w:pPr>
              <w:widowControl/>
              <w:jc w:val="center"/>
              <w:rPr>
                <w:rFonts w:ascii="宋体" w:hAnsi="宋体" w:cs="宋体"/>
                <w:kern w:val="0"/>
                <w:szCs w:val="21"/>
              </w:rPr>
            </w:pPr>
            <w:r>
              <w:rPr>
                <w:rFonts w:hint="eastAsia" w:ascii="宋体" w:hAnsi="宋体" w:cs="宋体"/>
                <w:kern w:val="0"/>
                <w:szCs w:val="21"/>
              </w:rPr>
              <w:t>6</w:t>
            </w:r>
          </w:p>
        </w:tc>
        <w:tc>
          <w:tcPr>
            <w:tcW w:w="427" w:type="dxa"/>
            <w:vMerge w:val="continue"/>
            <w:tcBorders>
              <w:top w:val="nil"/>
              <w:left w:val="single" w:color="auto" w:sz="4" w:space="0"/>
              <w:bottom w:val="single" w:color="000000" w:sz="4" w:space="0"/>
              <w:right w:val="single" w:color="auto" w:sz="4" w:space="0"/>
            </w:tcBorders>
            <w:vAlign w:val="center"/>
          </w:tcPr>
          <w:p w14:paraId="5F974527">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20582CBD">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4680D844">
            <w:pPr>
              <w:widowControl/>
              <w:jc w:val="center"/>
              <w:rPr>
                <w:rFonts w:ascii="宋体" w:hAnsi="宋体" w:cs="宋体"/>
                <w:kern w:val="0"/>
                <w:szCs w:val="21"/>
              </w:rPr>
            </w:pPr>
            <w:r>
              <w:rPr>
                <w:rFonts w:hint="eastAsia" w:ascii="宋体" w:hAnsi="宋体" w:cs="宋体"/>
                <w:kern w:val="0"/>
                <w:szCs w:val="21"/>
              </w:rPr>
              <w:t>105</w:t>
            </w:r>
          </w:p>
        </w:tc>
        <w:tc>
          <w:tcPr>
            <w:tcW w:w="1500" w:type="dxa"/>
            <w:tcBorders>
              <w:top w:val="nil"/>
              <w:left w:val="nil"/>
              <w:bottom w:val="single" w:color="auto" w:sz="4" w:space="0"/>
              <w:right w:val="single" w:color="auto" w:sz="4" w:space="0"/>
            </w:tcBorders>
            <w:noWrap/>
            <w:vAlign w:val="center"/>
          </w:tcPr>
          <w:p w14:paraId="7D339E93">
            <w:pPr>
              <w:widowControl/>
              <w:jc w:val="center"/>
              <w:rPr>
                <w:rFonts w:ascii="宋体" w:hAnsi="宋体" w:cs="宋体"/>
                <w:kern w:val="0"/>
                <w:szCs w:val="21"/>
              </w:rPr>
            </w:pPr>
            <w:r>
              <w:rPr>
                <w:rFonts w:hint="eastAsia" w:ascii="宋体" w:hAnsi="宋体" w:cs="宋体"/>
                <w:kern w:val="0"/>
                <w:szCs w:val="21"/>
              </w:rPr>
              <w:t>报告厅</w:t>
            </w:r>
          </w:p>
        </w:tc>
        <w:tc>
          <w:tcPr>
            <w:tcW w:w="1581" w:type="dxa"/>
            <w:vMerge w:val="continue"/>
            <w:tcBorders>
              <w:top w:val="nil"/>
              <w:left w:val="single" w:color="auto" w:sz="4" w:space="0"/>
              <w:bottom w:val="nil"/>
              <w:right w:val="single" w:color="auto" w:sz="4" w:space="0"/>
            </w:tcBorders>
            <w:vAlign w:val="center"/>
          </w:tcPr>
          <w:p w14:paraId="4F68D8D0">
            <w:pPr>
              <w:widowControl/>
              <w:jc w:val="left"/>
              <w:rPr>
                <w:rFonts w:ascii="宋体" w:hAnsi="宋体" w:cs="宋体"/>
                <w:kern w:val="0"/>
                <w:szCs w:val="21"/>
              </w:rPr>
            </w:pPr>
          </w:p>
        </w:tc>
        <w:tc>
          <w:tcPr>
            <w:tcW w:w="741" w:type="dxa"/>
            <w:vMerge w:val="continue"/>
            <w:tcBorders>
              <w:top w:val="nil"/>
              <w:left w:val="single" w:color="auto" w:sz="4" w:space="0"/>
              <w:bottom w:val="nil"/>
              <w:right w:val="single" w:color="auto" w:sz="4" w:space="0"/>
            </w:tcBorders>
            <w:vAlign w:val="center"/>
          </w:tcPr>
          <w:p w14:paraId="08D212C2">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12C320DD">
            <w:pPr>
              <w:widowControl/>
              <w:jc w:val="center"/>
              <w:rPr>
                <w:rFonts w:ascii="宋体" w:hAnsi="宋体" w:cs="宋体"/>
                <w:kern w:val="0"/>
                <w:szCs w:val="21"/>
              </w:rPr>
            </w:pPr>
            <w:r>
              <w:rPr>
                <w:rFonts w:hint="eastAsia" w:ascii="宋体" w:hAnsi="宋体" w:cs="宋体"/>
                <w:kern w:val="0"/>
                <w:szCs w:val="21"/>
              </w:rPr>
              <w:t>3</w:t>
            </w:r>
          </w:p>
        </w:tc>
        <w:tc>
          <w:tcPr>
            <w:tcW w:w="660" w:type="dxa"/>
            <w:tcBorders>
              <w:top w:val="nil"/>
              <w:left w:val="nil"/>
              <w:bottom w:val="single" w:color="auto" w:sz="4" w:space="0"/>
              <w:right w:val="single" w:color="auto" w:sz="4" w:space="0"/>
            </w:tcBorders>
            <w:vAlign w:val="center"/>
          </w:tcPr>
          <w:p w14:paraId="707AFF30">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3F2AFB32">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18A6640C">
            <w:pPr>
              <w:widowControl/>
              <w:jc w:val="center"/>
              <w:rPr>
                <w:rFonts w:ascii="宋体" w:hAnsi="宋体" w:cs="宋体"/>
                <w:kern w:val="0"/>
                <w:szCs w:val="21"/>
              </w:rPr>
            </w:pPr>
            <w:r>
              <w:rPr>
                <w:rFonts w:hint="eastAsia" w:ascii="宋体" w:hAnsi="宋体" w:cs="宋体"/>
                <w:kern w:val="0"/>
                <w:szCs w:val="21"/>
              </w:rPr>
              <w:t>3</w:t>
            </w:r>
          </w:p>
        </w:tc>
      </w:tr>
      <w:tr w14:paraId="6C0B226D">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34EC81A7">
            <w:pPr>
              <w:widowControl/>
              <w:jc w:val="center"/>
              <w:rPr>
                <w:rFonts w:ascii="宋体" w:hAnsi="宋体" w:cs="宋体"/>
                <w:kern w:val="0"/>
                <w:szCs w:val="21"/>
              </w:rPr>
            </w:pPr>
            <w:r>
              <w:rPr>
                <w:rFonts w:hint="eastAsia" w:ascii="宋体" w:hAnsi="宋体" w:cs="宋体"/>
                <w:kern w:val="0"/>
                <w:szCs w:val="21"/>
              </w:rPr>
              <w:t>7</w:t>
            </w:r>
          </w:p>
        </w:tc>
        <w:tc>
          <w:tcPr>
            <w:tcW w:w="427" w:type="dxa"/>
            <w:vMerge w:val="continue"/>
            <w:tcBorders>
              <w:top w:val="nil"/>
              <w:left w:val="single" w:color="auto" w:sz="4" w:space="0"/>
              <w:bottom w:val="single" w:color="000000" w:sz="4" w:space="0"/>
              <w:right w:val="single" w:color="auto" w:sz="4" w:space="0"/>
            </w:tcBorders>
            <w:vAlign w:val="center"/>
          </w:tcPr>
          <w:p w14:paraId="19EF8315">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081846F4">
            <w:pPr>
              <w:widowControl/>
              <w:jc w:val="left"/>
              <w:rPr>
                <w:rFonts w:ascii="宋体" w:hAnsi="宋体" w:cs="宋体"/>
                <w:kern w:val="0"/>
                <w:szCs w:val="21"/>
              </w:rPr>
            </w:pPr>
          </w:p>
        </w:tc>
        <w:tc>
          <w:tcPr>
            <w:tcW w:w="2100" w:type="dxa"/>
            <w:gridSpan w:val="2"/>
            <w:tcBorders>
              <w:top w:val="single" w:color="auto" w:sz="4" w:space="0"/>
              <w:left w:val="nil"/>
              <w:bottom w:val="single" w:color="auto" w:sz="4" w:space="0"/>
              <w:right w:val="single" w:color="auto" w:sz="4" w:space="0"/>
            </w:tcBorders>
            <w:noWrap/>
            <w:vAlign w:val="center"/>
          </w:tcPr>
          <w:p w14:paraId="6F41941A">
            <w:pPr>
              <w:widowControl/>
              <w:jc w:val="center"/>
              <w:rPr>
                <w:rFonts w:ascii="宋体" w:hAnsi="宋体" w:cs="宋体"/>
                <w:kern w:val="0"/>
                <w:szCs w:val="21"/>
              </w:rPr>
            </w:pPr>
            <w:r>
              <w:rPr>
                <w:rFonts w:hint="eastAsia" w:ascii="宋体" w:hAnsi="宋体" w:cs="宋体"/>
                <w:kern w:val="0"/>
                <w:szCs w:val="21"/>
              </w:rPr>
              <w:t>走道</w:t>
            </w:r>
          </w:p>
        </w:tc>
        <w:tc>
          <w:tcPr>
            <w:tcW w:w="1581" w:type="dxa"/>
            <w:vMerge w:val="restart"/>
            <w:tcBorders>
              <w:top w:val="single" w:color="auto" w:sz="4" w:space="0"/>
              <w:left w:val="single" w:color="auto" w:sz="4" w:space="0"/>
              <w:bottom w:val="single" w:color="000000" w:sz="4" w:space="0"/>
              <w:right w:val="single" w:color="auto" w:sz="4" w:space="0"/>
            </w:tcBorders>
            <w:vAlign w:val="center"/>
          </w:tcPr>
          <w:p w14:paraId="6F4F8F14">
            <w:pPr>
              <w:widowControl/>
              <w:jc w:val="center"/>
              <w:rPr>
                <w:rFonts w:ascii="宋体" w:hAnsi="宋体" w:cs="宋体"/>
                <w:kern w:val="0"/>
                <w:szCs w:val="21"/>
              </w:rPr>
            </w:pPr>
            <w:r>
              <w:rPr>
                <w:rFonts w:hint="eastAsia" w:ascii="宋体" w:hAnsi="宋体" w:cs="宋体"/>
                <w:kern w:val="0"/>
                <w:szCs w:val="21"/>
              </w:rPr>
              <w:t>WA4320-ACN-SI</w:t>
            </w:r>
          </w:p>
        </w:tc>
        <w:tc>
          <w:tcPr>
            <w:tcW w:w="741" w:type="dxa"/>
            <w:vMerge w:val="restart"/>
            <w:tcBorders>
              <w:top w:val="single" w:color="auto" w:sz="4" w:space="0"/>
              <w:left w:val="single" w:color="auto" w:sz="4" w:space="0"/>
              <w:bottom w:val="single" w:color="000000" w:sz="4" w:space="0"/>
              <w:right w:val="single" w:color="auto" w:sz="4" w:space="0"/>
            </w:tcBorders>
            <w:vAlign w:val="center"/>
          </w:tcPr>
          <w:p w14:paraId="3573FE7A">
            <w:pPr>
              <w:widowControl/>
              <w:jc w:val="center"/>
              <w:rPr>
                <w:rFonts w:ascii="宋体" w:hAnsi="宋体" w:cs="宋体"/>
                <w:kern w:val="0"/>
                <w:szCs w:val="21"/>
              </w:rPr>
            </w:pPr>
            <w:r>
              <w:rPr>
                <w:rFonts w:hint="eastAsia" w:ascii="宋体" w:hAnsi="宋体" w:cs="宋体"/>
                <w:kern w:val="0"/>
                <w:szCs w:val="21"/>
              </w:rPr>
              <w:t>WiFi5</w:t>
            </w:r>
          </w:p>
        </w:tc>
        <w:tc>
          <w:tcPr>
            <w:tcW w:w="620" w:type="dxa"/>
            <w:tcBorders>
              <w:top w:val="nil"/>
              <w:left w:val="nil"/>
              <w:bottom w:val="single" w:color="auto" w:sz="4" w:space="0"/>
              <w:right w:val="single" w:color="auto" w:sz="4" w:space="0"/>
            </w:tcBorders>
            <w:noWrap/>
            <w:vAlign w:val="center"/>
          </w:tcPr>
          <w:p w14:paraId="6DF057C0">
            <w:pPr>
              <w:widowControl/>
              <w:jc w:val="center"/>
              <w:rPr>
                <w:rFonts w:ascii="宋体" w:hAnsi="宋体" w:cs="宋体"/>
                <w:kern w:val="0"/>
                <w:szCs w:val="21"/>
              </w:rPr>
            </w:pPr>
            <w:r>
              <w:rPr>
                <w:rFonts w:hint="eastAsia" w:ascii="宋体" w:hAnsi="宋体" w:cs="宋体"/>
                <w:kern w:val="0"/>
                <w:szCs w:val="21"/>
              </w:rPr>
              <w:t>8</w:t>
            </w:r>
          </w:p>
        </w:tc>
        <w:tc>
          <w:tcPr>
            <w:tcW w:w="660" w:type="dxa"/>
            <w:tcBorders>
              <w:top w:val="nil"/>
              <w:left w:val="nil"/>
              <w:bottom w:val="single" w:color="auto" w:sz="4" w:space="0"/>
              <w:right w:val="single" w:color="auto" w:sz="4" w:space="0"/>
            </w:tcBorders>
            <w:vAlign w:val="center"/>
          </w:tcPr>
          <w:p w14:paraId="5B14403C">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3DD111A2">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12A680B8">
            <w:pPr>
              <w:widowControl/>
              <w:jc w:val="center"/>
              <w:rPr>
                <w:rFonts w:ascii="宋体" w:hAnsi="宋体" w:cs="宋体"/>
                <w:kern w:val="0"/>
                <w:szCs w:val="21"/>
              </w:rPr>
            </w:pPr>
            <w:r>
              <w:rPr>
                <w:rFonts w:hint="eastAsia" w:ascii="宋体" w:hAnsi="宋体" w:cs="宋体"/>
                <w:kern w:val="0"/>
                <w:szCs w:val="21"/>
              </w:rPr>
              <w:t>8</w:t>
            </w:r>
          </w:p>
        </w:tc>
      </w:tr>
      <w:tr w14:paraId="65D67033">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449C102">
            <w:pPr>
              <w:widowControl/>
              <w:jc w:val="center"/>
              <w:rPr>
                <w:rFonts w:ascii="宋体" w:hAnsi="宋体" w:cs="宋体"/>
                <w:kern w:val="0"/>
                <w:szCs w:val="21"/>
              </w:rPr>
            </w:pPr>
            <w:r>
              <w:rPr>
                <w:rFonts w:hint="eastAsia" w:ascii="宋体" w:hAnsi="宋体" w:cs="宋体"/>
                <w:kern w:val="0"/>
                <w:szCs w:val="21"/>
              </w:rPr>
              <w:t>8</w:t>
            </w:r>
          </w:p>
        </w:tc>
        <w:tc>
          <w:tcPr>
            <w:tcW w:w="427" w:type="dxa"/>
            <w:vMerge w:val="continue"/>
            <w:tcBorders>
              <w:top w:val="nil"/>
              <w:left w:val="single" w:color="auto" w:sz="4" w:space="0"/>
              <w:bottom w:val="single" w:color="000000" w:sz="4" w:space="0"/>
              <w:right w:val="single" w:color="auto" w:sz="4" w:space="0"/>
            </w:tcBorders>
            <w:vAlign w:val="center"/>
          </w:tcPr>
          <w:p w14:paraId="05846FBB">
            <w:pPr>
              <w:widowControl/>
              <w:jc w:val="left"/>
              <w:rPr>
                <w:rFonts w:ascii="宋体" w:hAnsi="宋体" w:cs="宋体"/>
                <w:kern w:val="0"/>
                <w:szCs w:val="21"/>
              </w:rPr>
            </w:pPr>
          </w:p>
        </w:tc>
        <w:tc>
          <w:tcPr>
            <w:tcW w:w="520" w:type="dxa"/>
            <w:vMerge w:val="restart"/>
            <w:tcBorders>
              <w:top w:val="nil"/>
              <w:left w:val="single" w:color="auto" w:sz="4" w:space="0"/>
              <w:bottom w:val="single" w:color="000000" w:sz="4" w:space="0"/>
              <w:right w:val="single" w:color="auto" w:sz="4" w:space="0"/>
            </w:tcBorders>
            <w:noWrap/>
            <w:vAlign w:val="center"/>
          </w:tcPr>
          <w:p w14:paraId="60670096">
            <w:pPr>
              <w:widowControl/>
              <w:jc w:val="center"/>
              <w:rPr>
                <w:rFonts w:ascii="宋体" w:hAnsi="宋体" w:cs="宋体"/>
                <w:kern w:val="0"/>
                <w:szCs w:val="21"/>
              </w:rPr>
            </w:pPr>
            <w:r>
              <w:rPr>
                <w:rFonts w:hint="eastAsia" w:ascii="宋体" w:hAnsi="宋体" w:cs="宋体"/>
                <w:kern w:val="0"/>
                <w:szCs w:val="21"/>
              </w:rPr>
              <w:t>3F</w:t>
            </w:r>
          </w:p>
        </w:tc>
        <w:tc>
          <w:tcPr>
            <w:tcW w:w="600" w:type="dxa"/>
            <w:tcBorders>
              <w:top w:val="nil"/>
              <w:left w:val="nil"/>
              <w:bottom w:val="single" w:color="auto" w:sz="4" w:space="0"/>
              <w:right w:val="single" w:color="auto" w:sz="4" w:space="0"/>
            </w:tcBorders>
            <w:vAlign w:val="center"/>
          </w:tcPr>
          <w:p w14:paraId="7CFDE382">
            <w:pPr>
              <w:widowControl/>
              <w:jc w:val="center"/>
              <w:rPr>
                <w:rFonts w:ascii="宋体" w:hAnsi="宋体" w:cs="宋体"/>
                <w:kern w:val="0"/>
                <w:szCs w:val="21"/>
              </w:rPr>
            </w:pPr>
            <w:r>
              <w:rPr>
                <w:rFonts w:hint="eastAsia" w:ascii="宋体" w:hAnsi="宋体" w:cs="宋体"/>
                <w:kern w:val="0"/>
                <w:szCs w:val="21"/>
              </w:rPr>
              <w:t>309</w:t>
            </w:r>
          </w:p>
        </w:tc>
        <w:tc>
          <w:tcPr>
            <w:tcW w:w="1500" w:type="dxa"/>
            <w:tcBorders>
              <w:top w:val="nil"/>
              <w:left w:val="nil"/>
              <w:bottom w:val="single" w:color="auto" w:sz="4" w:space="0"/>
              <w:right w:val="single" w:color="auto" w:sz="4" w:space="0"/>
            </w:tcBorders>
            <w:noWrap/>
            <w:vAlign w:val="center"/>
          </w:tcPr>
          <w:p w14:paraId="75756BE9">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652B65E3">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0701D84B">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7EDD88D8">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3D961173">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20F7FE06">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02553BC2">
            <w:pPr>
              <w:widowControl/>
              <w:jc w:val="center"/>
              <w:rPr>
                <w:rFonts w:ascii="宋体" w:hAnsi="宋体" w:cs="宋体"/>
                <w:kern w:val="0"/>
                <w:szCs w:val="21"/>
              </w:rPr>
            </w:pPr>
            <w:r>
              <w:rPr>
                <w:rFonts w:hint="eastAsia" w:ascii="宋体" w:hAnsi="宋体" w:cs="宋体"/>
                <w:kern w:val="0"/>
                <w:szCs w:val="21"/>
              </w:rPr>
              <w:t>1</w:t>
            </w:r>
          </w:p>
        </w:tc>
      </w:tr>
      <w:tr w14:paraId="7D8214CC">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198E1BE4">
            <w:pPr>
              <w:widowControl/>
              <w:jc w:val="center"/>
              <w:rPr>
                <w:rFonts w:ascii="宋体" w:hAnsi="宋体" w:cs="宋体"/>
                <w:kern w:val="0"/>
                <w:szCs w:val="21"/>
              </w:rPr>
            </w:pPr>
            <w:r>
              <w:rPr>
                <w:rFonts w:hint="eastAsia" w:ascii="宋体" w:hAnsi="宋体" w:cs="宋体"/>
                <w:kern w:val="0"/>
                <w:szCs w:val="21"/>
              </w:rPr>
              <w:t>9</w:t>
            </w:r>
          </w:p>
        </w:tc>
        <w:tc>
          <w:tcPr>
            <w:tcW w:w="427" w:type="dxa"/>
            <w:vMerge w:val="continue"/>
            <w:tcBorders>
              <w:top w:val="nil"/>
              <w:left w:val="single" w:color="auto" w:sz="4" w:space="0"/>
              <w:bottom w:val="single" w:color="000000" w:sz="4" w:space="0"/>
              <w:right w:val="single" w:color="auto" w:sz="4" w:space="0"/>
            </w:tcBorders>
            <w:vAlign w:val="center"/>
          </w:tcPr>
          <w:p w14:paraId="347445A5">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2DD00C0E">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31EEE3B6">
            <w:pPr>
              <w:widowControl/>
              <w:jc w:val="center"/>
              <w:rPr>
                <w:rFonts w:ascii="宋体" w:hAnsi="宋体" w:cs="宋体"/>
                <w:kern w:val="0"/>
                <w:szCs w:val="21"/>
              </w:rPr>
            </w:pPr>
            <w:r>
              <w:rPr>
                <w:rFonts w:hint="eastAsia" w:ascii="宋体" w:hAnsi="宋体" w:cs="宋体"/>
                <w:kern w:val="0"/>
                <w:szCs w:val="21"/>
              </w:rPr>
              <w:t>325</w:t>
            </w:r>
          </w:p>
        </w:tc>
        <w:tc>
          <w:tcPr>
            <w:tcW w:w="1500" w:type="dxa"/>
            <w:tcBorders>
              <w:top w:val="nil"/>
              <w:left w:val="nil"/>
              <w:bottom w:val="single" w:color="auto" w:sz="4" w:space="0"/>
              <w:right w:val="single" w:color="auto" w:sz="4" w:space="0"/>
            </w:tcBorders>
            <w:noWrap/>
            <w:vAlign w:val="center"/>
          </w:tcPr>
          <w:p w14:paraId="727916F3">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3A18DD61">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5851BB9E">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3D1F4315">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6F9CACBA">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0141E891">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6769C4E7">
            <w:pPr>
              <w:widowControl/>
              <w:jc w:val="center"/>
              <w:rPr>
                <w:rFonts w:ascii="宋体" w:hAnsi="宋体" w:cs="宋体"/>
                <w:kern w:val="0"/>
                <w:szCs w:val="21"/>
              </w:rPr>
            </w:pPr>
            <w:r>
              <w:rPr>
                <w:rFonts w:hint="eastAsia" w:ascii="宋体" w:hAnsi="宋体" w:cs="宋体"/>
                <w:kern w:val="0"/>
                <w:szCs w:val="21"/>
              </w:rPr>
              <w:t>1</w:t>
            </w:r>
          </w:p>
        </w:tc>
      </w:tr>
      <w:tr w14:paraId="5884AA2D">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44E70DF3">
            <w:pPr>
              <w:widowControl/>
              <w:jc w:val="center"/>
              <w:rPr>
                <w:rFonts w:ascii="宋体" w:hAnsi="宋体" w:cs="宋体"/>
                <w:kern w:val="0"/>
                <w:szCs w:val="21"/>
              </w:rPr>
            </w:pPr>
            <w:r>
              <w:rPr>
                <w:rFonts w:hint="eastAsia" w:ascii="宋体" w:hAnsi="宋体" w:cs="宋体"/>
                <w:kern w:val="0"/>
                <w:szCs w:val="21"/>
              </w:rPr>
              <w:t>10</w:t>
            </w:r>
          </w:p>
        </w:tc>
        <w:tc>
          <w:tcPr>
            <w:tcW w:w="427" w:type="dxa"/>
            <w:vMerge w:val="continue"/>
            <w:tcBorders>
              <w:top w:val="nil"/>
              <w:left w:val="single" w:color="auto" w:sz="4" w:space="0"/>
              <w:bottom w:val="single" w:color="000000" w:sz="4" w:space="0"/>
              <w:right w:val="single" w:color="auto" w:sz="4" w:space="0"/>
            </w:tcBorders>
            <w:vAlign w:val="center"/>
          </w:tcPr>
          <w:p w14:paraId="773F6721">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50D60B86">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1DEBE8ED">
            <w:pPr>
              <w:widowControl/>
              <w:jc w:val="center"/>
              <w:rPr>
                <w:rFonts w:ascii="宋体" w:hAnsi="宋体" w:cs="宋体"/>
                <w:kern w:val="0"/>
                <w:szCs w:val="21"/>
              </w:rPr>
            </w:pPr>
            <w:r>
              <w:rPr>
                <w:rFonts w:hint="eastAsia" w:ascii="宋体" w:hAnsi="宋体" w:cs="宋体"/>
                <w:kern w:val="0"/>
                <w:szCs w:val="21"/>
              </w:rPr>
              <w:t>328</w:t>
            </w:r>
          </w:p>
        </w:tc>
        <w:tc>
          <w:tcPr>
            <w:tcW w:w="1500" w:type="dxa"/>
            <w:tcBorders>
              <w:top w:val="nil"/>
              <w:left w:val="nil"/>
              <w:bottom w:val="single" w:color="auto" w:sz="4" w:space="0"/>
              <w:right w:val="single" w:color="auto" w:sz="4" w:space="0"/>
            </w:tcBorders>
            <w:noWrap/>
            <w:vAlign w:val="center"/>
          </w:tcPr>
          <w:p w14:paraId="12AE222C">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4E79B021">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714F2039">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7FCB5F36">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1E30BFAA">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78BE515">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0C2C3D5B">
            <w:pPr>
              <w:widowControl/>
              <w:jc w:val="center"/>
              <w:rPr>
                <w:rFonts w:ascii="宋体" w:hAnsi="宋体" w:cs="宋体"/>
                <w:kern w:val="0"/>
                <w:szCs w:val="21"/>
              </w:rPr>
            </w:pPr>
            <w:r>
              <w:rPr>
                <w:rFonts w:hint="eastAsia" w:ascii="宋体" w:hAnsi="宋体" w:cs="宋体"/>
                <w:kern w:val="0"/>
                <w:szCs w:val="21"/>
              </w:rPr>
              <w:t>1</w:t>
            </w:r>
          </w:p>
        </w:tc>
      </w:tr>
      <w:tr w14:paraId="03AD1249">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75490E81">
            <w:pPr>
              <w:widowControl/>
              <w:jc w:val="center"/>
              <w:rPr>
                <w:rFonts w:ascii="宋体" w:hAnsi="宋体" w:cs="宋体"/>
                <w:kern w:val="0"/>
                <w:szCs w:val="21"/>
              </w:rPr>
            </w:pPr>
            <w:r>
              <w:rPr>
                <w:rFonts w:hint="eastAsia" w:ascii="宋体" w:hAnsi="宋体" w:cs="宋体"/>
                <w:kern w:val="0"/>
                <w:szCs w:val="21"/>
              </w:rPr>
              <w:t>11</w:t>
            </w:r>
          </w:p>
        </w:tc>
        <w:tc>
          <w:tcPr>
            <w:tcW w:w="427" w:type="dxa"/>
            <w:vMerge w:val="continue"/>
            <w:tcBorders>
              <w:top w:val="nil"/>
              <w:left w:val="single" w:color="auto" w:sz="4" w:space="0"/>
              <w:bottom w:val="single" w:color="000000" w:sz="4" w:space="0"/>
              <w:right w:val="single" w:color="auto" w:sz="4" w:space="0"/>
            </w:tcBorders>
            <w:vAlign w:val="center"/>
          </w:tcPr>
          <w:p w14:paraId="04CECE49">
            <w:pPr>
              <w:widowControl/>
              <w:jc w:val="left"/>
              <w:rPr>
                <w:rFonts w:ascii="宋体" w:hAnsi="宋体" w:cs="宋体"/>
                <w:kern w:val="0"/>
                <w:szCs w:val="21"/>
              </w:rPr>
            </w:pPr>
          </w:p>
        </w:tc>
        <w:tc>
          <w:tcPr>
            <w:tcW w:w="520" w:type="dxa"/>
            <w:vMerge w:val="restart"/>
            <w:tcBorders>
              <w:top w:val="nil"/>
              <w:left w:val="single" w:color="auto" w:sz="4" w:space="0"/>
              <w:bottom w:val="single" w:color="000000" w:sz="4" w:space="0"/>
              <w:right w:val="single" w:color="auto" w:sz="4" w:space="0"/>
            </w:tcBorders>
            <w:noWrap/>
            <w:vAlign w:val="center"/>
          </w:tcPr>
          <w:p w14:paraId="48ABF47E">
            <w:pPr>
              <w:widowControl/>
              <w:jc w:val="center"/>
              <w:rPr>
                <w:rFonts w:ascii="宋体" w:hAnsi="宋体" w:cs="宋体"/>
                <w:kern w:val="0"/>
                <w:szCs w:val="21"/>
              </w:rPr>
            </w:pPr>
            <w:r>
              <w:rPr>
                <w:rFonts w:hint="eastAsia" w:ascii="宋体" w:hAnsi="宋体" w:cs="宋体"/>
                <w:kern w:val="0"/>
                <w:szCs w:val="21"/>
              </w:rPr>
              <w:t>4F</w:t>
            </w:r>
          </w:p>
        </w:tc>
        <w:tc>
          <w:tcPr>
            <w:tcW w:w="600" w:type="dxa"/>
            <w:tcBorders>
              <w:top w:val="nil"/>
              <w:left w:val="nil"/>
              <w:bottom w:val="single" w:color="auto" w:sz="4" w:space="0"/>
              <w:right w:val="single" w:color="auto" w:sz="4" w:space="0"/>
            </w:tcBorders>
            <w:vAlign w:val="center"/>
          </w:tcPr>
          <w:p w14:paraId="58E22705">
            <w:pPr>
              <w:widowControl/>
              <w:jc w:val="center"/>
              <w:rPr>
                <w:rFonts w:ascii="宋体" w:hAnsi="宋体" w:cs="宋体"/>
                <w:kern w:val="0"/>
                <w:szCs w:val="21"/>
              </w:rPr>
            </w:pPr>
            <w:r>
              <w:rPr>
                <w:rFonts w:hint="eastAsia" w:ascii="宋体" w:hAnsi="宋体" w:cs="宋体"/>
                <w:kern w:val="0"/>
                <w:szCs w:val="21"/>
              </w:rPr>
              <w:t>405</w:t>
            </w:r>
          </w:p>
        </w:tc>
        <w:tc>
          <w:tcPr>
            <w:tcW w:w="1500" w:type="dxa"/>
            <w:tcBorders>
              <w:top w:val="nil"/>
              <w:left w:val="nil"/>
              <w:bottom w:val="single" w:color="auto" w:sz="4" w:space="0"/>
              <w:right w:val="single" w:color="auto" w:sz="4" w:space="0"/>
            </w:tcBorders>
            <w:noWrap/>
            <w:vAlign w:val="center"/>
          </w:tcPr>
          <w:p w14:paraId="22304584">
            <w:pPr>
              <w:widowControl/>
              <w:jc w:val="center"/>
              <w:rPr>
                <w:rFonts w:ascii="宋体" w:hAnsi="宋体" w:cs="宋体"/>
                <w:kern w:val="0"/>
                <w:szCs w:val="21"/>
              </w:rPr>
            </w:pPr>
            <w:r>
              <w:rPr>
                <w:rFonts w:hint="eastAsia" w:ascii="宋体" w:hAnsi="宋体" w:cs="宋体"/>
                <w:kern w:val="0"/>
                <w:szCs w:val="21"/>
              </w:rPr>
              <w:t>副总经理</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4E8C5534">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755290BE">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728B8BD3">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43C0527B">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1EABF754">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31A267A6">
            <w:pPr>
              <w:widowControl/>
              <w:jc w:val="center"/>
              <w:rPr>
                <w:rFonts w:ascii="宋体" w:hAnsi="宋体" w:cs="宋体"/>
                <w:kern w:val="0"/>
                <w:szCs w:val="21"/>
              </w:rPr>
            </w:pPr>
            <w:r>
              <w:rPr>
                <w:rFonts w:hint="eastAsia" w:ascii="宋体" w:hAnsi="宋体" w:cs="宋体"/>
                <w:kern w:val="0"/>
                <w:szCs w:val="21"/>
              </w:rPr>
              <w:t>1</w:t>
            </w:r>
          </w:p>
        </w:tc>
      </w:tr>
      <w:tr w14:paraId="4E2C94FC">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559AE022">
            <w:pPr>
              <w:widowControl/>
              <w:jc w:val="center"/>
              <w:rPr>
                <w:rFonts w:ascii="宋体" w:hAnsi="宋体" w:cs="宋体"/>
                <w:kern w:val="0"/>
                <w:szCs w:val="21"/>
              </w:rPr>
            </w:pPr>
            <w:r>
              <w:rPr>
                <w:rFonts w:hint="eastAsia" w:ascii="宋体" w:hAnsi="宋体" w:cs="宋体"/>
                <w:kern w:val="0"/>
                <w:szCs w:val="21"/>
              </w:rPr>
              <w:t>12</w:t>
            </w:r>
          </w:p>
        </w:tc>
        <w:tc>
          <w:tcPr>
            <w:tcW w:w="427" w:type="dxa"/>
            <w:vMerge w:val="continue"/>
            <w:tcBorders>
              <w:top w:val="nil"/>
              <w:left w:val="single" w:color="auto" w:sz="4" w:space="0"/>
              <w:bottom w:val="single" w:color="000000" w:sz="4" w:space="0"/>
              <w:right w:val="single" w:color="auto" w:sz="4" w:space="0"/>
            </w:tcBorders>
            <w:vAlign w:val="center"/>
          </w:tcPr>
          <w:p w14:paraId="6EB3B729">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0957F052">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17C050B2">
            <w:pPr>
              <w:widowControl/>
              <w:jc w:val="center"/>
              <w:rPr>
                <w:rFonts w:ascii="宋体" w:hAnsi="宋体" w:cs="宋体"/>
                <w:kern w:val="0"/>
                <w:szCs w:val="21"/>
              </w:rPr>
            </w:pPr>
            <w:r>
              <w:rPr>
                <w:rFonts w:hint="eastAsia" w:ascii="宋体" w:hAnsi="宋体" w:cs="宋体"/>
                <w:kern w:val="0"/>
                <w:szCs w:val="21"/>
              </w:rPr>
              <w:t>408</w:t>
            </w:r>
          </w:p>
        </w:tc>
        <w:tc>
          <w:tcPr>
            <w:tcW w:w="1500" w:type="dxa"/>
            <w:tcBorders>
              <w:top w:val="nil"/>
              <w:left w:val="nil"/>
              <w:bottom w:val="single" w:color="auto" w:sz="4" w:space="0"/>
              <w:right w:val="single" w:color="auto" w:sz="4" w:space="0"/>
            </w:tcBorders>
            <w:noWrap/>
            <w:vAlign w:val="center"/>
          </w:tcPr>
          <w:p w14:paraId="78351C10">
            <w:pPr>
              <w:widowControl/>
              <w:jc w:val="center"/>
              <w:rPr>
                <w:rFonts w:ascii="宋体" w:hAnsi="宋体" w:cs="宋体"/>
                <w:kern w:val="0"/>
                <w:szCs w:val="21"/>
              </w:rPr>
            </w:pPr>
            <w:r>
              <w:rPr>
                <w:rFonts w:hint="eastAsia" w:ascii="宋体" w:hAnsi="宋体" w:cs="宋体"/>
                <w:kern w:val="0"/>
                <w:szCs w:val="21"/>
              </w:rPr>
              <w:t>副总经理</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72C38C39">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13AF2AB8">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40731BF5">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49E921CF">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3EB9EDF7">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681F278A">
            <w:pPr>
              <w:widowControl/>
              <w:jc w:val="center"/>
              <w:rPr>
                <w:rFonts w:ascii="宋体" w:hAnsi="宋体" w:cs="宋体"/>
                <w:kern w:val="0"/>
                <w:szCs w:val="21"/>
              </w:rPr>
            </w:pPr>
            <w:r>
              <w:rPr>
                <w:rFonts w:hint="eastAsia" w:ascii="宋体" w:hAnsi="宋体" w:cs="宋体"/>
                <w:kern w:val="0"/>
                <w:szCs w:val="21"/>
              </w:rPr>
              <w:t>1</w:t>
            </w:r>
          </w:p>
        </w:tc>
      </w:tr>
      <w:tr w14:paraId="5A7883B7">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40FEA881">
            <w:pPr>
              <w:widowControl/>
              <w:jc w:val="center"/>
              <w:rPr>
                <w:rFonts w:ascii="宋体" w:hAnsi="宋体" w:cs="宋体"/>
                <w:kern w:val="0"/>
                <w:szCs w:val="21"/>
              </w:rPr>
            </w:pPr>
            <w:r>
              <w:rPr>
                <w:rFonts w:hint="eastAsia" w:ascii="宋体" w:hAnsi="宋体" w:cs="宋体"/>
                <w:kern w:val="0"/>
                <w:szCs w:val="21"/>
              </w:rPr>
              <w:t>13</w:t>
            </w:r>
          </w:p>
        </w:tc>
        <w:tc>
          <w:tcPr>
            <w:tcW w:w="427" w:type="dxa"/>
            <w:vMerge w:val="continue"/>
            <w:tcBorders>
              <w:top w:val="nil"/>
              <w:left w:val="single" w:color="auto" w:sz="4" w:space="0"/>
              <w:bottom w:val="single" w:color="000000" w:sz="4" w:space="0"/>
              <w:right w:val="single" w:color="auto" w:sz="4" w:space="0"/>
            </w:tcBorders>
            <w:vAlign w:val="center"/>
          </w:tcPr>
          <w:p w14:paraId="5E6E2F62">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5EF20477">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430C4BE8">
            <w:pPr>
              <w:widowControl/>
              <w:jc w:val="center"/>
              <w:rPr>
                <w:rFonts w:ascii="宋体" w:hAnsi="宋体" w:cs="宋体"/>
                <w:kern w:val="0"/>
                <w:szCs w:val="21"/>
              </w:rPr>
            </w:pPr>
            <w:r>
              <w:rPr>
                <w:rFonts w:hint="eastAsia" w:ascii="宋体" w:hAnsi="宋体" w:cs="宋体"/>
                <w:kern w:val="0"/>
                <w:szCs w:val="21"/>
              </w:rPr>
              <w:t>410</w:t>
            </w:r>
          </w:p>
        </w:tc>
        <w:tc>
          <w:tcPr>
            <w:tcW w:w="1500" w:type="dxa"/>
            <w:tcBorders>
              <w:top w:val="nil"/>
              <w:left w:val="nil"/>
              <w:bottom w:val="single" w:color="auto" w:sz="4" w:space="0"/>
              <w:right w:val="single" w:color="auto" w:sz="4" w:space="0"/>
            </w:tcBorders>
            <w:noWrap/>
            <w:vAlign w:val="center"/>
          </w:tcPr>
          <w:p w14:paraId="69978046">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78F97080">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163996EC">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710AF974">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6CEC13B0">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3025DA8">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4D08BBBF">
            <w:pPr>
              <w:widowControl/>
              <w:jc w:val="center"/>
              <w:rPr>
                <w:rFonts w:ascii="宋体" w:hAnsi="宋体" w:cs="宋体"/>
                <w:kern w:val="0"/>
                <w:szCs w:val="21"/>
              </w:rPr>
            </w:pPr>
            <w:r>
              <w:rPr>
                <w:rFonts w:hint="eastAsia" w:ascii="宋体" w:hAnsi="宋体" w:cs="宋体"/>
                <w:kern w:val="0"/>
                <w:szCs w:val="21"/>
              </w:rPr>
              <w:t>1</w:t>
            </w:r>
          </w:p>
        </w:tc>
      </w:tr>
      <w:tr w14:paraId="149FEC6D">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879ABFF">
            <w:pPr>
              <w:widowControl/>
              <w:jc w:val="center"/>
              <w:rPr>
                <w:rFonts w:ascii="宋体" w:hAnsi="宋体" w:cs="宋体"/>
                <w:kern w:val="0"/>
                <w:szCs w:val="21"/>
              </w:rPr>
            </w:pPr>
            <w:r>
              <w:rPr>
                <w:rFonts w:hint="eastAsia" w:ascii="宋体" w:hAnsi="宋体" w:cs="宋体"/>
                <w:kern w:val="0"/>
                <w:szCs w:val="21"/>
              </w:rPr>
              <w:t>14</w:t>
            </w:r>
          </w:p>
        </w:tc>
        <w:tc>
          <w:tcPr>
            <w:tcW w:w="427" w:type="dxa"/>
            <w:vMerge w:val="continue"/>
            <w:tcBorders>
              <w:top w:val="nil"/>
              <w:left w:val="single" w:color="auto" w:sz="4" w:space="0"/>
              <w:bottom w:val="single" w:color="000000" w:sz="4" w:space="0"/>
              <w:right w:val="single" w:color="auto" w:sz="4" w:space="0"/>
            </w:tcBorders>
            <w:vAlign w:val="center"/>
          </w:tcPr>
          <w:p w14:paraId="302FB9DE">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6C12D25C">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5E32C891">
            <w:pPr>
              <w:widowControl/>
              <w:jc w:val="center"/>
              <w:rPr>
                <w:rFonts w:ascii="宋体" w:hAnsi="宋体" w:cs="宋体"/>
                <w:kern w:val="0"/>
                <w:szCs w:val="21"/>
              </w:rPr>
            </w:pPr>
            <w:r>
              <w:rPr>
                <w:rFonts w:hint="eastAsia" w:ascii="宋体" w:hAnsi="宋体" w:cs="宋体"/>
                <w:kern w:val="0"/>
                <w:szCs w:val="21"/>
              </w:rPr>
              <w:t>411</w:t>
            </w:r>
          </w:p>
        </w:tc>
        <w:tc>
          <w:tcPr>
            <w:tcW w:w="1500" w:type="dxa"/>
            <w:tcBorders>
              <w:top w:val="nil"/>
              <w:left w:val="nil"/>
              <w:bottom w:val="single" w:color="auto" w:sz="4" w:space="0"/>
              <w:right w:val="single" w:color="auto" w:sz="4" w:space="0"/>
            </w:tcBorders>
            <w:noWrap/>
            <w:vAlign w:val="center"/>
          </w:tcPr>
          <w:p w14:paraId="0F4EAA5B">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57CF4F13">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65D944B0">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140D1D04">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42264100">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228534C1">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7DC0234E">
            <w:pPr>
              <w:widowControl/>
              <w:jc w:val="center"/>
              <w:rPr>
                <w:rFonts w:ascii="宋体" w:hAnsi="宋体" w:cs="宋体"/>
                <w:kern w:val="0"/>
                <w:szCs w:val="21"/>
              </w:rPr>
            </w:pPr>
            <w:r>
              <w:rPr>
                <w:rFonts w:hint="eastAsia" w:ascii="宋体" w:hAnsi="宋体" w:cs="宋体"/>
                <w:kern w:val="0"/>
                <w:szCs w:val="21"/>
              </w:rPr>
              <w:t>1</w:t>
            </w:r>
          </w:p>
        </w:tc>
      </w:tr>
      <w:tr w14:paraId="023FB4D1">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452DFEE3">
            <w:pPr>
              <w:widowControl/>
              <w:jc w:val="center"/>
              <w:rPr>
                <w:rFonts w:ascii="宋体" w:hAnsi="宋体" w:cs="宋体"/>
                <w:kern w:val="0"/>
                <w:szCs w:val="21"/>
              </w:rPr>
            </w:pPr>
            <w:r>
              <w:rPr>
                <w:rFonts w:hint="eastAsia" w:ascii="宋体" w:hAnsi="宋体" w:cs="宋体"/>
                <w:kern w:val="0"/>
                <w:szCs w:val="21"/>
              </w:rPr>
              <w:t>15</w:t>
            </w:r>
          </w:p>
        </w:tc>
        <w:tc>
          <w:tcPr>
            <w:tcW w:w="427" w:type="dxa"/>
            <w:vMerge w:val="continue"/>
            <w:tcBorders>
              <w:top w:val="nil"/>
              <w:left w:val="single" w:color="auto" w:sz="4" w:space="0"/>
              <w:bottom w:val="single" w:color="000000" w:sz="4" w:space="0"/>
              <w:right w:val="single" w:color="auto" w:sz="4" w:space="0"/>
            </w:tcBorders>
            <w:vAlign w:val="center"/>
          </w:tcPr>
          <w:p w14:paraId="064B5CFE">
            <w:pPr>
              <w:widowControl/>
              <w:jc w:val="left"/>
              <w:rPr>
                <w:rFonts w:ascii="宋体" w:hAnsi="宋体" w:cs="宋体"/>
                <w:kern w:val="0"/>
                <w:szCs w:val="21"/>
              </w:rPr>
            </w:pPr>
          </w:p>
        </w:tc>
        <w:tc>
          <w:tcPr>
            <w:tcW w:w="520" w:type="dxa"/>
            <w:vMerge w:val="continue"/>
            <w:tcBorders>
              <w:top w:val="nil"/>
              <w:left w:val="single" w:color="auto" w:sz="4" w:space="0"/>
              <w:bottom w:val="single" w:color="000000" w:sz="4" w:space="0"/>
              <w:right w:val="single" w:color="auto" w:sz="4" w:space="0"/>
            </w:tcBorders>
            <w:vAlign w:val="center"/>
          </w:tcPr>
          <w:p w14:paraId="2E56558C">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794D9A05">
            <w:pPr>
              <w:widowControl/>
              <w:jc w:val="center"/>
              <w:rPr>
                <w:rFonts w:ascii="宋体" w:hAnsi="宋体" w:cs="宋体"/>
                <w:kern w:val="0"/>
                <w:szCs w:val="21"/>
              </w:rPr>
            </w:pPr>
            <w:r>
              <w:rPr>
                <w:rFonts w:hint="eastAsia" w:ascii="宋体" w:hAnsi="宋体" w:cs="宋体"/>
                <w:kern w:val="0"/>
                <w:szCs w:val="21"/>
              </w:rPr>
              <w:t>423</w:t>
            </w:r>
          </w:p>
        </w:tc>
        <w:tc>
          <w:tcPr>
            <w:tcW w:w="1500" w:type="dxa"/>
            <w:tcBorders>
              <w:top w:val="nil"/>
              <w:left w:val="nil"/>
              <w:bottom w:val="single" w:color="auto" w:sz="4" w:space="0"/>
              <w:right w:val="single" w:color="auto" w:sz="4" w:space="0"/>
            </w:tcBorders>
            <w:noWrap/>
            <w:vAlign w:val="center"/>
          </w:tcPr>
          <w:p w14:paraId="48F0EB44">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426248DE">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5FD43AEC">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3D74FA13">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2E2C24F7">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092A6DDC">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3F1937E8">
            <w:pPr>
              <w:widowControl/>
              <w:jc w:val="center"/>
              <w:rPr>
                <w:rFonts w:ascii="宋体" w:hAnsi="宋体" w:cs="宋体"/>
                <w:kern w:val="0"/>
                <w:szCs w:val="21"/>
              </w:rPr>
            </w:pPr>
            <w:r>
              <w:rPr>
                <w:rFonts w:hint="eastAsia" w:ascii="宋体" w:hAnsi="宋体" w:cs="宋体"/>
                <w:kern w:val="0"/>
                <w:szCs w:val="21"/>
              </w:rPr>
              <w:t>1</w:t>
            </w:r>
          </w:p>
        </w:tc>
      </w:tr>
      <w:tr w14:paraId="56C924E4">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D4FEF76">
            <w:pPr>
              <w:widowControl/>
              <w:jc w:val="center"/>
              <w:rPr>
                <w:rFonts w:ascii="宋体" w:hAnsi="宋体" w:cs="宋体"/>
                <w:kern w:val="0"/>
                <w:szCs w:val="21"/>
              </w:rPr>
            </w:pPr>
            <w:r>
              <w:rPr>
                <w:rFonts w:hint="eastAsia" w:ascii="宋体" w:hAnsi="宋体" w:cs="宋体"/>
                <w:kern w:val="0"/>
                <w:szCs w:val="21"/>
              </w:rPr>
              <w:t>16</w:t>
            </w:r>
          </w:p>
        </w:tc>
        <w:tc>
          <w:tcPr>
            <w:tcW w:w="427" w:type="dxa"/>
            <w:vMerge w:val="continue"/>
            <w:tcBorders>
              <w:top w:val="nil"/>
              <w:left w:val="single" w:color="auto" w:sz="4" w:space="0"/>
              <w:bottom w:val="single" w:color="000000" w:sz="4" w:space="0"/>
              <w:right w:val="single" w:color="auto" w:sz="4" w:space="0"/>
            </w:tcBorders>
            <w:vAlign w:val="center"/>
          </w:tcPr>
          <w:p w14:paraId="50AB4310">
            <w:pPr>
              <w:widowControl/>
              <w:jc w:val="left"/>
              <w:rPr>
                <w:rFonts w:ascii="宋体" w:hAnsi="宋体" w:cs="宋体"/>
                <w:kern w:val="0"/>
                <w:szCs w:val="21"/>
              </w:rPr>
            </w:pPr>
          </w:p>
        </w:tc>
        <w:tc>
          <w:tcPr>
            <w:tcW w:w="520" w:type="dxa"/>
            <w:vMerge w:val="restart"/>
            <w:tcBorders>
              <w:top w:val="nil"/>
              <w:left w:val="single" w:color="auto" w:sz="4" w:space="0"/>
              <w:bottom w:val="single" w:color="auto" w:sz="4" w:space="0"/>
              <w:right w:val="single" w:color="auto" w:sz="4" w:space="0"/>
            </w:tcBorders>
            <w:noWrap/>
            <w:vAlign w:val="center"/>
          </w:tcPr>
          <w:p w14:paraId="631BB884">
            <w:pPr>
              <w:widowControl/>
              <w:jc w:val="center"/>
              <w:rPr>
                <w:rFonts w:ascii="宋体" w:hAnsi="宋体" w:cs="宋体"/>
                <w:kern w:val="0"/>
                <w:szCs w:val="21"/>
              </w:rPr>
            </w:pPr>
            <w:r>
              <w:rPr>
                <w:rFonts w:hint="eastAsia" w:ascii="宋体" w:hAnsi="宋体" w:cs="宋体"/>
                <w:kern w:val="0"/>
                <w:szCs w:val="21"/>
              </w:rPr>
              <w:t>5F</w:t>
            </w:r>
          </w:p>
        </w:tc>
        <w:tc>
          <w:tcPr>
            <w:tcW w:w="600" w:type="dxa"/>
            <w:tcBorders>
              <w:top w:val="nil"/>
              <w:left w:val="nil"/>
              <w:bottom w:val="single" w:color="auto" w:sz="4" w:space="0"/>
              <w:right w:val="single" w:color="auto" w:sz="4" w:space="0"/>
            </w:tcBorders>
            <w:vAlign w:val="center"/>
          </w:tcPr>
          <w:p w14:paraId="08EA25BC">
            <w:pPr>
              <w:widowControl/>
              <w:jc w:val="center"/>
              <w:rPr>
                <w:rFonts w:ascii="宋体" w:hAnsi="宋体" w:cs="宋体"/>
                <w:kern w:val="0"/>
                <w:szCs w:val="21"/>
              </w:rPr>
            </w:pPr>
            <w:r>
              <w:rPr>
                <w:rFonts w:hint="eastAsia" w:ascii="宋体" w:hAnsi="宋体" w:cs="宋体"/>
                <w:kern w:val="0"/>
                <w:szCs w:val="21"/>
              </w:rPr>
              <w:t>501</w:t>
            </w:r>
          </w:p>
        </w:tc>
        <w:tc>
          <w:tcPr>
            <w:tcW w:w="1500" w:type="dxa"/>
            <w:tcBorders>
              <w:top w:val="nil"/>
              <w:left w:val="nil"/>
              <w:bottom w:val="single" w:color="auto" w:sz="4" w:space="0"/>
              <w:right w:val="single" w:color="auto" w:sz="4" w:space="0"/>
            </w:tcBorders>
            <w:shd w:val="clear" w:color="000000" w:fill="FFFFFF"/>
            <w:noWrap/>
            <w:vAlign w:val="center"/>
          </w:tcPr>
          <w:p w14:paraId="00FD5E59">
            <w:pPr>
              <w:widowControl/>
              <w:jc w:val="center"/>
              <w:rPr>
                <w:rFonts w:ascii="宋体" w:hAnsi="宋体" w:cs="宋体"/>
                <w:kern w:val="0"/>
                <w:szCs w:val="21"/>
              </w:rPr>
            </w:pPr>
            <w:r>
              <w:rPr>
                <w:rFonts w:hint="eastAsia" w:ascii="宋体" w:hAnsi="宋体" w:cs="宋体"/>
                <w:kern w:val="0"/>
                <w:szCs w:val="21"/>
              </w:rPr>
              <w:t>董事长</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54932275">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14B714B4">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0BDD4AE7">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1502426C">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5416EF33">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5424F5B8">
            <w:pPr>
              <w:widowControl/>
              <w:jc w:val="center"/>
              <w:rPr>
                <w:rFonts w:ascii="宋体" w:hAnsi="宋体" w:cs="宋体"/>
                <w:kern w:val="0"/>
                <w:szCs w:val="21"/>
              </w:rPr>
            </w:pPr>
            <w:r>
              <w:rPr>
                <w:rFonts w:hint="eastAsia" w:ascii="宋体" w:hAnsi="宋体" w:cs="宋体"/>
                <w:kern w:val="0"/>
                <w:szCs w:val="21"/>
              </w:rPr>
              <w:t>1</w:t>
            </w:r>
          </w:p>
        </w:tc>
      </w:tr>
      <w:tr w14:paraId="1FB5F1AB">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9063748">
            <w:pPr>
              <w:widowControl/>
              <w:jc w:val="center"/>
              <w:rPr>
                <w:rFonts w:ascii="宋体" w:hAnsi="宋体" w:cs="宋体"/>
                <w:kern w:val="0"/>
                <w:szCs w:val="21"/>
              </w:rPr>
            </w:pPr>
            <w:r>
              <w:rPr>
                <w:rFonts w:hint="eastAsia" w:ascii="宋体" w:hAnsi="宋体" w:cs="宋体"/>
                <w:kern w:val="0"/>
                <w:szCs w:val="21"/>
              </w:rPr>
              <w:t>17</w:t>
            </w:r>
          </w:p>
        </w:tc>
        <w:tc>
          <w:tcPr>
            <w:tcW w:w="427" w:type="dxa"/>
            <w:vMerge w:val="continue"/>
            <w:tcBorders>
              <w:top w:val="nil"/>
              <w:left w:val="single" w:color="auto" w:sz="4" w:space="0"/>
              <w:bottom w:val="single" w:color="000000" w:sz="4" w:space="0"/>
              <w:right w:val="single" w:color="auto" w:sz="4" w:space="0"/>
            </w:tcBorders>
            <w:vAlign w:val="center"/>
          </w:tcPr>
          <w:p w14:paraId="02351047">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14C6E958">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1486DFF3">
            <w:pPr>
              <w:widowControl/>
              <w:jc w:val="center"/>
              <w:rPr>
                <w:rFonts w:ascii="宋体" w:hAnsi="宋体" w:cs="宋体"/>
                <w:kern w:val="0"/>
                <w:szCs w:val="21"/>
              </w:rPr>
            </w:pPr>
            <w:r>
              <w:rPr>
                <w:rFonts w:hint="eastAsia" w:ascii="宋体" w:hAnsi="宋体" w:cs="宋体"/>
                <w:kern w:val="0"/>
                <w:szCs w:val="21"/>
              </w:rPr>
              <w:t>502</w:t>
            </w:r>
          </w:p>
        </w:tc>
        <w:tc>
          <w:tcPr>
            <w:tcW w:w="1500" w:type="dxa"/>
            <w:tcBorders>
              <w:top w:val="nil"/>
              <w:left w:val="nil"/>
              <w:bottom w:val="single" w:color="auto" w:sz="4" w:space="0"/>
              <w:right w:val="single" w:color="auto" w:sz="4" w:space="0"/>
            </w:tcBorders>
            <w:shd w:val="clear" w:color="000000" w:fill="FFFFFF"/>
            <w:noWrap/>
            <w:vAlign w:val="center"/>
          </w:tcPr>
          <w:p w14:paraId="0CA5452E">
            <w:pPr>
              <w:widowControl/>
              <w:jc w:val="center"/>
              <w:rPr>
                <w:rFonts w:ascii="宋体" w:hAnsi="宋体" w:cs="宋体"/>
                <w:kern w:val="0"/>
                <w:szCs w:val="21"/>
              </w:rPr>
            </w:pPr>
            <w:r>
              <w:rPr>
                <w:rFonts w:hint="eastAsia" w:ascii="宋体" w:hAnsi="宋体" w:cs="宋体"/>
                <w:kern w:val="0"/>
                <w:szCs w:val="21"/>
              </w:rPr>
              <w:t>党委副书记</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0F18401D">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229E9FB8">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6B293CD1">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7CF20B46">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563A5FC1">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44E6EDC3">
            <w:pPr>
              <w:widowControl/>
              <w:jc w:val="center"/>
              <w:rPr>
                <w:rFonts w:ascii="宋体" w:hAnsi="宋体" w:cs="宋体"/>
                <w:kern w:val="0"/>
                <w:szCs w:val="21"/>
              </w:rPr>
            </w:pPr>
            <w:r>
              <w:rPr>
                <w:rFonts w:hint="eastAsia" w:ascii="宋体" w:hAnsi="宋体" w:cs="宋体"/>
                <w:kern w:val="0"/>
                <w:szCs w:val="21"/>
              </w:rPr>
              <w:t>1</w:t>
            </w:r>
          </w:p>
        </w:tc>
      </w:tr>
      <w:tr w14:paraId="71CBBE02">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5582D977">
            <w:pPr>
              <w:widowControl/>
              <w:jc w:val="center"/>
              <w:rPr>
                <w:rFonts w:ascii="宋体" w:hAnsi="宋体" w:cs="宋体"/>
                <w:kern w:val="0"/>
                <w:szCs w:val="21"/>
              </w:rPr>
            </w:pPr>
            <w:r>
              <w:rPr>
                <w:rFonts w:hint="eastAsia" w:ascii="宋体" w:hAnsi="宋体" w:cs="宋体"/>
                <w:kern w:val="0"/>
                <w:szCs w:val="21"/>
              </w:rPr>
              <w:t>18</w:t>
            </w:r>
          </w:p>
        </w:tc>
        <w:tc>
          <w:tcPr>
            <w:tcW w:w="427" w:type="dxa"/>
            <w:vMerge w:val="continue"/>
            <w:tcBorders>
              <w:top w:val="nil"/>
              <w:left w:val="single" w:color="auto" w:sz="4" w:space="0"/>
              <w:bottom w:val="single" w:color="000000" w:sz="4" w:space="0"/>
              <w:right w:val="single" w:color="auto" w:sz="4" w:space="0"/>
            </w:tcBorders>
            <w:vAlign w:val="center"/>
          </w:tcPr>
          <w:p w14:paraId="27566F4A">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098E37CE">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2909A4D4">
            <w:pPr>
              <w:widowControl/>
              <w:jc w:val="center"/>
              <w:rPr>
                <w:rFonts w:ascii="宋体" w:hAnsi="宋体" w:cs="宋体"/>
                <w:kern w:val="0"/>
                <w:szCs w:val="21"/>
              </w:rPr>
            </w:pPr>
            <w:r>
              <w:rPr>
                <w:rFonts w:hint="eastAsia" w:ascii="宋体" w:hAnsi="宋体" w:cs="宋体"/>
                <w:kern w:val="0"/>
                <w:szCs w:val="21"/>
              </w:rPr>
              <w:t>503</w:t>
            </w:r>
          </w:p>
        </w:tc>
        <w:tc>
          <w:tcPr>
            <w:tcW w:w="1500" w:type="dxa"/>
            <w:tcBorders>
              <w:top w:val="nil"/>
              <w:left w:val="nil"/>
              <w:bottom w:val="single" w:color="auto" w:sz="4" w:space="0"/>
              <w:right w:val="single" w:color="auto" w:sz="4" w:space="0"/>
            </w:tcBorders>
            <w:shd w:val="clear" w:color="000000" w:fill="FFFFFF"/>
            <w:noWrap/>
            <w:vAlign w:val="center"/>
          </w:tcPr>
          <w:p w14:paraId="10D3C1A2">
            <w:pPr>
              <w:widowControl/>
              <w:jc w:val="center"/>
              <w:rPr>
                <w:rFonts w:ascii="宋体" w:hAnsi="宋体" w:cs="宋体"/>
                <w:kern w:val="0"/>
                <w:szCs w:val="21"/>
              </w:rPr>
            </w:pPr>
            <w:r>
              <w:rPr>
                <w:rFonts w:hint="eastAsia" w:ascii="宋体" w:hAnsi="宋体" w:cs="宋体"/>
                <w:kern w:val="0"/>
                <w:szCs w:val="21"/>
              </w:rPr>
              <w:t>总会计师</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1721F126">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59989135">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6F9B0295">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177E6FAB">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D5B0FE6">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4206E39A">
            <w:pPr>
              <w:widowControl/>
              <w:jc w:val="center"/>
              <w:rPr>
                <w:rFonts w:ascii="宋体" w:hAnsi="宋体" w:cs="宋体"/>
                <w:kern w:val="0"/>
                <w:szCs w:val="21"/>
              </w:rPr>
            </w:pPr>
            <w:r>
              <w:rPr>
                <w:rFonts w:hint="eastAsia" w:ascii="宋体" w:hAnsi="宋体" w:cs="宋体"/>
                <w:kern w:val="0"/>
                <w:szCs w:val="21"/>
              </w:rPr>
              <w:t>1</w:t>
            </w:r>
          </w:p>
        </w:tc>
      </w:tr>
      <w:tr w14:paraId="45B61AFF">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69AAA407">
            <w:pPr>
              <w:widowControl/>
              <w:jc w:val="center"/>
              <w:rPr>
                <w:rFonts w:ascii="宋体" w:hAnsi="宋体" w:cs="宋体"/>
                <w:kern w:val="0"/>
                <w:szCs w:val="21"/>
              </w:rPr>
            </w:pPr>
            <w:r>
              <w:rPr>
                <w:rFonts w:hint="eastAsia" w:ascii="宋体" w:hAnsi="宋体" w:cs="宋体"/>
                <w:kern w:val="0"/>
                <w:szCs w:val="21"/>
              </w:rPr>
              <w:t>19</w:t>
            </w:r>
          </w:p>
        </w:tc>
        <w:tc>
          <w:tcPr>
            <w:tcW w:w="427" w:type="dxa"/>
            <w:vMerge w:val="continue"/>
            <w:tcBorders>
              <w:top w:val="nil"/>
              <w:left w:val="single" w:color="auto" w:sz="4" w:space="0"/>
              <w:bottom w:val="single" w:color="000000" w:sz="4" w:space="0"/>
              <w:right w:val="single" w:color="auto" w:sz="4" w:space="0"/>
            </w:tcBorders>
            <w:vAlign w:val="center"/>
          </w:tcPr>
          <w:p w14:paraId="701F9CB1">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64DAC0F8">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28E145E7">
            <w:pPr>
              <w:widowControl/>
              <w:jc w:val="center"/>
              <w:rPr>
                <w:rFonts w:ascii="宋体" w:hAnsi="宋体" w:cs="宋体"/>
                <w:kern w:val="0"/>
                <w:szCs w:val="21"/>
              </w:rPr>
            </w:pPr>
            <w:r>
              <w:rPr>
                <w:rFonts w:hint="eastAsia" w:ascii="宋体" w:hAnsi="宋体" w:cs="宋体"/>
                <w:kern w:val="0"/>
                <w:szCs w:val="21"/>
              </w:rPr>
              <w:t>505</w:t>
            </w:r>
          </w:p>
        </w:tc>
        <w:tc>
          <w:tcPr>
            <w:tcW w:w="1500" w:type="dxa"/>
            <w:tcBorders>
              <w:top w:val="nil"/>
              <w:left w:val="nil"/>
              <w:bottom w:val="single" w:color="auto" w:sz="4" w:space="0"/>
              <w:right w:val="single" w:color="auto" w:sz="4" w:space="0"/>
            </w:tcBorders>
            <w:shd w:val="clear" w:color="000000" w:fill="FFFFFF"/>
            <w:noWrap/>
            <w:vAlign w:val="center"/>
          </w:tcPr>
          <w:p w14:paraId="5B9DE1F8">
            <w:pPr>
              <w:widowControl/>
              <w:jc w:val="center"/>
              <w:rPr>
                <w:rFonts w:ascii="宋体" w:hAnsi="宋体" w:cs="宋体"/>
                <w:kern w:val="0"/>
                <w:szCs w:val="21"/>
              </w:rPr>
            </w:pPr>
            <w:r>
              <w:rPr>
                <w:rFonts w:hint="eastAsia" w:ascii="宋体" w:hAnsi="宋体" w:cs="宋体"/>
                <w:kern w:val="0"/>
                <w:szCs w:val="21"/>
              </w:rPr>
              <w:t>副总经理</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7EF6F285">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56569484">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3B5A1816">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293C6022">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04365F9">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51ADCD13">
            <w:pPr>
              <w:widowControl/>
              <w:jc w:val="center"/>
              <w:rPr>
                <w:rFonts w:ascii="宋体" w:hAnsi="宋体" w:cs="宋体"/>
                <w:kern w:val="0"/>
                <w:szCs w:val="21"/>
              </w:rPr>
            </w:pPr>
            <w:r>
              <w:rPr>
                <w:rFonts w:hint="eastAsia" w:ascii="宋体" w:hAnsi="宋体" w:cs="宋体"/>
                <w:kern w:val="0"/>
                <w:szCs w:val="21"/>
              </w:rPr>
              <w:t>1</w:t>
            </w:r>
          </w:p>
        </w:tc>
      </w:tr>
      <w:tr w14:paraId="0C0845B4">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B6DA7F8">
            <w:pPr>
              <w:widowControl/>
              <w:jc w:val="center"/>
              <w:rPr>
                <w:rFonts w:ascii="宋体" w:hAnsi="宋体" w:cs="宋体"/>
                <w:kern w:val="0"/>
                <w:szCs w:val="21"/>
              </w:rPr>
            </w:pPr>
            <w:r>
              <w:rPr>
                <w:rFonts w:hint="eastAsia" w:ascii="宋体" w:hAnsi="宋体" w:cs="宋体"/>
                <w:kern w:val="0"/>
                <w:szCs w:val="21"/>
              </w:rPr>
              <w:t>20</w:t>
            </w:r>
          </w:p>
        </w:tc>
        <w:tc>
          <w:tcPr>
            <w:tcW w:w="427" w:type="dxa"/>
            <w:vMerge w:val="continue"/>
            <w:tcBorders>
              <w:top w:val="nil"/>
              <w:left w:val="single" w:color="auto" w:sz="4" w:space="0"/>
              <w:bottom w:val="single" w:color="000000" w:sz="4" w:space="0"/>
              <w:right w:val="single" w:color="auto" w:sz="4" w:space="0"/>
            </w:tcBorders>
            <w:vAlign w:val="center"/>
          </w:tcPr>
          <w:p w14:paraId="1BD47EA3">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207ED869">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4D55005B">
            <w:pPr>
              <w:widowControl/>
              <w:jc w:val="center"/>
              <w:rPr>
                <w:rFonts w:ascii="宋体" w:hAnsi="宋体" w:cs="宋体"/>
                <w:kern w:val="0"/>
                <w:szCs w:val="21"/>
              </w:rPr>
            </w:pPr>
            <w:r>
              <w:rPr>
                <w:rFonts w:hint="eastAsia" w:ascii="宋体" w:hAnsi="宋体" w:cs="宋体"/>
                <w:kern w:val="0"/>
                <w:szCs w:val="21"/>
              </w:rPr>
              <w:t>506</w:t>
            </w:r>
          </w:p>
        </w:tc>
        <w:tc>
          <w:tcPr>
            <w:tcW w:w="1500" w:type="dxa"/>
            <w:tcBorders>
              <w:top w:val="nil"/>
              <w:left w:val="nil"/>
              <w:bottom w:val="single" w:color="auto" w:sz="4" w:space="0"/>
              <w:right w:val="single" w:color="auto" w:sz="4" w:space="0"/>
            </w:tcBorders>
            <w:shd w:val="clear" w:color="000000" w:fill="FFFFFF"/>
            <w:noWrap/>
            <w:vAlign w:val="center"/>
          </w:tcPr>
          <w:p w14:paraId="699509E3">
            <w:pPr>
              <w:widowControl/>
              <w:jc w:val="center"/>
              <w:rPr>
                <w:rFonts w:ascii="宋体" w:hAnsi="宋体" w:cs="宋体"/>
                <w:kern w:val="0"/>
                <w:szCs w:val="21"/>
              </w:rPr>
            </w:pPr>
            <w:r>
              <w:rPr>
                <w:rFonts w:hint="eastAsia" w:ascii="宋体" w:hAnsi="宋体" w:cs="宋体"/>
                <w:kern w:val="0"/>
                <w:szCs w:val="21"/>
              </w:rPr>
              <w:t>贵宾室</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59ACBE4D">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00A5C09B">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24012864">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03CB5BFB">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30F3C742">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1C2BE6B1">
            <w:pPr>
              <w:widowControl/>
              <w:jc w:val="center"/>
              <w:rPr>
                <w:rFonts w:ascii="宋体" w:hAnsi="宋体" w:cs="宋体"/>
                <w:kern w:val="0"/>
                <w:szCs w:val="21"/>
              </w:rPr>
            </w:pPr>
            <w:r>
              <w:rPr>
                <w:rFonts w:hint="eastAsia" w:ascii="宋体" w:hAnsi="宋体" w:cs="宋体"/>
                <w:kern w:val="0"/>
                <w:szCs w:val="21"/>
              </w:rPr>
              <w:t>1</w:t>
            </w:r>
          </w:p>
        </w:tc>
      </w:tr>
      <w:tr w14:paraId="42733968">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88504A1">
            <w:pPr>
              <w:widowControl/>
              <w:jc w:val="center"/>
              <w:rPr>
                <w:rFonts w:ascii="宋体" w:hAnsi="宋体" w:cs="宋体"/>
                <w:kern w:val="0"/>
                <w:szCs w:val="21"/>
              </w:rPr>
            </w:pPr>
            <w:r>
              <w:rPr>
                <w:rFonts w:hint="eastAsia" w:ascii="宋体" w:hAnsi="宋体" w:cs="宋体"/>
                <w:kern w:val="0"/>
                <w:szCs w:val="21"/>
              </w:rPr>
              <w:t>21</w:t>
            </w:r>
          </w:p>
        </w:tc>
        <w:tc>
          <w:tcPr>
            <w:tcW w:w="427" w:type="dxa"/>
            <w:vMerge w:val="continue"/>
            <w:tcBorders>
              <w:top w:val="nil"/>
              <w:left w:val="single" w:color="auto" w:sz="4" w:space="0"/>
              <w:bottom w:val="single" w:color="000000" w:sz="4" w:space="0"/>
              <w:right w:val="single" w:color="auto" w:sz="4" w:space="0"/>
            </w:tcBorders>
            <w:vAlign w:val="center"/>
          </w:tcPr>
          <w:p w14:paraId="3615E28C">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7F58B213">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785216E3">
            <w:pPr>
              <w:widowControl/>
              <w:jc w:val="center"/>
              <w:rPr>
                <w:rFonts w:ascii="宋体" w:hAnsi="宋体" w:cs="宋体"/>
                <w:kern w:val="0"/>
                <w:szCs w:val="21"/>
              </w:rPr>
            </w:pPr>
            <w:r>
              <w:rPr>
                <w:rFonts w:hint="eastAsia" w:ascii="宋体" w:hAnsi="宋体" w:cs="宋体"/>
                <w:kern w:val="0"/>
                <w:szCs w:val="21"/>
              </w:rPr>
              <w:t>507</w:t>
            </w:r>
          </w:p>
        </w:tc>
        <w:tc>
          <w:tcPr>
            <w:tcW w:w="1500" w:type="dxa"/>
            <w:tcBorders>
              <w:top w:val="nil"/>
              <w:left w:val="nil"/>
              <w:bottom w:val="single" w:color="auto" w:sz="4" w:space="0"/>
              <w:right w:val="single" w:color="auto" w:sz="4" w:space="0"/>
            </w:tcBorders>
            <w:shd w:val="clear" w:color="000000" w:fill="FFFFFF"/>
            <w:noWrap/>
            <w:vAlign w:val="center"/>
          </w:tcPr>
          <w:p w14:paraId="5DEA549B">
            <w:pPr>
              <w:widowControl/>
              <w:jc w:val="center"/>
              <w:rPr>
                <w:rFonts w:ascii="宋体" w:hAnsi="宋体" w:cs="宋体"/>
                <w:kern w:val="0"/>
                <w:szCs w:val="21"/>
              </w:rPr>
            </w:pPr>
            <w:r>
              <w:rPr>
                <w:rFonts w:hint="eastAsia" w:ascii="宋体" w:hAnsi="宋体" w:cs="宋体"/>
                <w:kern w:val="0"/>
                <w:szCs w:val="21"/>
              </w:rPr>
              <w:t>副总经理</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36C8839E">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4DB4BA23">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33793BF0">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32CA4BEF">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7B3E0AB5">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6F5D0A5C">
            <w:pPr>
              <w:widowControl/>
              <w:jc w:val="center"/>
              <w:rPr>
                <w:rFonts w:ascii="宋体" w:hAnsi="宋体" w:cs="宋体"/>
                <w:kern w:val="0"/>
                <w:szCs w:val="21"/>
              </w:rPr>
            </w:pPr>
            <w:r>
              <w:rPr>
                <w:rFonts w:hint="eastAsia" w:ascii="宋体" w:hAnsi="宋体" w:cs="宋体"/>
                <w:kern w:val="0"/>
                <w:szCs w:val="21"/>
              </w:rPr>
              <w:t>1</w:t>
            </w:r>
          </w:p>
        </w:tc>
      </w:tr>
      <w:tr w14:paraId="082912DE">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5E9300F4">
            <w:pPr>
              <w:widowControl/>
              <w:jc w:val="center"/>
              <w:rPr>
                <w:rFonts w:ascii="宋体" w:hAnsi="宋体" w:cs="宋体"/>
                <w:kern w:val="0"/>
                <w:szCs w:val="21"/>
              </w:rPr>
            </w:pPr>
            <w:r>
              <w:rPr>
                <w:rFonts w:hint="eastAsia" w:ascii="宋体" w:hAnsi="宋体" w:cs="宋体"/>
                <w:kern w:val="0"/>
                <w:szCs w:val="21"/>
              </w:rPr>
              <w:t>22</w:t>
            </w:r>
          </w:p>
        </w:tc>
        <w:tc>
          <w:tcPr>
            <w:tcW w:w="427" w:type="dxa"/>
            <w:vMerge w:val="continue"/>
            <w:tcBorders>
              <w:top w:val="nil"/>
              <w:left w:val="single" w:color="auto" w:sz="4" w:space="0"/>
              <w:bottom w:val="single" w:color="000000" w:sz="4" w:space="0"/>
              <w:right w:val="single" w:color="auto" w:sz="4" w:space="0"/>
            </w:tcBorders>
            <w:vAlign w:val="center"/>
          </w:tcPr>
          <w:p w14:paraId="2A3D76EB">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683EA141">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10CB5A97">
            <w:pPr>
              <w:widowControl/>
              <w:jc w:val="center"/>
              <w:rPr>
                <w:rFonts w:ascii="宋体" w:hAnsi="宋体" w:cs="宋体"/>
                <w:kern w:val="0"/>
                <w:szCs w:val="21"/>
              </w:rPr>
            </w:pPr>
            <w:r>
              <w:rPr>
                <w:rFonts w:hint="eastAsia" w:ascii="宋体" w:hAnsi="宋体" w:cs="宋体"/>
                <w:kern w:val="0"/>
                <w:szCs w:val="21"/>
              </w:rPr>
              <w:t>508</w:t>
            </w:r>
          </w:p>
        </w:tc>
        <w:tc>
          <w:tcPr>
            <w:tcW w:w="1500" w:type="dxa"/>
            <w:tcBorders>
              <w:top w:val="nil"/>
              <w:left w:val="nil"/>
              <w:bottom w:val="single" w:color="auto" w:sz="4" w:space="0"/>
              <w:right w:val="single" w:color="auto" w:sz="4" w:space="0"/>
            </w:tcBorders>
            <w:shd w:val="clear" w:color="000000" w:fill="FFFFFF"/>
            <w:noWrap/>
            <w:vAlign w:val="center"/>
          </w:tcPr>
          <w:p w14:paraId="6CAC43E0">
            <w:pPr>
              <w:widowControl/>
              <w:jc w:val="center"/>
              <w:rPr>
                <w:rFonts w:ascii="宋体" w:hAnsi="宋体" w:cs="宋体"/>
                <w:kern w:val="0"/>
                <w:szCs w:val="21"/>
              </w:rPr>
            </w:pPr>
            <w:r>
              <w:rPr>
                <w:rFonts w:hint="eastAsia" w:ascii="宋体" w:hAnsi="宋体" w:cs="宋体"/>
                <w:kern w:val="0"/>
                <w:szCs w:val="21"/>
              </w:rPr>
              <w:t>副总经理</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3F2D539D">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59738EBD">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23C78604">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2DA03091">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66648EC">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7838FDD3">
            <w:pPr>
              <w:widowControl/>
              <w:jc w:val="center"/>
              <w:rPr>
                <w:rFonts w:ascii="宋体" w:hAnsi="宋体" w:cs="宋体"/>
                <w:kern w:val="0"/>
                <w:szCs w:val="21"/>
              </w:rPr>
            </w:pPr>
            <w:r>
              <w:rPr>
                <w:rFonts w:hint="eastAsia" w:ascii="宋体" w:hAnsi="宋体" w:cs="宋体"/>
                <w:kern w:val="0"/>
                <w:szCs w:val="21"/>
              </w:rPr>
              <w:t>1</w:t>
            </w:r>
          </w:p>
        </w:tc>
      </w:tr>
      <w:tr w14:paraId="646250F3">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49AD77DA">
            <w:pPr>
              <w:widowControl/>
              <w:jc w:val="center"/>
              <w:rPr>
                <w:rFonts w:ascii="宋体" w:hAnsi="宋体" w:cs="宋体"/>
                <w:kern w:val="0"/>
                <w:szCs w:val="21"/>
              </w:rPr>
            </w:pPr>
            <w:r>
              <w:rPr>
                <w:rFonts w:hint="eastAsia" w:ascii="宋体" w:hAnsi="宋体" w:cs="宋体"/>
                <w:kern w:val="0"/>
                <w:szCs w:val="21"/>
              </w:rPr>
              <w:t>23</w:t>
            </w:r>
          </w:p>
        </w:tc>
        <w:tc>
          <w:tcPr>
            <w:tcW w:w="427" w:type="dxa"/>
            <w:vMerge w:val="continue"/>
            <w:tcBorders>
              <w:top w:val="nil"/>
              <w:left w:val="single" w:color="auto" w:sz="4" w:space="0"/>
              <w:bottom w:val="single" w:color="000000" w:sz="4" w:space="0"/>
              <w:right w:val="single" w:color="auto" w:sz="4" w:space="0"/>
            </w:tcBorders>
            <w:vAlign w:val="center"/>
          </w:tcPr>
          <w:p w14:paraId="76CD2809">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0F2575D3">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382CCAA3">
            <w:pPr>
              <w:widowControl/>
              <w:jc w:val="center"/>
              <w:rPr>
                <w:rFonts w:ascii="宋体" w:hAnsi="宋体" w:cs="宋体"/>
                <w:kern w:val="0"/>
                <w:szCs w:val="21"/>
              </w:rPr>
            </w:pPr>
            <w:r>
              <w:rPr>
                <w:rFonts w:hint="eastAsia" w:ascii="宋体" w:hAnsi="宋体" w:cs="宋体"/>
                <w:kern w:val="0"/>
                <w:szCs w:val="21"/>
              </w:rPr>
              <w:t>509</w:t>
            </w:r>
          </w:p>
        </w:tc>
        <w:tc>
          <w:tcPr>
            <w:tcW w:w="1500" w:type="dxa"/>
            <w:tcBorders>
              <w:top w:val="nil"/>
              <w:left w:val="nil"/>
              <w:bottom w:val="single" w:color="auto" w:sz="4" w:space="0"/>
              <w:right w:val="single" w:color="auto" w:sz="4" w:space="0"/>
            </w:tcBorders>
            <w:shd w:val="clear" w:color="000000" w:fill="FFFFFF"/>
            <w:noWrap/>
            <w:vAlign w:val="center"/>
          </w:tcPr>
          <w:p w14:paraId="0267FF4A">
            <w:pPr>
              <w:widowControl/>
              <w:jc w:val="center"/>
              <w:rPr>
                <w:rFonts w:ascii="宋体" w:hAnsi="宋体" w:cs="宋体"/>
                <w:kern w:val="0"/>
                <w:szCs w:val="21"/>
              </w:rPr>
            </w:pPr>
            <w:r>
              <w:rPr>
                <w:rFonts w:hint="eastAsia" w:ascii="宋体" w:hAnsi="宋体" w:cs="宋体"/>
                <w:kern w:val="0"/>
                <w:szCs w:val="21"/>
              </w:rPr>
              <w:t>总经理</w:t>
            </w:r>
          </w:p>
        </w:tc>
        <w:tc>
          <w:tcPr>
            <w:tcW w:w="1581" w:type="dxa"/>
            <w:vMerge w:val="continue"/>
            <w:tcBorders>
              <w:top w:val="single" w:color="auto" w:sz="4" w:space="0"/>
              <w:left w:val="single" w:color="auto" w:sz="4" w:space="0"/>
              <w:bottom w:val="single" w:color="000000" w:sz="4" w:space="0"/>
              <w:right w:val="single" w:color="auto" w:sz="4" w:space="0"/>
            </w:tcBorders>
            <w:vAlign w:val="center"/>
          </w:tcPr>
          <w:p w14:paraId="1F1C4CC6">
            <w:pPr>
              <w:widowControl/>
              <w:jc w:val="left"/>
              <w:rPr>
                <w:rFonts w:ascii="宋体" w:hAnsi="宋体" w:cs="宋体"/>
                <w:kern w:val="0"/>
                <w:szCs w:val="21"/>
              </w:rPr>
            </w:pPr>
          </w:p>
        </w:tc>
        <w:tc>
          <w:tcPr>
            <w:tcW w:w="741" w:type="dxa"/>
            <w:vMerge w:val="continue"/>
            <w:tcBorders>
              <w:top w:val="single" w:color="auto" w:sz="4" w:space="0"/>
              <w:left w:val="single" w:color="auto" w:sz="4" w:space="0"/>
              <w:bottom w:val="single" w:color="000000" w:sz="4" w:space="0"/>
              <w:right w:val="single" w:color="auto" w:sz="4" w:space="0"/>
            </w:tcBorders>
            <w:vAlign w:val="center"/>
          </w:tcPr>
          <w:p w14:paraId="613F2D50">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2D26BF3F">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539008C7">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59CF8388">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7FD423C1">
            <w:pPr>
              <w:widowControl/>
              <w:jc w:val="center"/>
              <w:rPr>
                <w:rFonts w:ascii="宋体" w:hAnsi="宋体" w:cs="宋体"/>
                <w:kern w:val="0"/>
                <w:szCs w:val="21"/>
              </w:rPr>
            </w:pPr>
            <w:r>
              <w:rPr>
                <w:rFonts w:hint="eastAsia" w:ascii="宋体" w:hAnsi="宋体" w:cs="宋体"/>
                <w:kern w:val="0"/>
                <w:szCs w:val="21"/>
              </w:rPr>
              <w:t>1</w:t>
            </w:r>
          </w:p>
        </w:tc>
      </w:tr>
      <w:tr w14:paraId="135AFBB7">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6A62ABA3">
            <w:pPr>
              <w:widowControl/>
              <w:jc w:val="center"/>
              <w:rPr>
                <w:rFonts w:ascii="宋体" w:hAnsi="宋体" w:cs="宋体"/>
                <w:kern w:val="0"/>
                <w:szCs w:val="21"/>
              </w:rPr>
            </w:pPr>
            <w:r>
              <w:rPr>
                <w:rFonts w:hint="eastAsia" w:ascii="宋体" w:hAnsi="宋体" w:cs="宋体"/>
                <w:kern w:val="0"/>
                <w:szCs w:val="21"/>
              </w:rPr>
              <w:t>24</w:t>
            </w:r>
          </w:p>
        </w:tc>
        <w:tc>
          <w:tcPr>
            <w:tcW w:w="427" w:type="dxa"/>
            <w:vMerge w:val="continue"/>
            <w:tcBorders>
              <w:top w:val="nil"/>
              <w:left w:val="single" w:color="auto" w:sz="4" w:space="0"/>
              <w:bottom w:val="single" w:color="000000" w:sz="4" w:space="0"/>
              <w:right w:val="single" w:color="auto" w:sz="4" w:space="0"/>
            </w:tcBorders>
            <w:vAlign w:val="center"/>
          </w:tcPr>
          <w:p w14:paraId="04197B66">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0F94D868">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107F7746">
            <w:pPr>
              <w:widowControl/>
              <w:jc w:val="center"/>
              <w:rPr>
                <w:rFonts w:ascii="宋体" w:hAnsi="宋体" w:cs="宋体"/>
                <w:kern w:val="0"/>
                <w:szCs w:val="21"/>
              </w:rPr>
            </w:pPr>
            <w:r>
              <w:rPr>
                <w:rFonts w:hint="eastAsia" w:ascii="宋体" w:hAnsi="宋体" w:cs="宋体"/>
                <w:kern w:val="0"/>
                <w:szCs w:val="21"/>
              </w:rPr>
              <w:t>510</w:t>
            </w:r>
          </w:p>
        </w:tc>
        <w:tc>
          <w:tcPr>
            <w:tcW w:w="1500" w:type="dxa"/>
            <w:tcBorders>
              <w:top w:val="nil"/>
              <w:left w:val="nil"/>
              <w:bottom w:val="single" w:color="auto" w:sz="4" w:space="0"/>
              <w:right w:val="single" w:color="auto" w:sz="4" w:space="0"/>
            </w:tcBorders>
            <w:noWrap/>
            <w:vAlign w:val="center"/>
          </w:tcPr>
          <w:p w14:paraId="4A954323">
            <w:pPr>
              <w:widowControl/>
              <w:jc w:val="center"/>
              <w:rPr>
                <w:rFonts w:ascii="宋体" w:hAnsi="宋体" w:cs="宋体"/>
                <w:kern w:val="0"/>
                <w:szCs w:val="21"/>
              </w:rPr>
            </w:pPr>
            <w:r>
              <w:rPr>
                <w:rFonts w:hint="eastAsia" w:ascii="宋体" w:hAnsi="宋体" w:cs="宋体"/>
                <w:kern w:val="0"/>
                <w:szCs w:val="21"/>
              </w:rPr>
              <w:t>会客室</w:t>
            </w:r>
          </w:p>
        </w:tc>
        <w:tc>
          <w:tcPr>
            <w:tcW w:w="1581" w:type="dxa"/>
            <w:tcBorders>
              <w:top w:val="nil"/>
              <w:left w:val="nil"/>
              <w:bottom w:val="single" w:color="auto" w:sz="4" w:space="0"/>
              <w:right w:val="single" w:color="auto" w:sz="4" w:space="0"/>
            </w:tcBorders>
            <w:vAlign w:val="center"/>
          </w:tcPr>
          <w:p w14:paraId="313A416B">
            <w:pPr>
              <w:widowControl/>
              <w:jc w:val="center"/>
              <w:rPr>
                <w:rFonts w:ascii="宋体" w:hAnsi="宋体" w:cs="宋体"/>
                <w:kern w:val="0"/>
                <w:szCs w:val="21"/>
              </w:rPr>
            </w:pPr>
            <w:r>
              <w:rPr>
                <w:rFonts w:hint="eastAsia" w:ascii="宋体" w:hAnsi="宋体" w:cs="宋体"/>
                <w:kern w:val="0"/>
                <w:szCs w:val="21"/>
              </w:rPr>
              <w:t>无</w:t>
            </w:r>
          </w:p>
        </w:tc>
        <w:tc>
          <w:tcPr>
            <w:tcW w:w="741" w:type="dxa"/>
            <w:tcBorders>
              <w:top w:val="nil"/>
              <w:left w:val="nil"/>
              <w:bottom w:val="single" w:color="auto" w:sz="4" w:space="0"/>
              <w:right w:val="single" w:color="auto" w:sz="4" w:space="0"/>
            </w:tcBorders>
            <w:vAlign w:val="center"/>
          </w:tcPr>
          <w:p w14:paraId="455EA1A0">
            <w:pPr>
              <w:widowControl/>
              <w:jc w:val="center"/>
              <w:rPr>
                <w:rFonts w:ascii="宋体" w:hAnsi="宋体" w:cs="宋体"/>
                <w:kern w:val="0"/>
                <w:szCs w:val="21"/>
              </w:rPr>
            </w:pPr>
            <w:r>
              <w:rPr>
                <w:rFonts w:hint="eastAsia" w:ascii="宋体" w:hAnsi="宋体" w:cs="宋体"/>
                <w:kern w:val="0"/>
                <w:szCs w:val="21"/>
              </w:rPr>
              <w:t>无</w:t>
            </w:r>
          </w:p>
        </w:tc>
        <w:tc>
          <w:tcPr>
            <w:tcW w:w="620" w:type="dxa"/>
            <w:tcBorders>
              <w:top w:val="nil"/>
              <w:left w:val="nil"/>
              <w:bottom w:val="single" w:color="auto" w:sz="4" w:space="0"/>
              <w:right w:val="single" w:color="auto" w:sz="4" w:space="0"/>
            </w:tcBorders>
            <w:noWrap/>
            <w:vAlign w:val="center"/>
          </w:tcPr>
          <w:p w14:paraId="67109A45">
            <w:pPr>
              <w:widowControl/>
              <w:jc w:val="center"/>
              <w:rPr>
                <w:rFonts w:ascii="宋体" w:hAnsi="宋体" w:cs="宋体"/>
                <w:kern w:val="0"/>
                <w:szCs w:val="21"/>
              </w:rPr>
            </w:pPr>
            <w:r>
              <w:rPr>
                <w:rFonts w:hint="eastAsia" w:ascii="宋体" w:hAnsi="宋体" w:cs="宋体"/>
                <w:kern w:val="0"/>
                <w:szCs w:val="21"/>
              </w:rPr>
              <w:t>0</w:t>
            </w:r>
          </w:p>
        </w:tc>
        <w:tc>
          <w:tcPr>
            <w:tcW w:w="660" w:type="dxa"/>
            <w:tcBorders>
              <w:top w:val="nil"/>
              <w:left w:val="nil"/>
              <w:bottom w:val="single" w:color="auto" w:sz="4" w:space="0"/>
              <w:right w:val="single" w:color="auto" w:sz="4" w:space="0"/>
            </w:tcBorders>
            <w:vAlign w:val="center"/>
          </w:tcPr>
          <w:p w14:paraId="241F1F83">
            <w:pPr>
              <w:widowControl/>
              <w:jc w:val="center"/>
              <w:rPr>
                <w:rFonts w:ascii="宋体" w:hAnsi="宋体" w:cs="宋体"/>
                <w:kern w:val="0"/>
                <w:szCs w:val="21"/>
              </w:rPr>
            </w:pPr>
            <w:r>
              <w:rPr>
                <w:rFonts w:hint="eastAsia" w:ascii="宋体" w:hAnsi="宋体" w:cs="宋体"/>
                <w:kern w:val="0"/>
                <w:szCs w:val="21"/>
              </w:rPr>
              <w:t>新增</w:t>
            </w:r>
          </w:p>
        </w:tc>
        <w:tc>
          <w:tcPr>
            <w:tcW w:w="1556" w:type="dxa"/>
            <w:tcBorders>
              <w:top w:val="nil"/>
              <w:left w:val="nil"/>
              <w:bottom w:val="single" w:color="auto" w:sz="4" w:space="0"/>
              <w:right w:val="single" w:color="auto" w:sz="4" w:space="0"/>
            </w:tcBorders>
            <w:vAlign w:val="center"/>
          </w:tcPr>
          <w:p w14:paraId="13B4D8F6">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70FA533A">
            <w:pPr>
              <w:widowControl/>
              <w:jc w:val="center"/>
              <w:rPr>
                <w:rFonts w:ascii="宋体" w:hAnsi="宋体" w:cs="宋体"/>
                <w:kern w:val="0"/>
                <w:szCs w:val="21"/>
              </w:rPr>
            </w:pPr>
            <w:r>
              <w:rPr>
                <w:rFonts w:hint="eastAsia" w:ascii="宋体" w:hAnsi="宋体" w:cs="宋体"/>
                <w:kern w:val="0"/>
                <w:szCs w:val="21"/>
              </w:rPr>
              <w:t>1</w:t>
            </w:r>
          </w:p>
        </w:tc>
      </w:tr>
      <w:tr w14:paraId="273FCFE2">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78A249E4">
            <w:pPr>
              <w:widowControl/>
              <w:jc w:val="center"/>
              <w:rPr>
                <w:rFonts w:ascii="宋体" w:hAnsi="宋体" w:cs="宋体"/>
                <w:kern w:val="0"/>
                <w:szCs w:val="21"/>
              </w:rPr>
            </w:pPr>
            <w:r>
              <w:rPr>
                <w:rFonts w:hint="eastAsia" w:ascii="宋体" w:hAnsi="宋体" w:cs="宋体"/>
                <w:kern w:val="0"/>
                <w:szCs w:val="21"/>
              </w:rPr>
              <w:t>25</w:t>
            </w:r>
          </w:p>
        </w:tc>
        <w:tc>
          <w:tcPr>
            <w:tcW w:w="427" w:type="dxa"/>
            <w:vMerge w:val="continue"/>
            <w:tcBorders>
              <w:top w:val="nil"/>
              <w:left w:val="single" w:color="auto" w:sz="4" w:space="0"/>
              <w:bottom w:val="single" w:color="000000" w:sz="4" w:space="0"/>
              <w:right w:val="single" w:color="auto" w:sz="4" w:space="0"/>
            </w:tcBorders>
            <w:vAlign w:val="center"/>
          </w:tcPr>
          <w:p w14:paraId="1B574E18">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77B0E007">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09E53014">
            <w:pPr>
              <w:widowControl/>
              <w:jc w:val="center"/>
              <w:rPr>
                <w:rFonts w:ascii="宋体" w:hAnsi="宋体" w:cs="宋体"/>
                <w:kern w:val="0"/>
                <w:szCs w:val="21"/>
              </w:rPr>
            </w:pPr>
            <w:r>
              <w:rPr>
                <w:rFonts w:hint="eastAsia" w:ascii="宋体" w:hAnsi="宋体" w:cs="宋体"/>
                <w:kern w:val="0"/>
                <w:szCs w:val="21"/>
              </w:rPr>
              <w:t>511</w:t>
            </w:r>
          </w:p>
        </w:tc>
        <w:tc>
          <w:tcPr>
            <w:tcW w:w="1500" w:type="dxa"/>
            <w:tcBorders>
              <w:top w:val="nil"/>
              <w:left w:val="nil"/>
              <w:bottom w:val="single" w:color="auto" w:sz="4" w:space="0"/>
              <w:right w:val="single" w:color="auto" w:sz="4" w:space="0"/>
            </w:tcBorders>
            <w:noWrap/>
            <w:vAlign w:val="center"/>
          </w:tcPr>
          <w:p w14:paraId="1F47CA22">
            <w:pPr>
              <w:widowControl/>
              <w:jc w:val="center"/>
              <w:rPr>
                <w:rFonts w:ascii="宋体" w:hAnsi="宋体" w:cs="宋体"/>
                <w:kern w:val="0"/>
                <w:szCs w:val="21"/>
              </w:rPr>
            </w:pPr>
            <w:r>
              <w:rPr>
                <w:rFonts w:hint="eastAsia" w:ascii="宋体" w:hAnsi="宋体" w:cs="宋体"/>
                <w:kern w:val="0"/>
                <w:szCs w:val="21"/>
              </w:rPr>
              <w:t>圆桌会议室</w:t>
            </w:r>
          </w:p>
        </w:tc>
        <w:tc>
          <w:tcPr>
            <w:tcW w:w="1581" w:type="dxa"/>
            <w:vMerge w:val="restart"/>
            <w:tcBorders>
              <w:top w:val="nil"/>
              <w:left w:val="single" w:color="auto" w:sz="4" w:space="0"/>
              <w:bottom w:val="single" w:color="000000" w:sz="4" w:space="0"/>
              <w:right w:val="single" w:color="auto" w:sz="4" w:space="0"/>
            </w:tcBorders>
            <w:vAlign w:val="center"/>
          </w:tcPr>
          <w:p w14:paraId="2B914391">
            <w:pPr>
              <w:widowControl/>
              <w:jc w:val="center"/>
              <w:rPr>
                <w:rFonts w:ascii="宋体" w:hAnsi="宋体" w:cs="宋体"/>
                <w:kern w:val="0"/>
                <w:szCs w:val="21"/>
              </w:rPr>
            </w:pPr>
            <w:r>
              <w:rPr>
                <w:rFonts w:hint="eastAsia" w:ascii="宋体" w:hAnsi="宋体" w:cs="宋体"/>
                <w:kern w:val="0"/>
                <w:szCs w:val="21"/>
              </w:rPr>
              <w:t>WA4320-ACN-SI</w:t>
            </w:r>
          </w:p>
        </w:tc>
        <w:tc>
          <w:tcPr>
            <w:tcW w:w="741" w:type="dxa"/>
            <w:vMerge w:val="restart"/>
            <w:tcBorders>
              <w:top w:val="nil"/>
              <w:left w:val="single" w:color="auto" w:sz="4" w:space="0"/>
              <w:bottom w:val="single" w:color="000000" w:sz="4" w:space="0"/>
              <w:right w:val="single" w:color="auto" w:sz="4" w:space="0"/>
            </w:tcBorders>
            <w:vAlign w:val="center"/>
          </w:tcPr>
          <w:p w14:paraId="0BCA2621">
            <w:pPr>
              <w:widowControl/>
              <w:jc w:val="center"/>
              <w:rPr>
                <w:rFonts w:ascii="宋体" w:hAnsi="宋体" w:cs="宋体"/>
                <w:kern w:val="0"/>
                <w:szCs w:val="21"/>
              </w:rPr>
            </w:pPr>
            <w:r>
              <w:rPr>
                <w:rFonts w:hint="eastAsia" w:ascii="宋体" w:hAnsi="宋体" w:cs="宋体"/>
                <w:kern w:val="0"/>
                <w:szCs w:val="21"/>
              </w:rPr>
              <w:t>WiFi5</w:t>
            </w:r>
          </w:p>
        </w:tc>
        <w:tc>
          <w:tcPr>
            <w:tcW w:w="620" w:type="dxa"/>
            <w:tcBorders>
              <w:top w:val="nil"/>
              <w:left w:val="nil"/>
              <w:bottom w:val="single" w:color="auto" w:sz="4" w:space="0"/>
              <w:right w:val="single" w:color="auto" w:sz="4" w:space="0"/>
            </w:tcBorders>
            <w:noWrap/>
            <w:vAlign w:val="center"/>
          </w:tcPr>
          <w:p w14:paraId="3868131D">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365ADD78">
            <w:pPr>
              <w:widowControl/>
              <w:jc w:val="center"/>
              <w:rPr>
                <w:rFonts w:ascii="宋体" w:hAnsi="宋体" w:cs="宋体"/>
                <w:kern w:val="0"/>
                <w:szCs w:val="21"/>
              </w:rPr>
            </w:pPr>
            <w:r>
              <w:rPr>
                <w:rFonts w:hint="eastAsia" w:ascii="宋体" w:hAnsi="宋体" w:cs="宋体"/>
                <w:kern w:val="0"/>
                <w:szCs w:val="21"/>
              </w:rPr>
              <w:t>新增</w:t>
            </w:r>
          </w:p>
        </w:tc>
        <w:tc>
          <w:tcPr>
            <w:tcW w:w="1556" w:type="dxa"/>
            <w:tcBorders>
              <w:top w:val="nil"/>
              <w:left w:val="nil"/>
              <w:bottom w:val="single" w:color="auto" w:sz="4" w:space="0"/>
              <w:right w:val="single" w:color="auto" w:sz="4" w:space="0"/>
            </w:tcBorders>
            <w:vAlign w:val="center"/>
          </w:tcPr>
          <w:p w14:paraId="27C770AC">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2F5D144A">
            <w:pPr>
              <w:widowControl/>
              <w:jc w:val="center"/>
              <w:rPr>
                <w:rFonts w:ascii="宋体" w:hAnsi="宋体" w:cs="宋体"/>
                <w:kern w:val="0"/>
                <w:szCs w:val="21"/>
              </w:rPr>
            </w:pPr>
            <w:r>
              <w:rPr>
                <w:rFonts w:hint="eastAsia" w:ascii="宋体" w:hAnsi="宋体" w:cs="宋体"/>
                <w:kern w:val="0"/>
                <w:szCs w:val="21"/>
              </w:rPr>
              <w:t>1</w:t>
            </w:r>
          </w:p>
        </w:tc>
      </w:tr>
      <w:tr w14:paraId="63360E48">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411AA18B">
            <w:pPr>
              <w:widowControl/>
              <w:jc w:val="center"/>
              <w:rPr>
                <w:rFonts w:ascii="宋体" w:hAnsi="宋体" w:cs="宋体"/>
                <w:kern w:val="0"/>
                <w:szCs w:val="21"/>
              </w:rPr>
            </w:pPr>
            <w:r>
              <w:rPr>
                <w:rFonts w:hint="eastAsia" w:ascii="宋体" w:hAnsi="宋体" w:cs="宋体"/>
                <w:kern w:val="0"/>
                <w:szCs w:val="21"/>
              </w:rPr>
              <w:t>26</w:t>
            </w:r>
          </w:p>
        </w:tc>
        <w:tc>
          <w:tcPr>
            <w:tcW w:w="427" w:type="dxa"/>
            <w:vMerge w:val="continue"/>
            <w:tcBorders>
              <w:top w:val="nil"/>
              <w:left w:val="single" w:color="auto" w:sz="4" w:space="0"/>
              <w:bottom w:val="single" w:color="000000" w:sz="4" w:space="0"/>
              <w:right w:val="single" w:color="auto" w:sz="4" w:space="0"/>
            </w:tcBorders>
            <w:vAlign w:val="center"/>
          </w:tcPr>
          <w:p w14:paraId="21F94EE2">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651B5313">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2B9048D9">
            <w:pPr>
              <w:widowControl/>
              <w:jc w:val="center"/>
              <w:rPr>
                <w:rFonts w:ascii="宋体" w:hAnsi="宋体" w:cs="宋体"/>
                <w:kern w:val="0"/>
                <w:szCs w:val="21"/>
              </w:rPr>
            </w:pPr>
            <w:r>
              <w:rPr>
                <w:rFonts w:hint="eastAsia" w:ascii="宋体" w:hAnsi="宋体" w:cs="宋体"/>
                <w:kern w:val="0"/>
                <w:szCs w:val="21"/>
              </w:rPr>
              <w:t>512</w:t>
            </w:r>
          </w:p>
        </w:tc>
        <w:tc>
          <w:tcPr>
            <w:tcW w:w="1500" w:type="dxa"/>
            <w:tcBorders>
              <w:top w:val="nil"/>
              <w:left w:val="nil"/>
              <w:bottom w:val="single" w:color="auto" w:sz="4" w:space="0"/>
              <w:right w:val="single" w:color="auto" w:sz="4" w:space="0"/>
            </w:tcBorders>
            <w:noWrap/>
            <w:vAlign w:val="center"/>
          </w:tcPr>
          <w:p w14:paraId="506F3DA6">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nil"/>
              <w:left w:val="single" w:color="auto" w:sz="4" w:space="0"/>
              <w:bottom w:val="single" w:color="000000" w:sz="4" w:space="0"/>
              <w:right w:val="single" w:color="auto" w:sz="4" w:space="0"/>
            </w:tcBorders>
            <w:vAlign w:val="center"/>
          </w:tcPr>
          <w:p w14:paraId="4E2FBE1D">
            <w:pPr>
              <w:widowControl/>
              <w:jc w:val="left"/>
              <w:rPr>
                <w:rFonts w:ascii="宋体" w:hAnsi="宋体" w:cs="宋体"/>
                <w:kern w:val="0"/>
                <w:szCs w:val="21"/>
              </w:rPr>
            </w:pPr>
          </w:p>
        </w:tc>
        <w:tc>
          <w:tcPr>
            <w:tcW w:w="741" w:type="dxa"/>
            <w:vMerge w:val="continue"/>
            <w:tcBorders>
              <w:top w:val="nil"/>
              <w:left w:val="single" w:color="auto" w:sz="4" w:space="0"/>
              <w:bottom w:val="single" w:color="000000" w:sz="4" w:space="0"/>
              <w:right w:val="single" w:color="auto" w:sz="4" w:space="0"/>
            </w:tcBorders>
            <w:vAlign w:val="center"/>
          </w:tcPr>
          <w:p w14:paraId="5A30E6D1">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04F2CEFB">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6BCAD446">
            <w:pPr>
              <w:widowControl/>
              <w:jc w:val="center"/>
              <w:rPr>
                <w:rFonts w:ascii="宋体" w:hAnsi="宋体" w:cs="宋体"/>
                <w:kern w:val="0"/>
                <w:szCs w:val="21"/>
              </w:rPr>
            </w:pPr>
            <w:r>
              <w:rPr>
                <w:rFonts w:hint="eastAsia" w:ascii="宋体" w:hAnsi="宋体" w:cs="宋体"/>
                <w:kern w:val="0"/>
                <w:szCs w:val="21"/>
              </w:rPr>
              <w:t>新增</w:t>
            </w:r>
          </w:p>
        </w:tc>
        <w:tc>
          <w:tcPr>
            <w:tcW w:w="1556" w:type="dxa"/>
            <w:tcBorders>
              <w:top w:val="nil"/>
              <w:left w:val="nil"/>
              <w:bottom w:val="single" w:color="auto" w:sz="4" w:space="0"/>
              <w:right w:val="single" w:color="auto" w:sz="4" w:space="0"/>
            </w:tcBorders>
            <w:vAlign w:val="center"/>
          </w:tcPr>
          <w:p w14:paraId="5CC211D7">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1DFD3F87">
            <w:pPr>
              <w:widowControl/>
              <w:jc w:val="center"/>
              <w:rPr>
                <w:rFonts w:ascii="宋体" w:hAnsi="宋体" w:cs="宋体"/>
                <w:kern w:val="0"/>
                <w:szCs w:val="21"/>
              </w:rPr>
            </w:pPr>
            <w:r>
              <w:rPr>
                <w:rFonts w:hint="eastAsia" w:ascii="宋体" w:hAnsi="宋体" w:cs="宋体"/>
                <w:kern w:val="0"/>
                <w:szCs w:val="21"/>
              </w:rPr>
              <w:t>1</w:t>
            </w:r>
          </w:p>
        </w:tc>
      </w:tr>
      <w:tr w14:paraId="1CFA5366">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10821FCB">
            <w:pPr>
              <w:widowControl/>
              <w:jc w:val="center"/>
              <w:rPr>
                <w:rFonts w:ascii="宋体" w:hAnsi="宋体" w:cs="宋体"/>
                <w:kern w:val="0"/>
                <w:szCs w:val="21"/>
              </w:rPr>
            </w:pPr>
            <w:r>
              <w:rPr>
                <w:rFonts w:hint="eastAsia" w:ascii="宋体" w:hAnsi="宋体" w:cs="宋体"/>
                <w:kern w:val="0"/>
                <w:szCs w:val="21"/>
              </w:rPr>
              <w:t>27</w:t>
            </w:r>
          </w:p>
        </w:tc>
        <w:tc>
          <w:tcPr>
            <w:tcW w:w="427" w:type="dxa"/>
            <w:vMerge w:val="continue"/>
            <w:tcBorders>
              <w:top w:val="nil"/>
              <w:left w:val="single" w:color="auto" w:sz="4" w:space="0"/>
              <w:bottom w:val="single" w:color="000000" w:sz="4" w:space="0"/>
              <w:right w:val="single" w:color="auto" w:sz="4" w:space="0"/>
            </w:tcBorders>
            <w:vAlign w:val="center"/>
          </w:tcPr>
          <w:p w14:paraId="5FE949AA">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7BF08B41">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7B399B71">
            <w:pPr>
              <w:widowControl/>
              <w:jc w:val="center"/>
              <w:rPr>
                <w:rFonts w:ascii="宋体" w:hAnsi="宋体" w:cs="宋体"/>
                <w:kern w:val="0"/>
                <w:szCs w:val="21"/>
              </w:rPr>
            </w:pPr>
            <w:r>
              <w:rPr>
                <w:rFonts w:hint="eastAsia" w:ascii="宋体" w:hAnsi="宋体" w:cs="宋体"/>
                <w:kern w:val="0"/>
                <w:szCs w:val="21"/>
              </w:rPr>
              <w:t>522</w:t>
            </w:r>
          </w:p>
        </w:tc>
        <w:tc>
          <w:tcPr>
            <w:tcW w:w="1500" w:type="dxa"/>
            <w:tcBorders>
              <w:top w:val="nil"/>
              <w:left w:val="nil"/>
              <w:bottom w:val="single" w:color="auto" w:sz="4" w:space="0"/>
              <w:right w:val="single" w:color="auto" w:sz="4" w:space="0"/>
            </w:tcBorders>
            <w:noWrap/>
            <w:vAlign w:val="center"/>
          </w:tcPr>
          <w:p w14:paraId="203990FF">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nil"/>
              <w:left w:val="single" w:color="auto" w:sz="4" w:space="0"/>
              <w:bottom w:val="single" w:color="000000" w:sz="4" w:space="0"/>
              <w:right w:val="single" w:color="auto" w:sz="4" w:space="0"/>
            </w:tcBorders>
            <w:vAlign w:val="center"/>
          </w:tcPr>
          <w:p w14:paraId="641366E1">
            <w:pPr>
              <w:widowControl/>
              <w:jc w:val="left"/>
              <w:rPr>
                <w:rFonts w:ascii="宋体" w:hAnsi="宋体" w:cs="宋体"/>
                <w:kern w:val="0"/>
                <w:szCs w:val="21"/>
              </w:rPr>
            </w:pPr>
          </w:p>
        </w:tc>
        <w:tc>
          <w:tcPr>
            <w:tcW w:w="741" w:type="dxa"/>
            <w:vMerge w:val="continue"/>
            <w:tcBorders>
              <w:top w:val="nil"/>
              <w:left w:val="single" w:color="auto" w:sz="4" w:space="0"/>
              <w:bottom w:val="single" w:color="000000" w:sz="4" w:space="0"/>
              <w:right w:val="single" w:color="auto" w:sz="4" w:space="0"/>
            </w:tcBorders>
            <w:vAlign w:val="center"/>
          </w:tcPr>
          <w:p w14:paraId="6EBE67EA">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68904ADE">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548B3FEC">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5AC7586E">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13E57374">
            <w:pPr>
              <w:widowControl/>
              <w:jc w:val="center"/>
              <w:rPr>
                <w:rFonts w:ascii="宋体" w:hAnsi="宋体" w:cs="宋体"/>
                <w:kern w:val="0"/>
                <w:szCs w:val="21"/>
              </w:rPr>
            </w:pPr>
            <w:r>
              <w:rPr>
                <w:rFonts w:hint="eastAsia" w:ascii="宋体" w:hAnsi="宋体" w:cs="宋体"/>
                <w:kern w:val="0"/>
                <w:szCs w:val="21"/>
              </w:rPr>
              <w:t>1</w:t>
            </w:r>
          </w:p>
        </w:tc>
      </w:tr>
      <w:tr w14:paraId="15B0A018">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3BF4C16F">
            <w:pPr>
              <w:widowControl/>
              <w:jc w:val="center"/>
              <w:rPr>
                <w:rFonts w:ascii="宋体" w:hAnsi="宋体" w:cs="宋体"/>
                <w:kern w:val="0"/>
                <w:szCs w:val="21"/>
              </w:rPr>
            </w:pPr>
            <w:r>
              <w:rPr>
                <w:rFonts w:hint="eastAsia" w:ascii="宋体" w:hAnsi="宋体" w:cs="宋体"/>
                <w:kern w:val="0"/>
                <w:szCs w:val="21"/>
              </w:rPr>
              <w:t>28</w:t>
            </w:r>
          </w:p>
        </w:tc>
        <w:tc>
          <w:tcPr>
            <w:tcW w:w="427" w:type="dxa"/>
            <w:vMerge w:val="continue"/>
            <w:tcBorders>
              <w:top w:val="nil"/>
              <w:left w:val="single" w:color="auto" w:sz="4" w:space="0"/>
              <w:bottom w:val="single" w:color="000000" w:sz="4" w:space="0"/>
              <w:right w:val="single" w:color="auto" w:sz="4" w:space="0"/>
            </w:tcBorders>
            <w:vAlign w:val="center"/>
          </w:tcPr>
          <w:p w14:paraId="683B92EC">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52917F3D">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3C7BB34D">
            <w:pPr>
              <w:widowControl/>
              <w:jc w:val="center"/>
              <w:rPr>
                <w:rFonts w:ascii="宋体" w:hAnsi="宋体" w:cs="宋体"/>
                <w:kern w:val="0"/>
                <w:szCs w:val="21"/>
              </w:rPr>
            </w:pPr>
            <w:r>
              <w:rPr>
                <w:rFonts w:hint="eastAsia" w:ascii="宋体" w:hAnsi="宋体" w:cs="宋体"/>
                <w:kern w:val="0"/>
                <w:szCs w:val="21"/>
              </w:rPr>
              <w:t>532</w:t>
            </w:r>
          </w:p>
        </w:tc>
        <w:tc>
          <w:tcPr>
            <w:tcW w:w="1500" w:type="dxa"/>
            <w:tcBorders>
              <w:top w:val="nil"/>
              <w:left w:val="nil"/>
              <w:bottom w:val="single" w:color="auto" w:sz="4" w:space="0"/>
              <w:right w:val="single" w:color="auto" w:sz="4" w:space="0"/>
            </w:tcBorders>
            <w:noWrap/>
            <w:vAlign w:val="center"/>
          </w:tcPr>
          <w:p w14:paraId="53F16898">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nil"/>
              <w:left w:val="single" w:color="auto" w:sz="4" w:space="0"/>
              <w:bottom w:val="single" w:color="000000" w:sz="4" w:space="0"/>
              <w:right w:val="single" w:color="auto" w:sz="4" w:space="0"/>
            </w:tcBorders>
            <w:vAlign w:val="center"/>
          </w:tcPr>
          <w:p w14:paraId="4CFF435A">
            <w:pPr>
              <w:widowControl/>
              <w:jc w:val="left"/>
              <w:rPr>
                <w:rFonts w:ascii="宋体" w:hAnsi="宋体" w:cs="宋体"/>
                <w:kern w:val="0"/>
                <w:szCs w:val="21"/>
              </w:rPr>
            </w:pPr>
          </w:p>
        </w:tc>
        <w:tc>
          <w:tcPr>
            <w:tcW w:w="741" w:type="dxa"/>
            <w:vMerge w:val="continue"/>
            <w:tcBorders>
              <w:top w:val="nil"/>
              <w:left w:val="single" w:color="auto" w:sz="4" w:space="0"/>
              <w:bottom w:val="single" w:color="000000" w:sz="4" w:space="0"/>
              <w:right w:val="single" w:color="auto" w:sz="4" w:space="0"/>
            </w:tcBorders>
            <w:vAlign w:val="center"/>
          </w:tcPr>
          <w:p w14:paraId="13BE4377">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5976503B">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6A149C13">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2F573339">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723FE2CC">
            <w:pPr>
              <w:widowControl/>
              <w:jc w:val="center"/>
              <w:rPr>
                <w:rFonts w:ascii="宋体" w:hAnsi="宋体" w:cs="宋体"/>
                <w:kern w:val="0"/>
                <w:szCs w:val="21"/>
              </w:rPr>
            </w:pPr>
            <w:r>
              <w:rPr>
                <w:rFonts w:hint="eastAsia" w:ascii="宋体" w:hAnsi="宋体" w:cs="宋体"/>
                <w:kern w:val="0"/>
                <w:szCs w:val="21"/>
              </w:rPr>
              <w:t>1</w:t>
            </w:r>
          </w:p>
        </w:tc>
      </w:tr>
      <w:tr w14:paraId="0847581E">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785BFB67">
            <w:pPr>
              <w:widowControl/>
              <w:jc w:val="center"/>
              <w:rPr>
                <w:rFonts w:ascii="宋体" w:hAnsi="宋体" w:cs="宋体"/>
                <w:kern w:val="0"/>
                <w:szCs w:val="21"/>
              </w:rPr>
            </w:pPr>
            <w:r>
              <w:rPr>
                <w:rFonts w:hint="eastAsia" w:ascii="宋体" w:hAnsi="宋体" w:cs="宋体"/>
                <w:kern w:val="0"/>
                <w:szCs w:val="21"/>
              </w:rPr>
              <w:t>29</w:t>
            </w:r>
          </w:p>
        </w:tc>
        <w:tc>
          <w:tcPr>
            <w:tcW w:w="427" w:type="dxa"/>
            <w:vMerge w:val="continue"/>
            <w:tcBorders>
              <w:top w:val="nil"/>
              <w:left w:val="single" w:color="auto" w:sz="4" w:space="0"/>
              <w:bottom w:val="single" w:color="000000" w:sz="4" w:space="0"/>
              <w:right w:val="single" w:color="auto" w:sz="4" w:space="0"/>
            </w:tcBorders>
            <w:vAlign w:val="center"/>
          </w:tcPr>
          <w:p w14:paraId="74106C06">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61DED417">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5F229EFF">
            <w:pPr>
              <w:widowControl/>
              <w:jc w:val="center"/>
              <w:rPr>
                <w:rFonts w:ascii="宋体" w:hAnsi="宋体" w:cs="宋体"/>
                <w:kern w:val="0"/>
                <w:szCs w:val="21"/>
              </w:rPr>
            </w:pPr>
            <w:r>
              <w:rPr>
                <w:rFonts w:hint="eastAsia" w:ascii="宋体" w:hAnsi="宋体" w:cs="宋体"/>
                <w:kern w:val="0"/>
                <w:szCs w:val="21"/>
              </w:rPr>
              <w:t>538</w:t>
            </w:r>
          </w:p>
        </w:tc>
        <w:tc>
          <w:tcPr>
            <w:tcW w:w="1500" w:type="dxa"/>
            <w:tcBorders>
              <w:top w:val="nil"/>
              <w:left w:val="nil"/>
              <w:bottom w:val="single" w:color="auto" w:sz="4" w:space="0"/>
              <w:right w:val="single" w:color="auto" w:sz="4" w:space="0"/>
            </w:tcBorders>
            <w:noWrap/>
            <w:vAlign w:val="center"/>
          </w:tcPr>
          <w:p w14:paraId="76DCEB57">
            <w:pPr>
              <w:widowControl/>
              <w:jc w:val="center"/>
              <w:rPr>
                <w:rFonts w:ascii="宋体" w:hAnsi="宋体" w:cs="宋体"/>
                <w:kern w:val="0"/>
                <w:szCs w:val="21"/>
              </w:rPr>
            </w:pPr>
            <w:r>
              <w:rPr>
                <w:rFonts w:hint="eastAsia" w:ascii="宋体" w:hAnsi="宋体" w:cs="宋体"/>
                <w:kern w:val="0"/>
                <w:szCs w:val="21"/>
              </w:rPr>
              <w:t>会议室</w:t>
            </w:r>
          </w:p>
        </w:tc>
        <w:tc>
          <w:tcPr>
            <w:tcW w:w="1581" w:type="dxa"/>
            <w:vMerge w:val="continue"/>
            <w:tcBorders>
              <w:top w:val="nil"/>
              <w:left w:val="single" w:color="auto" w:sz="4" w:space="0"/>
              <w:bottom w:val="single" w:color="000000" w:sz="4" w:space="0"/>
              <w:right w:val="single" w:color="auto" w:sz="4" w:space="0"/>
            </w:tcBorders>
            <w:vAlign w:val="center"/>
          </w:tcPr>
          <w:p w14:paraId="1D3A6FCC">
            <w:pPr>
              <w:widowControl/>
              <w:jc w:val="left"/>
              <w:rPr>
                <w:rFonts w:ascii="宋体" w:hAnsi="宋体" w:cs="宋体"/>
                <w:kern w:val="0"/>
                <w:szCs w:val="21"/>
              </w:rPr>
            </w:pPr>
          </w:p>
        </w:tc>
        <w:tc>
          <w:tcPr>
            <w:tcW w:w="741" w:type="dxa"/>
            <w:vMerge w:val="continue"/>
            <w:tcBorders>
              <w:top w:val="nil"/>
              <w:left w:val="single" w:color="auto" w:sz="4" w:space="0"/>
              <w:bottom w:val="single" w:color="000000" w:sz="4" w:space="0"/>
              <w:right w:val="single" w:color="auto" w:sz="4" w:space="0"/>
            </w:tcBorders>
            <w:vAlign w:val="center"/>
          </w:tcPr>
          <w:p w14:paraId="1C1DAB3C">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6482690C">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17B5749D">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5EC39EC1">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4635FFE8">
            <w:pPr>
              <w:widowControl/>
              <w:jc w:val="center"/>
              <w:rPr>
                <w:rFonts w:ascii="宋体" w:hAnsi="宋体" w:cs="宋体"/>
                <w:kern w:val="0"/>
                <w:szCs w:val="21"/>
              </w:rPr>
            </w:pPr>
            <w:r>
              <w:rPr>
                <w:rFonts w:hint="eastAsia" w:ascii="宋体" w:hAnsi="宋体" w:cs="宋体"/>
                <w:kern w:val="0"/>
                <w:szCs w:val="21"/>
              </w:rPr>
              <w:t>1</w:t>
            </w:r>
          </w:p>
        </w:tc>
      </w:tr>
      <w:tr w14:paraId="545D5829">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4D9263C">
            <w:pPr>
              <w:widowControl/>
              <w:jc w:val="center"/>
              <w:rPr>
                <w:rFonts w:ascii="宋体" w:hAnsi="宋体" w:cs="宋体"/>
                <w:kern w:val="0"/>
                <w:szCs w:val="21"/>
              </w:rPr>
            </w:pPr>
            <w:r>
              <w:rPr>
                <w:rFonts w:hint="eastAsia" w:ascii="宋体" w:hAnsi="宋体" w:cs="宋体"/>
                <w:kern w:val="0"/>
                <w:szCs w:val="21"/>
              </w:rPr>
              <w:t>30</w:t>
            </w:r>
          </w:p>
        </w:tc>
        <w:tc>
          <w:tcPr>
            <w:tcW w:w="427" w:type="dxa"/>
            <w:vMerge w:val="continue"/>
            <w:tcBorders>
              <w:top w:val="nil"/>
              <w:left w:val="single" w:color="auto" w:sz="4" w:space="0"/>
              <w:bottom w:val="single" w:color="000000" w:sz="4" w:space="0"/>
              <w:right w:val="single" w:color="auto" w:sz="4" w:space="0"/>
            </w:tcBorders>
            <w:vAlign w:val="center"/>
          </w:tcPr>
          <w:p w14:paraId="16F346BA">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6E476A99">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66D04C25">
            <w:pPr>
              <w:widowControl/>
              <w:jc w:val="center"/>
              <w:rPr>
                <w:rFonts w:ascii="宋体" w:hAnsi="宋体" w:cs="宋体"/>
                <w:kern w:val="0"/>
                <w:szCs w:val="21"/>
              </w:rPr>
            </w:pPr>
            <w:r>
              <w:rPr>
                <w:rFonts w:hint="eastAsia" w:ascii="宋体" w:hAnsi="宋体" w:cs="宋体"/>
                <w:kern w:val="0"/>
                <w:szCs w:val="21"/>
              </w:rPr>
              <w:t>550</w:t>
            </w:r>
          </w:p>
        </w:tc>
        <w:tc>
          <w:tcPr>
            <w:tcW w:w="1500" w:type="dxa"/>
            <w:tcBorders>
              <w:top w:val="nil"/>
              <w:left w:val="nil"/>
              <w:bottom w:val="single" w:color="auto" w:sz="4" w:space="0"/>
              <w:right w:val="single" w:color="auto" w:sz="4" w:space="0"/>
            </w:tcBorders>
            <w:noWrap/>
            <w:vAlign w:val="center"/>
          </w:tcPr>
          <w:p w14:paraId="7E14E3AC">
            <w:pPr>
              <w:widowControl/>
              <w:jc w:val="center"/>
              <w:rPr>
                <w:rFonts w:ascii="宋体" w:hAnsi="宋体" w:cs="宋体"/>
                <w:kern w:val="0"/>
                <w:szCs w:val="21"/>
              </w:rPr>
            </w:pPr>
            <w:r>
              <w:rPr>
                <w:rFonts w:hint="eastAsia" w:ascii="宋体" w:hAnsi="宋体" w:cs="宋体"/>
                <w:kern w:val="0"/>
                <w:szCs w:val="21"/>
              </w:rPr>
              <w:t>会客室</w:t>
            </w:r>
          </w:p>
        </w:tc>
        <w:tc>
          <w:tcPr>
            <w:tcW w:w="1581" w:type="dxa"/>
            <w:tcBorders>
              <w:top w:val="nil"/>
              <w:left w:val="nil"/>
              <w:bottom w:val="single" w:color="auto" w:sz="4" w:space="0"/>
              <w:right w:val="single" w:color="auto" w:sz="4" w:space="0"/>
            </w:tcBorders>
            <w:vAlign w:val="center"/>
          </w:tcPr>
          <w:p w14:paraId="7116DE81">
            <w:pPr>
              <w:widowControl/>
              <w:jc w:val="center"/>
              <w:rPr>
                <w:rFonts w:ascii="宋体" w:hAnsi="宋体" w:cs="宋体"/>
                <w:kern w:val="0"/>
                <w:szCs w:val="21"/>
              </w:rPr>
            </w:pPr>
            <w:r>
              <w:rPr>
                <w:rFonts w:hint="eastAsia" w:ascii="宋体" w:hAnsi="宋体" w:cs="宋体"/>
                <w:kern w:val="0"/>
                <w:szCs w:val="21"/>
              </w:rPr>
              <w:t>无</w:t>
            </w:r>
          </w:p>
        </w:tc>
        <w:tc>
          <w:tcPr>
            <w:tcW w:w="741" w:type="dxa"/>
            <w:tcBorders>
              <w:top w:val="nil"/>
              <w:left w:val="nil"/>
              <w:bottom w:val="single" w:color="auto" w:sz="4" w:space="0"/>
              <w:right w:val="single" w:color="auto" w:sz="4" w:space="0"/>
            </w:tcBorders>
            <w:vAlign w:val="center"/>
          </w:tcPr>
          <w:p w14:paraId="3055E7A3">
            <w:pPr>
              <w:widowControl/>
              <w:jc w:val="center"/>
              <w:rPr>
                <w:rFonts w:ascii="宋体" w:hAnsi="宋体" w:cs="宋体"/>
                <w:kern w:val="0"/>
                <w:szCs w:val="21"/>
              </w:rPr>
            </w:pPr>
            <w:r>
              <w:rPr>
                <w:rFonts w:hint="eastAsia" w:ascii="宋体" w:hAnsi="宋体" w:cs="宋体"/>
                <w:kern w:val="0"/>
                <w:szCs w:val="21"/>
              </w:rPr>
              <w:t>无</w:t>
            </w:r>
          </w:p>
        </w:tc>
        <w:tc>
          <w:tcPr>
            <w:tcW w:w="620" w:type="dxa"/>
            <w:tcBorders>
              <w:top w:val="nil"/>
              <w:left w:val="nil"/>
              <w:bottom w:val="single" w:color="auto" w:sz="4" w:space="0"/>
              <w:right w:val="single" w:color="auto" w:sz="4" w:space="0"/>
            </w:tcBorders>
            <w:noWrap/>
            <w:vAlign w:val="center"/>
          </w:tcPr>
          <w:p w14:paraId="4B9512A7">
            <w:pPr>
              <w:widowControl/>
              <w:jc w:val="center"/>
              <w:rPr>
                <w:rFonts w:ascii="宋体" w:hAnsi="宋体" w:cs="宋体"/>
                <w:kern w:val="0"/>
                <w:szCs w:val="21"/>
              </w:rPr>
            </w:pPr>
            <w:r>
              <w:rPr>
                <w:rFonts w:hint="eastAsia" w:ascii="宋体" w:hAnsi="宋体" w:cs="宋体"/>
                <w:kern w:val="0"/>
                <w:szCs w:val="21"/>
              </w:rPr>
              <w:t>0</w:t>
            </w:r>
          </w:p>
        </w:tc>
        <w:tc>
          <w:tcPr>
            <w:tcW w:w="660" w:type="dxa"/>
            <w:tcBorders>
              <w:top w:val="nil"/>
              <w:left w:val="nil"/>
              <w:bottom w:val="single" w:color="auto" w:sz="4" w:space="0"/>
              <w:right w:val="single" w:color="auto" w:sz="4" w:space="0"/>
            </w:tcBorders>
            <w:vAlign w:val="center"/>
          </w:tcPr>
          <w:p w14:paraId="316A7361">
            <w:pPr>
              <w:widowControl/>
              <w:jc w:val="center"/>
              <w:rPr>
                <w:rFonts w:ascii="宋体" w:hAnsi="宋体" w:cs="宋体"/>
                <w:kern w:val="0"/>
                <w:szCs w:val="21"/>
              </w:rPr>
            </w:pPr>
            <w:r>
              <w:rPr>
                <w:rFonts w:hint="eastAsia" w:ascii="宋体" w:hAnsi="宋体" w:cs="宋体"/>
                <w:kern w:val="0"/>
                <w:szCs w:val="21"/>
              </w:rPr>
              <w:t>新增</w:t>
            </w:r>
          </w:p>
        </w:tc>
        <w:tc>
          <w:tcPr>
            <w:tcW w:w="1556" w:type="dxa"/>
            <w:tcBorders>
              <w:top w:val="nil"/>
              <w:left w:val="nil"/>
              <w:bottom w:val="single" w:color="auto" w:sz="4" w:space="0"/>
              <w:right w:val="single" w:color="auto" w:sz="4" w:space="0"/>
            </w:tcBorders>
            <w:vAlign w:val="center"/>
          </w:tcPr>
          <w:p w14:paraId="4B88CF5F">
            <w:pPr>
              <w:widowControl/>
              <w:jc w:val="center"/>
              <w:rPr>
                <w:rFonts w:ascii="宋体" w:hAnsi="宋体" w:cs="宋体"/>
                <w:kern w:val="0"/>
                <w:szCs w:val="21"/>
              </w:rPr>
            </w:pPr>
            <w:r>
              <w:rPr>
                <w:rFonts w:hint="eastAsia" w:ascii="宋体" w:hAnsi="宋体" w:cs="宋体"/>
                <w:kern w:val="0"/>
                <w:szCs w:val="21"/>
              </w:rPr>
              <w:t>wifi6放装AP</w:t>
            </w:r>
          </w:p>
        </w:tc>
        <w:tc>
          <w:tcPr>
            <w:tcW w:w="600" w:type="dxa"/>
            <w:tcBorders>
              <w:top w:val="nil"/>
              <w:left w:val="nil"/>
              <w:bottom w:val="single" w:color="auto" w:sz="4" w:space="0"/>
              <w:right w:val="single" w:color="auto" w:sz="4" w:space="0"/>
            </w:tcBorders>
            <w:noWrap/>
            <w:vAlign w:val="center"/>
          </w:tcPr>
          <w:p w14:paraId="5E193F18">
            <w:pPr>
              <w:widowControl/>
              <w:jc w:val="center"/>
              <w:rPr>
                <w:rFonts w:ascii="宋体" w:hAnsi="宋体" w:cs="宋体"/>
                <w:kern w:val="0"/>
                <w:szCs w:val="21"/>
              </w:rPr>
            </w:pPr>
            <w:r>
              <w:rPr>
                <w:rFonts w:hint="eastAsia" w:ascii="宋体" w:hAnsi="宋体" w:cs="宋体"/>
                <w:kern w:val="0"/>
                <w:szCs w:val="21"/>
              </w:rPr>
              <w:t>1</w:t>
            </w:r>
          </w:p>
        </w:tc>
      </w:tr>
      <w:tr w14:paraId="4C4CF658">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7889ED5E">
            <w:pPr>
              <w:widowControl/>
              <w:jc w:val="center"/>
              <w:rPr>
                <w:rFonts w:ascii="宋体" w:hAnsi="宋体" w:cs="宋体"/>
                <w:kern w:val="0"/>
                <w:szCs w:val="21"/>
              </w:rPr>
            </w:pPr>
            <w:r>
              <w:rPr>
                <w:rFonts w:hint="eastAsia" w:ascii="宋体" w:hAnsi="宋体" w:cs="宋体"/>
                <w:kern w:val="0"/>
                <w:szCs w:val="21"/>
              </w:rPr>
              <w:t>31</w:t>
            </w:r>
          </w:p>
        </w:tc>
        <w:tc>
          <w:tcPr>
            <w:tcW w:w="427" w:type="dxa"/>
            <w:vMerge w:val="restart"/>
            <w:tcBorders>
              <w:top w:val="nil"/>
              <w:left w:val="single" w:color="auto" w:sz="4" w:space="0"/>
              <w:bottom w:val="single" w:color="000000" w:sz="4" w:space="0"/>
              <w:right w:val="single" w:color="auto" w:sz="4" w:space="0"/>
            </w:tcBorders>
            <w:vAlign w:val="center"/>
          </w:tcPr>
          <w:p w14:paraId="0D241FBB">
            <w:pPr>
              <w:widowControl/>
              <w:jc w:val="center"/>
              <w:rPr>
                <w:rFonts w:ascii="宋体" w:hAnsi="宋体" w:cs="宋体"/>
                <w:kern w:val="0"/>
                <w:szCs w:val="21"/>
              </w:rPr>
            </w:pPr>
            <w:r>
              <w:rPr>
                <w:rFonts w:hint="eastAsia" w:ascii="宋体" w:hAnsi="宋体" w:cs="宋体"/>
                <w:kern w:val="0"/>
                <w:szCs w:val="21"/>
              </w:rPr>
              <w:t>2号楼</w:t>
            </w:r>
          </w:p>
        </w:tc>
        <w:tc>
          <w:tcPr>
            <w:tcW w:w="520" w:type="dxa"/>
            <w:vMerge w:val="restart"/>
            <w:tcBorders>
              <w:top w:val="nil"/>
              <w:left w:val="single" w:color="auto" w:sz="4" w:space="0"/>
              <w:bottom w:val="single" w:color="auto" w:sz="4" w:space="0"/>
              <w:right w:val="single" w:color="auto" w:sz="4" w:space="0"/>
            </w:tcBorders>
            <w:noWrap/>
            <w:vAlign w:val="center"/>
          </w:tcPr>
          <w:p w14:paraId="29D860C6">
            <w:pPr>
              <w:widowControl/>
              <w:jc w:val="center"/>
              <w:rPr>
                <w:rFonts w:ascii="宋体" w:hAnsi="宋体" w:cs="宋体"/>
                <w:kern w:val="0"/>
                <w:szCs w:val="21"/>
              </w:rPr>
            </w:pPr>
            <w:r>
              <w:rPr>
                <w:rFonts w:hint="eastAsia" w:ascii="宋体" w:hAnsi="宋体" w:cs="宋体"/>
                <w:kern w:val="0"/>
                <w:szCs w:val="21"/>
              </w:rPr>
              <w:t>1F</w:t>
            </w:r>
          </w:p>
        </w:tc>
        <w:tc>
          <w:tcPr>
            <w:tcW w:w="600" w:type="dxa"/>
            <w:tcBorders>
              <w:top w:val="nil"/>
              <w:left w:val="nil"/>
              <w:bottom w:val="single" w:color="auto" w:sz="4" w:space="0"/>
              <w:right w:val="single" w:color="auto" w:sz="4" w:space="0"/>
            </w:tcBorders>
            <w:vAlign w:val="center"/>
          </w:tcPr>
          <w:p w14:paraId="74C8C78F">
            <w:pPr>
              <w:widowControl/>
              <w:jc w:val="center"/>
              <w:rPr>
                <w:rFonts w:ascii="宋体" w:hAnsi="宋体" w:cs="宋体"/>
                <w:kern w:val="0"/>
                <w:szCs w:val="21"/>
              </w:rPr>
            </w:pPr>
            <w:r>
              <w:rPr>
                <w:rFonts w:hint="eastAsia" w:ascii="宋体" w:hAnsi="宋体" w:cs="宋体"/>
                <w:kern w:val="0"/>
                <w:szCs w:val="21"/>
              </w:rPr>
              <w:t>V1</w:t>
            </w:r>
          </w:p>
        </w:tc>
        <w:tc>
          <w:tcPr>
            <w:tcW w:w="1500" w:type="dxa"/>
            <w:tcBorders>
              <w:top w:val="nil"/>
              <w:left w:val="nil"/>
              <w:bottom w:val="single" w:color="auto" w:sz="4" w:space="0"/>
              <w:right w:val="single" w:color="auto" w:sz="4" w:space="0"/>
            </w:tcBorders>
            <w:noWrap/>
            <w:vAlign w:val="center"/>
          </w:tcPr>
          <w:p w14:paraId="2173324E">
            <w:pPr>
              <w:widowControl/>
              <w:jc w:val="center"/>
              <w:rPr>
                <w:rFonts w:ascii="宋体" w:hAnsi="宋体" w:cs="宋体"/>
                <w:kern w:val="0"/>
                <w:szCs w:val="21"/>
              </w:rPr>
            </w:pPr>
            <w:r>
              <w:rPr>
                <w:rFonts w:hint="eastAsia" w:ascii="宋体" w:hAnsi="宋体" w:cs="宋体"/>
                <w:kern w:val="0"/>
                <w:szCs w:val="21"/>
              </w:rPr>
              <w:t>大包间</w:t>
            </w:r>
          </w:p>
        </w:tc>
        <w:tc>
          <w:tcPr>
            <w:tcW w:w="1581" w:type="dxa"/>
            <w:vMerge w:val="restart"/>
            <w:tcBorders>
              <w:top w:val="nil"/>
              <w:left w:val="single" w:color="auto" w:sz="4" w:space="0"/>
              <w:bottom w:val="single" w:color="000000" w:sz="4" w:space="0"/>
              <w:right w:val="single" w:color="auto" w:sz="4" w:space="0"/>
            </w:tcBorders>
            <w:vAlign w:val="center"/>
          </w:tcPr>
          <w:p w14:paraId="22856D83">
            <w:pPr>
              <w:widowControl/>
              <w:jc w:val="center"/>
              <w:rPr>
                <w:rFonts w:ascii="宋体" w:hAnsi="宋体" w:cs="宋体"/>
                <w:kern w:val="0"/>
                <w:szCs w:val="21"/>
              </w:rPr>
            </w:pPr>
            <w:r>
              <w:rPr>
                <w:rFonts w:hint="eastAsia" w:ascii="宋体" w:hAnsi="宋体" w:cs="宋体"/>
                <w:kern w:val="0"/>
                <w:szCs w:val="21"/>
              </w:rPr>
              <w:t>WA4320-ACN-SI</w:t>
            </w:r>
          </w:p>
        </w:tc>
        <w:tc>
          <w:tcPr>
            <w:tcW w:w="741" w:type="dxa"/>
            <w:vMerge w:val="restart"/>
            <w:tcBorders>
              <w:top w:val="nil"/>
              <w:left w:val="single" w:color="auto" w:sz="4" w:space="0"/>
              <w:bottom w:val="single" w:color="000000" w:sz="4" w:space="0"/>
              <w:right w:val="single" w:color="auto" w:sz="4" w:space="0"/>
            </w:tcBorders>
            <w:vAlign w:val="center"/>
          </w:tcPr>
          <w:p w14:paraId="043FA413">
            <w:pPr>
              <w:widowControl/>
              <w:jc w:val="center"/>
              <w:rPr>
                <w:rFonts w:ascii="宋体" w:hAnsi="宋体" w:cs="宋体"/>
                <w:kern w:val="0"/>
                <w:szCs w:val="21"/>
              </w:rPr>
            </w:pPr>
            <w:r>
              <w:rPr>
                <w:rFonts w:hint="eastAsia" w:ascii="宋体" w:hAnsi="宋体" w:cs="宋体"/>
                <w:kern w:val="0"/>
                <w:szCs w:val="21"/>
              </w:rPr>
              <w:t>WiFi5</w:t>
            </w:r>
          </w:p>
        </w:tc>
        <w:tc>
          <w:tcPr>
            <w:tcW w:w="620" w:type="dxa"/>
            <w:tcBorders>
              <w:top w:val="nil"/>
              <w:left w:val="nil"/>
              <w:bottom w:val="single" w:color="auto" w:sz="4" w:space="0"/>
              <w:right w:val="single" w:color="auto" w:sz="4" w:space="0"/>
            </w:tcBorders>
            <w:noWrap/>
            <w:vAlign w:val="center"/>
          </w:tcPr>
          <w:p w14:paraId="5E93CE26">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7506F76C">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6FF88BD">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65BDC563">
            <w:pPr>
              <w:widowControl/>
              <w:jc w:val="center"/>
              <w:rPr>
                <w:rFonts w:ascii="宋体" w:hAnsi="宋体" w:cs="宋体"/>
                <w:kern w:val="0"/>
                <w:szCs w:val="21"/>
              </w:rPr>
            </w:pPr>
            <w:r>
              <w:rPr>
                <w:rFonts w:hint="eastAsia" w:ascii="宋体" w:hAnsi="宋体" w:cs="宋体"/>
                <w:kern w:val="0"/>
                <w:szCs w:val="21"/>
              </w:rPr>
              <w:t>1</w:t>
            </w:r>
          </w:p>
        </w:tc>
      </w:tr>
      <w:tr w14:paraId="0F08FC3E">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6A482191">
            <w:pPr>
              <w:widowControl/>
              <w:jc w:val="center"/>
              <w:rPr>
                <w:rFonts w:ascii="宋体" w:hAnsi="宋体" w:cs="宋体"/>
                <w:kern w:val="0"/>
                <w:szCs w:val="21"/>
              </w:rPr>
            </w:pPr>
            <w:r>
              <w:rPr>
                <w:rFonts w:hint="eastAsia" w:ascii="宋体" w:hAnsi="宋体" w:cs="宋体"/>
                <w:kern w:val="0"/>
                <w:szCs w:val="21"/>
              </w:rPr>
              <w:t>32</w:t>
            </w:r>
          </w:p>
        </w:tc>
        <w:tc>
          <w:tcPr>
            <w:tcW w:w="427" w:type="dxa"/>
            <w:vMerge w:val="continue"/>
            <w:tcBorders>
              <w:top w:val="nil"/>
              <w:left w:val="single" w:color="auto" w:sz="4" w:space="0"/>
              <w:bottom w:val="single" w:color="000000" w:sz="4" w:space="0"/>
              <w:right w:val="single" w:color="auto" w:sz="4" w:space="0"/>
            </w:tcBorders>
            <w:vAlign w:val="center"/>
          </w:tcPr>
          <w:p w14:paraId="401F60CB">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661E2D8C">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3E3D5B15">
            <w:pPr>
              <w:widowControl/>
              <w:jc w:val="center"/>
              <w:rPr>
                <w:rFonts w:ascii="宋体" w:hAnsi="宋体" w:cs="宋体"/>
                <w:kern w:val="0"/>
                <w:szCs w:val="21"/>
              </w:rPr>
            </w:pPr>
            <w:r>
              <w:rPr>
                <w:rFonts w:hint="eastAsia" w:ascii="宋体" w:hAnsi="宋体" w:cs="宋体"/>
                <w:kern w:val="0"/>
                <w:szCs w:val="21"/>
              </w:rPr>
              <w:t>V3</w:t>
            </w:r>
          </w:p>
        </w:tc>
        <w:tc>
          <w:tcPr>
            <w:tcW w:w="1500" w:type="dxa"/>
            <w:tcBorders>
              <w:top w:val="nil"/>
              <w:left w:val="nil"/>
              <w:bottom w:val="single" w:color="auto" w:sz="4" w:space="0"/>
              <w:right w:val="single" w:color="auto" w:sz="4" w:space="0"/>
            </w:tcBorders>
            <w:noWrap/>
            <w:vAlign w:val="center"/>
          </w:tcPr>
          <w:p w14:paraId="369B7A78">
            <w:pPr>
              <w:widowControl/>
              <w:jc w:val="center"/>
              <w:rPr>
                <w:rFonts w:ascii="宋体" w:hAnsi="宋体" w:cs="宋体"/>
                <w:kern w:val="0"/>
                <w:szCs w:val="21"/>
              </w:rPr>
            </w:pPr>
            <w:r>
              <w:rPr>
                <w:rFonts w:hint="eastAsia" w:ascii="宋体" w:hAnsi="宋体" w:cs="宋体"/>
                <w:kern w:val="0"/>
                <w:szCs w:val="21"/>
              </w:rPr>
              <w:t>小包间1</w:t>
            </w:r>
          </w:p>
        </w:tc>
        <w:tc>
          <w:tcPr>
            <w:tcW w:w="1581" w:type="dxa"/>
            <w:vMerge w:val="continue"/>
            <w:tcBorders>
              <w:top w:val="nil"/>
              <w:left w:val="single" w:color="auto" w:sz="4" w:space="0"/>
              <w:bottom w:val="single" w:color="000000" w:sz="4" w:space="0"/>
              <w:right w:val="single" w:color="auto" w:sz="4" w:space="0"/>
            </w:tcBorders>
            <w:vAlign w:val="center"/>
          </w:tcPr>
          <w:p w14:paraId="161DA1D3">
            <w:pPr>
              <w:widowControl/>
              <w:jc w:val="left"/>
              <w:rPr>
                <w:rFonts w:ascii="宋体" w:hAnsi="宋体" w:cs="宋体"/>
                <w:kern w:val="0"/>
                <w:szCs w:val="21"/>
              </w:rPr>
            </w:pPr>
          </w:p>
        </w:tc>
        <w:tc>
          <w:tcPr>
            <w:tcW w:w="741" w:type="dxa"/>
            <w:vMerge w:val="continue"/>
            <w:tcBorders>
              <w:top w:val="nil"/>
              <w:left w:val="single" w:color="auto" w:sz="4" w:space="0"/>
              <w:bottom w:val="single" w:color="000000" w:sz="4" w:space="0"/>
              <w:right w:val="single" w:color="auto" w:sz="4" w:space="0"/>
            </w:tcBorders>
            <w:vAlign w:val="center"/>
          </w:tcPr>
          <w:p w14:paraId="0E804644">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0D4FC17C">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4053D43E">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74D5FC7F">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1589FE31">
            <w:pPr>
              <w:widowControl/>
              <w:jc w:val="center"/>
              <w:rPr>
                <w:rFonts w:ascii="宋体" w:hAnsi="宋体" w:cs="宋体"/>
                <w:kern w:val="0"/>
                <w:szCs w:val="21"/>
              </w:rPr>
            </w:pPr>
            <w:r>
              <w:rPr>
                <w:rFonts w:hint="eastAsia" w:ascii="宋体" w:hAnsi="宋体" w:cs="宋体"/>
                <w:kern w:val="0"/>
                <w:szCs w:val="21"/>
              </w:rPr>
              <w:t>1</w:t>
            </w:r>
          </w:p>
        </w:tc>
      </w:tr>
      <w:tr w14:paraId="046FFD88">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08F1567E">
            <w:pPr>
              <w:widowControl/>
              <w:jc w:val="center"/>
              <w:rPr>
                <w:rFonts w:ascii="宋体" w:hAnsi="宋体" w:cs="宋体"/>
                <w:kern w:val="0"/>
                <w:szCs w:val="21"/>
              </w:rPr>
            </w:pPr>
            <w:r>
              <w:rPr>
                <w:rFonts w:hint="eastAsia" w:ascii="宋体" w:hAnsi="宋体" w:cs="宋体"/>
                <w:kern w:val="0"/>
                <w:szCs w:val="21"/>
              </w:rPr>
              <w:t>33</w:t>
            </w:r>
          </w:p>
        </w:tc>
        <w:tc>
          <w:tcPr>
            <w:tcW w:w="427" w:type="dxa"/>
            <w:vMerge w:val="continue"/>
            <w:tcBorders>
              <w:top w:val="nil"/>
              <w:left w:val="single" w:color="auto" w:sz="4" w:space="0"/>
              <w:bottom w:val="single" w:color="000000" w:sz="4" w:space="0"/>
              <w:right w:val="single" w:color="auto" w:sz="4" w:space="0"/>
            </w:tcBorders>
            <w:vAlign w:val="center"/>
          </w:tcPr>
          <w:p w14:paraId="2C747DF3">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11163123">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6B79F1C3">
            <w:pPr>
              <w:widowControl/>
              <w:jc w:val="center"/>
              <w:rPr>
                <w:rFonts w:ascii="宋体" w:hAnsi="宋体" w:cs="宋体"/>
                <w:kern w:val="0"/>
                <w:szCs w:val="21"/>
              </w:rPr>
            </w:pPr>
            <w:r>
              <w:rPr>
                <w:rFonts w:hint="eastAsia" w:ascii="宋体" w:hAnsi="宋体" w:cs="宋体"/>
                <w:kern w:val="0"/>
                <w:szCs w:val="21"/>
              </w:rPr>
              <w:t>V5</w:t>
            </w:r>
          </w:p>
        </w:tc>
        <w:tc>
          <w:tcPr>
            <w:tcW w:w="1500" w:type="dxa"/>
            <w:tcBorders>
              <w:top w:val="nil"/>
              <w:left w:val="nil"/>
              <w:bottom w:val="single" w:color="auto" w:sz="4" w:space="0"/>
              <w:right w:val="single" w:color="auto" w:sz="4" w:space="0"/>
            </w:tcBorders>
            <w:noWrap/>
            <w:vAlign w:val="center"/>
          </w:tcPr>
          <w:p w14:paraId="2FECAC78">
            <w:pPr>
              <w:widowControl/>
              <w:jc w:val="center"/>
              <w:rPr>
                <w:rFonts w:ascii="宋体" w:hAnsi="宋体" w:cs="宋体"/>
                <w:kern w:val="0"/>
                <w:szCs w:val="21"/>
              </w:rPr>
            </w:pPr>
            <w:r>
              <w:rPr>
                <w:rFonts w:hint="eastAsia" w:ascii="宋体" w:hAnsi="宋体" w:cs="宋体"/>
                <w:kern w:val="0"/>
                <w:szCs w:val="21"/>
              </w:rPr>
              <w:t>小包间2</w:t>
            </w:r>
          </w:p>
        </w:tc>
        <w:tc>
          <w:tcPr>
            <w:tcW w:w="1581" w:type="dxa"/>
            <w:vMerge w:val="continue"/>
            <w:tcBorders>
              <w:top w:val="nil"/>
              <w:left w:val="single" w:color="auto" w:sz="4" w:space="0"/>
              <w:bottom w:val="single" w:color="000000" w:sz="4" w:space="0"/>
              <w:right w:val="single" w:color="auto" w:sz="4" w:space="0"/>
            </w:tcBorders>
            <w:vAlign w:val="center"/>
          </w:tcPr>
          <w:p w14:paraId="06B82C64">
            <w:pPr>
              <w:widowControl/>
              <w:jc w:val="left"/>
              <w:rPr>
                <w:rFonts w:ascii="宋体" w:hAnsi="宋体" w:cs="宋体"/>
                <w:kern w:val="0"/>
                <w:szCs w:val="21"/>
              </w:rPr>
            </w:pPr>
          </w:p>
        </w:tc>
        <w:tc>
          <w:tcPr>
            <w:tcW w:w="741" w:type="dxa"/>
            <w:vMerge w:val="continue"/>
            <w:tcBorders>
              <w:top w:val="nil"/>
              <w:left w:val="single" w:color="auto" w:sz="4" w:space="0"/>
              <w:bottom w:val="single" w:color="000000" w:sz="4" w:space="0"/>
              <w:right w:val="single" w:color="auto" w:sz="4" w:space="0"/>
            </w:tcBorders>
            <w:vAlign w:val="center"/>
          </w:tcPr>
          <w:p w14:paraId="3656B932">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1379C5ED">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0314A526">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4685FBE7">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1301D020">
            <w:pPr>
              <w:widowControl/>
              <w:jc w:val="center"/>
              <w:rPr>
                <w:rFonts w:ascii="宋体" w:hAnsi="宋体" w:cs="宋体"/>
                <w:kern w:val="0"/>
                <w:szCs w:val="21"/>
              </w:rPr>
            </w:pPr>
            <w:r>
              <w:rPr>
                <w:rFonts w:hint="eastAsia" w:ascii="宋体" w:hAnsi="宋体" w:cs="宋体"/>
                <w:kern w:val="0"/>
                <w:szCs w:val="21"/>
              </w:rPr>
              <w:t>1</w:t>
            </w:r>
          </w:p>
        </w:tc>
      </w:tr>
      <w:tr w14:paraId="3B41D9A1">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1478D629">
            <w:pPr>
              <w:widowControl/>
              <w:jc w:val="center"/>
              <w:rPr>
                <w:rFonts w:ascii="宋体" w:hAnsi="宋体" w:cs="宋体"/>
                <w:kern w:val="0"/>
                <w:szCs w:val="21"/>
              </w:rPr>
            </w:pPr>
            <w:r>
              <w:rPr>
                <w:rFonts w:hint="eastAsia" w:ascii="宋体" w:hAnsi="宋体" w:cs="宋体"/>
                <w:kern w:val="0"/>
                <w:szCs w:val="21"/>
              </w:rPr>
              <w:t>34</w:t>
            </w:r>
          </w:p>
        </w:tc>
        <w:tc>
          <w:tcPr>
            <w:tcW w:w="427" w:type="dxa"/>
            <w:vMerge w:val="continue"/>
            <w:tcBorders>
              <w:top w:val="nil"/>
              <w:left w:val="single" w:color="auto" w:sz="4" w:space="0"/>
              <w:bottom w:val="single" w:color="000000" w:sz="4" w:space="0"/>
              <w:right w:val="single" w:color="auto" w:sz="4" w:space="0"/>
            </w:tcBorders>
            <w:vAlign w:val="center"/>
          </w:tcPr>
          <w:p w14:paraId="78EFBA1C">
            <w:pPr>
              <w:widowControl/>
              <w:jc w:val="left"/>
              <w:rPr>
                <w:rFonts w:ascii="宋体" w:hAnsi="宋体" w:cs="宋体"/>
                <w:kern w:val="0"/>
                <w:szCs w:val="21"/>
              </w:rPr>
            </w:pPr>
          </w:p>
        </w:tc>
        <w:tc>
          <w:tcPr>
            <w:tcW w:w="520" w:type="dxa"/>
            <w:vMerge w:val="continue"/>
            <w:tcBorders>
              <w:top w:val="nil"/>
              <w:left w:val="single" w:color="auto" w:sz="4" w:space="0"/>
              <w:bottom w:val="single" w:color="auto" w:sz="4" w:space="0"/>
              <w:right w:val="single" w:color="auto" w:sz="4" w:space="0"/>
            </w:tcBorders>
            <w:vAlign w:val="center"/>
          </w:tcPr>
          <w:p w14:paraId="07FC6080">
            <w:pPr>
              <w:widowControl/>
              <w:jc w:val="left"/>
              <w:rPr>
                <w:rFonts w:ascii="宋体" w:hAnsi="宋体" w:cs="宋体"/>
                <w:kern w:val="0"/>
                <w:szCs w:val="21"/>
              </w:rPr>
            </w:pPr>
          </w:p>
        </w:tc>
        <w:tc>
          <w:tcPr>
            <w:tcW w:w="600" w:type="dxa"/>
            <w:tcBorders>
              <w:top w:val="nil"/>
              <w:left w:val="nil"/>
              <w:bottom w:val="single" w:color="auto" w:sz="4" w:space="0"/>
              <w:right w:val="single" w:color="auto" w:sz="4" w:space="0"/>
            </w:tcBorders>
            <w:vAlign w:val="center"/>
          </w:tcPr>
          <w:p w14:paraId="68953EC0">
            <w:pPr>
              <w:widowControl/>
              <w:jc w:val="center"/>
              <w:rPr>
                <w:rFonts w:ascii="宋体" w:hAnsi="宋体" w:cs="宋体"/>
                <w:kern w:val="0"/>
                <w:szCs w:val="21"/>
              </w:rPr>
            </w:pPr>
            <w:r>
              <w:rPr>
                <w:rFonts w:hint="eastAsia" w:ascii="宋体" w:hAnsi="宋体" w:cs="宋体"/>
                <w:kern w:val="0"/>
                <w:szCs w:val="21"/>
              </w:rPr>
              <w:t>V2</w:t>
            </w:r>
          </w:p>
        </w:tc>
        <w:tc>
          <w:tcPr>
            <w:tcW w:w="1500" w:type="dxa"/>
            <w:tcBorders>
              <w:top w:val="nil"/>
              <w:left w:val="nil"/>
              <w:bottom w:val="single" w:color="auto" w:sz="4" w:space="0"/>
              <w:right w:val="single" w:color="auto" w:sz="4" w:space="0"/>
            </w:tcBorders>
            <w:noWrap/>
            <w:vAlign w:val="center"/>
          </w:tcPr>
          <w:p w14:paraId="54F35C8D">
            <w:pPr>
              <w:widowControl/>
              <w:jc w:val="center"/>
              <w:rPr>
                <w:rFonts w:ascii="宋体" w:hAnsi="宋体" w:cs="宋体"/>
                <w:kern w:val="0"/>
                <w:szCs w:val="21"/>
              </w:rPr>
            </w:pPr>
            <w:r>
              <w:rPr>
                <w:rFonts w:hint="eastAsia" w:ascii="宋体" w:hAnsi="宋体" w:cs="宋体"/>
                <w:kern w:val="0"/>
                <w:szCs w:val="21"/>
              </w:rPr>
              <w:t>小包间3</w:t>
            </w:r>
          </w:p>
        </w:tc>
        <w:tc>
          <w:tcPr>
            <w:tcW w:w="1581" w:type="dxa"/>
            <w:vMerge w:val="continue"/>
            <w:tcBorders>
              <w:top w:val="nil"/>
              <w:left w:val="single" w:color="auto" w:sz="4" w:space="0"/>
              <w:bottom w:val="single" w:color="000000" w:sz="4" w:space="0"/>
              <w:right w:val="single" w:color="auto" w:sz="4" w:space="0"/>
            </w:tcBorders>
            <w:vAlign w:val="center"/>
          </w:tcPr>
          <w:p w14:paraId="610000B0">
            <w:pPr>
              <w:widowControl/>
              <w:jc w:val="left"/>
              <w:rPr>
                <w:rFonts w:ascii="宋体" w:hAnsi="宋体" w:cs="宋体"/>
                <w:kern w:val="0"/>
                <w:szCs w:val="21"/>
              </w:rPr>
            </w:pPr>
          </w:p>
        </w:tc>
        <w:tc>
          <w:tcPr>
            <w:tcW w:w="741" w:type="dxa"/>
            <w:vMerge w:val="continue"/>
            <w:tcBorders>
              <w:top w:val="nil"/>
              <w:left w:val="single" w:color="auto" w:sz="4" w:space="0"/>
              <w:bottom w:val="single" w:color="000000" w:sz="4" w:space="0"/>
              <w:right w:val="single" w:color="auto" w:sz="4" w:space="0"/>
            </w:tcBorders>
            <w:vAlign w:val="center"/>
          </w:tcPr>
          <w:p w14:paraId="224F86D9">
            <w:pPr>
              <w:widowControl/>
              <w:jc w:val="left"/>
              <w:rPr>
                <w:rFonts w:ascii="宋体" w:hAnsi="宋体" w:cs="宋体"/>
                <w:kern w:val="0"/>
                <w:szCs w:val="21"/>
              </w:rPr>
            </w:pPr>
          </w:p>
        </w:tc>
        <w:tc>
          <w:tcPr>
            <w:tcW w:w="620" w:type="dxa"/>
            <w:tcBorders>
              <w:top w:val="nil"/>
              <w:left w:val="nil"/>
              <w:bottom w:val="single" w:color="auto" w:sz="4" w:space="0"/>
              <w:right w:val="single" w:color="auto" w:sz="4" w:space="0"/>
            </w:tcBorders>
            <w:noWrap/>
            <w:vAlign w:val="center"/>
          </w:tcPr>
          <w:p w14:paraId="5028A278">
            <w:pPr>
              <w:widowControl/>
              <w:jc w:val="center"/>
              <w:rPr>
                <w:rFonts w:ascii="宋体" w:hAnsi="宋体" w:cs="宋体"/>
                <w:kern w:val="0"/>
                <w:szCs w:val="21"/>
              </w:rPr>
            </w:pPr>
            <w:r>
              <w:rPr>
                <w:rFonts w:hint="eastAsia" w:ascii="宋体" w:hAnsi="宋体" w:cs="宋体"/>
                <w:kern w:val="0"/>
                <w:szCs w:val="21"/>
              </w:rPr>
              <w:t>1</w:t>
            </w:r>
          </w:p>
        </w:tc>
        <w:tc>
          <w:tcPr>
            <w:tcW w:w="660" w:type="dxa"/>
            <w:tcBorders>
              <w:top w:val="nil"/>
              <w:left w:val="nil"/>
              <w:bottom w:val="single" w:color="auto" w:sz="4" w:space="0"/>
              <w:right w:val="single" w:color="auto" w:sz="4" w:space="0"/>
            </w:tcBorders>
            <w:vAlign w:val="center"/>
          </w:tcPr>
          <w:p w14:paraId="24BB4E46">
            <w:pPr>
              <w:widowControl/>
              <w:jc w:val="center"/>
              <w:rPr>
                <w:rFonts w:ascii="宋体" w:hAnsi="宋体" w:cs="宋体"/>
                <w:kern w:val="0"/>
                <w:szCs w:val="21"/>
              </w:rPr>
            </w:pPr>
            <w:r>
              <w:rPr>
                <w:rFonts w:hint="eastAsia" w:ascii="宋体" w:hAnsi="宋体" w:cs="宋体"/>
                <w:kern w:val="0"/>
                <w:szCs w:val="21"/>
              </w:rPr>
              <w:t>替换</w:t>
            </w:r>
          </w:p>
        </w:tc>
        <w:tc>
          <w:tcPr>
            <w:tcW w:w="1556" w:type="dxa"/>
            <w:tcBorders>
              <w:top w:val="nil"/>
              <w:left w:val="nil"/>
              <w:bottom w:val="single" w:color="auto" w:sz="4" w:space="0"/>
              <w:right w:val="single" w:color="auto" w:sz="4" w:space="0"/>
            </w:tcBorders>
            <w:vAlign w:val="center"/>
          </w:tcPr>
          <w:p w14:paraId="7EE37B7B">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1C97B0F2">
            <w:pPr>
              <w:widowControl/>
              <w:jc w:val="center"/>
              <w:rPr>
                <w:rFonts w:ascii="宋体" w:hAnsi="宋体" w:cs="宋体"/>
                <w:kern w:val="0"/>
                <w:szCs w:val="21"/>
              </w:rPr>
            </w:pPr>
            <w:r>
              <w:rPr>
                <w:rFonts w:hint="eastAsia" w:ascii="宋体" w:hAnsi="宋体" w:cs="宋体"/>
                <w:kern w:val="0"/>
                <w:szCs w:val="21"/>
              </w:rPr>
              <w:t>1</w:t>
            </w:r>
          </w:p>
        </w:tc>
      </w:tr>
      <w:tr w14:paraId="5503A3AE">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7F5CECE7">
            <w:pPr>
              <w:widowControl/>
              <w:jc w:val="center"/>
              <w:rPr>
                <w:rFonts w:ascii="宋体" w:hAnsi="宋体" w:cs="宋体"/>
                <w:kern w:val="0"/>
                <w:szCs w:val="21"/>
              </w:rPr>
            </w:pPr>
            <w:r>
              <w:rPr>
                <w:rFonts w:hint="eastAsia" w:ascii="宋体" w:hAnsi="宋体" w:cs="宋体"/>
                <w:kern w:val="0"/>
                <w:szCs w:val="21"/>
              </w:rPr>
              <w:t>35</w:t>
            </w:r>
          </w:p>
        </w:tc>
        <w:tc>
          <w:tcPr>
            <w:tcW w:w="427" w:type="dxa"/>
            <w:vMerge w:val="continue"/>
            <w:tcBorders>
              <w:top w:val="nil"/>
              <w:left w:val="single" w:color="auto" w:sz="4" w:space="0"/>
              <w:bottom w:val="single" w:color="000000" w:sz="4" w:space="0"/>
              <w:right w:val="single" w:color="auto" w:sz="4" w:space="0"/>
            </w:tcBorders>
            <w:vAlign w:val="center"/>
          </w:tcPr>
          <w:p w14:paraId="081CBB04">
            <w:pPr>
              <w:widowControl/>
              <w:jc w:val="left"/>
              <w:rPr>
                <w:rFonts w:ascii="宋体" w:hAnsi="宋体" w:cs="宋体"/>
                <w:kern w:val="0"/>
                <w:szCs w:val="21"/>
              </w:rPr>
            </w:pPr>
          </w:p>
        </w:tc>
        <w:tc>
          <w:tcPr>
            <w:tcW w:w="520" w:type="dxa"/>
            <w:tcBorders>
              <w:top w:val="nil"/>
              <w:left w:val="nil"/>
              <w:bottom w:val="single" w:color="auto" w:sz="4" w:space="0"/>
              <w:right w:val="single" w:color="auto" w:sz="4" w:space="0"/>
            </w:tcBorders>
            <w:noWrap/>
            <w:vAlign w:val="center"/>
          </w:tcPr>
          <w:p w14:paraId="76A61DA8">
            <w:pPr>
              <w:widowControl/>
              <w:jc w:val="center"/>
              <w:rPr>
                <w:rFonts w:ascii="宋体" w:hAnsi="宋体" w:cs="宋体"/>
                <w:kern w:val="0"/>
                <w:szCs w:val="21"/>
              </w:rPr>
            </w:pPr>
            <w:r>
              <w:rPr>
                <w:rFonts w:hint="eastAsia" w:ascii="宋体" w:hAnsi="宋体" w:cs="宋体"/>
                <w:kern w:val="0"/>
                <w:szCs w:val="21"/>
              </w:rPr>
              <w:t>2F</w:t>
            </w:r>
          </w:p>
        </w:tc>
        <w:tc>
          <w:tcPr>
            <w:tcW w:w="2100" w:type="dxa"/>
            <w:gridSpan w:val="2"/>
            <w:tcBorders>
              <w:top w:val="single" w:color="auto" w:sz="4" w:space="0"/>
              <w:left w:val="nil"/>
              <w:bottom w:val="single" w:color="auto" w:sz="4" w:space="0"/>
              <w:right w:val="single" w:color="auto" w:sz="4" w:space="0"/>
            </w:tcBorders>
            <w:noWrap/>
            <w:vAlign w:val="center"/>
          </w:tcPr>
          <w:p w14:paraId="60BFBCFE">
            <w:pPr>
              <w:widowControl/>
              <w:jc w:val="center"/>
              <w:rPr>
                <w:rFonts w:ascii="宋体" w:hAnsi="宋体" w:cs="宋体"/>
                <w:kern w:val="0"/>
                <w:szCs w:val="21"/>
              </w:rPr>
            </w:pPr>
            <w:r>
              <w:rPr>
                <w:rFonts w:hint="eastAsia" w:ascii="宋体" w:hAnsi="宋体" w:cs="宋体"/>
                <w:kern w:val="0"/>
                <w:szCs w:val="21"/>
              </w:rPr>
              <w:t>客房20间</w:t>
            </w:r>
          </w:p>
        </w:tc>
        <w:tc>
          <w:tcPr>
            <w:tcW w:w="1581" w:type="dxa"/>
            <w:tcBorders>
              <w:top w:val="nil"/>
              <w:left w:val="nil"/>
              <w:bottom w:val="single" w:color="auto" w:sz="4" w:space="0"/>
              <w:right w:val="single" w:color="auto" w:sz="4" w:space="0"/>
            </w:tcBorders>
            <w:vAlign w:val="center"/>
          </w:tcPr>
          <w:p w14:paraId="08A3486A">
            <w:pPr>
              <w:widowControl/>
              <w:jc w:val="center"/>
              <w:rPr>
                <w:rFonts w:ascii="宋体" w:hAnsi="宋体" w:cs="宋体"/>
                <w:kern w:val="0"/>
                <w:szCs w:val="21"/>
              </w:rPr>
            </w:pPr>
            <w:r>
              <w:rPr>
                <w:rFonts w:hint="eastAsia" w:ascii="宋体" w:hAnsi="宋体" w:cs="宋体"/>
                <w:kern w:val="0"/>
                <w:szCs w:val="21"/>
              </w:rPr>
              <w:t>无</w:t>
            </w:r>
          </w:p>
        </w:tc>
        <w:tc>
          <w:tcPr>
            <w:tcW w:w="741" w:type="dxa"/>
            <w:tcBorders>
              <w:top w:val="nil"/>
              <w:left w:val="nil"/>
              <w:bottom w:val="single" w:color="auto" w:sz="4" w:space="0"/>
              <w:right w:val="single" w:color="auto" w:sz="4" w:space="0"/>
            </w:tcBorders>
            <w:vAlign w:val="center"/>
          </w:tcPr>
          <w:p w14:paraId="6A978092">
            <w:pPr>
              <w:widowControl/>
              <w:jc w:val="center"/>
              <w:rPr>
                <w:rFonts w:ascii="宋体" w:hAnsi="宋体" w:cs="宋体"/>
                <w:kern w:val="0"/>
                <w:szCs w:val="21"/>
              </w:rPr>
            </w:pPr>
            <w:r>
              <w:rPr>
                <w:rFonts w:hint="eastAsia" w:ascii="宋体" w:hAnsi="宋体" w:cs="宋体"/>
                <w:kern w:val="0"/>
                <w:szCs w:val="21"/>
              </w:rPr>
              <w:t>　</w:t>
            </w:r>
          </w:p>
        </w:tc>
        <w:tc>
          <w:tcPr>
            <w:tcW w:w="620" w:type="dxa"/>
            <w:tcBorders>
              <w:top w:val="nil"/>
              <w:left w:val="nil"/>
              <w:bottom w:val="single" w:color="auto" w:sz="4" w:space="0"/>
              <w:right w:val="single" w:color="auto" w:sz="4" w:space="0"/>
            </w:tcBorders>
            <w:noWrap/>
            <w:vAlign w:val="center"/>
          </w:tcPr>
          <w:p w14:paraId="529FDBCA">
            <w:pPr>
              <w:widowControl/>
              <w:jc w:val="center"/>
              <w:rPr>
                <w:rFonts w:ascii="宋体" w:hAnsi="宋体" w:cs="宋体"/>
                <w:kern w:val="0"/>
                <w:szCs w:val="21"/>
              </w:rPr>
            </w:pPr>
            <w:r>
              <w:rPr>
                <w:rFonts w:hint="eastAsia" w:ascii="宋体" w:hAnsi="宋体" w:cs="宋体"/>
                <w:kern w:val="0"/>
                <w:szCs w:val="21"/>
              </w:rPr>
              <w:t>0</w:t>
            </w:r>
          </w:p>
        </w:tc>
        <w:tc>
          <w:tcPr>
            <w:tcW w:w="660" w:type="dxa"/>
            <w:tcBorders>
              <w:top w:val="nil"/>
              <w:left w:val="nil"/>
              <w:bottom w:val="single" w:color="auto" w:sz="4" w:space="0"/>
              <w:right w:val="single" w:color="auto" w:sz="4" w:space="0"/>
            </w:tcBorders>
            <w:vAlign w:val="center"/>
          </w:tcPr>
          <w:p w14:paraId="6122AC97">
            <w:pPr>
              <w:widowControl/>
              <w:jc w:val="center"/>
              <w:rPr>
                <w:rFonts w:ascii="宋体" w:hAnsi="宋体" w:cs="宋体"/>
                <w:kern w:val="0"/>
                <w:szCs w:val="21"/>
              </w:rPr>
            </w:pPr>
            <w:r>
              <w:rPr>
                <w:rFonts w:hint="eastAsia" w:ascii="宋体" w:hAnsi="宋体" w:cs="宋体"/>
                <w:kern w:val="0"/>
                <w:szCs w:val="21"/>
              </w:rPr>
              <w:t>新增</w:t>
            </w:r>
          </w:p>
        </w:tc>
        <w:tc>
          <w:tcPr>
            <w:tcW w:w="1556" w:type="dxa"/>
            <w:tcBorders>
              <w:top w:val="nil"/>
              <w:left w:val="nil"/>
              <w:bottom w:val="single" w:color="auto" w:sz="4" w:space="0"/>
              <w:right w:val="single" w:color="auto" w:sz="4" w:space="0"/>
            </w:tcBorders>
            <w:vAlign w:val="center"/>
          </w:tcPr>
          <w:p w14:paraId="1589F6B9">
            <w:pPr>
              <w:widowControl/>
              <w:jc w:val="center"/>
              <w:rPr>
                <w:rFonts w:ascii="宋体" w:hAnsi="宋体" w:cs="宋体"/>
                <w:kern w:val="0"/>
                <w:szCs w:val="21"/>
              </w:rPr>
            </w:pPr>
            <w:r>
              <w:rPr>
                <w:rFonts w:hint="eastAsia" w:ascii="宋体" w:hAnsi="宋体" w:cs="宋体"/>
                <w:kern w:val="0"/>
                <w:szCs w:val="21"/>
              </w:rPr>
              <w:t>wifi6面板AP</w:t>
            </w:r>
          </w:p>
        </w:tc>
        <w:tc>
          <w:tcPr>
            <w:tcW w:w="600" w:type="dxa"/>
            <w:tcBorders>
              <w:top w:val="nil"/>
              <w:left w:val="nil"/>
              <w:bottom w:val="single" w:color="auto" w:sz="4" w:space="0"/>
              <w:right w:val="single" w:color="auto" w:sz="4" w:space="0"/>
            </w:tcBorders>
            <w:noWrap/>
            <w:vAlign w:val="center"/>
          </w:tcPr>
          <w:p w14:paraId="571B0965">
            <w:pPr>
              <w:widowControl/>
              <w:jc w:val="center"/>
              <w:rPr>
                <w:rFonts w:ascii="宋体" w:hAnsi="宋体" w:cs="宋体"/>
                <w:kern w:val="0"/>
                <w:szCs w:val="21"/>
              </w:rPr>
            </w:pPr>
            <w:r>
              <w:rPr>
                <w:rFonts w:hint="eastAsia" w:ascii="宋体" w:hAnsi="宋体" w:cs="宋体"/>
                <w:kern w:val="0"/>
                <w:szCs w:val="21"/>
              </w:rPr>
              <w:t>20</w:t>
            </w:r>
          </w:p>
        </w:tc>
      </w:tr>
      <w:tr w14:paraId="58906F18">
        <w:tblPrEx>
          <w:tblCellMar>
            <w:top w:w="0" w:type="dxa"/>
            <w:left w:w="108" w:type="dxa"/>
            <w:bottom w:w="0" w:type="dxa"/>
            <w:right w:w="108" w:type="dxa"/>
          </w:tblCellMar>
        </w:tblPrEx>
        <w:trPr>
          <w:trHeight w:val="291" w:hRule="atLeast"/>
          <w:jc w:val="center"/>
        </w:trPr>
        <w:tc>
          <w:tcPr>
            <w:tcW w:w="427" w:type="dxa"/>
            <w:tcBorders>
              <w:top w:val="nil"/>
              <w:left w:val="single" w:color="auto" w:sz="4" w:space="0"/>
              <w:bottom w:val="single" w:color="auto" w:sz="4" w:space="0"/>
              <w:right w:val="single" w:color="auto" w:sz="4" w:space="0"/>
            </w:tcBorders>
            <w:vAlign w:val="center"/>
          </w:tcPr>
          <w:p w14:paraId="6F42A903">
            <w:pPr>
              <w:widowControl/>
              <w:jc w:val="center"/>
              <w:rPr>
                <w:rFonts w:ascii="宋体" w:hAnsi="宋体" w:cs="宋体"/>
                <w:kern w:val="0"/>
                <w:szCs w:val="21"/>
              </w:rPr>
            </w:pPr>
            <w:r>
              <w:rPr>
                <w:rFonts w:hint="eastAsia" w:ascii="宋体" w:hAnsi="宋体" w:cs="宋体"/>
                <w:kern w:val="0"/>
                <w:szCs w:val="21"/>
              </w:rPr>
              <w:t>36</w:t>
            </w:r>
          </w:p>
        </w:tc>
        <w:tc>
          <w:tcPr>
            <w:tcW w:w="3047" w:type="dxa"/>
            <w:gridSpan w:val="4"/>
            <w:tcBorders>
              <w:top w:val="single" w:color="auto" w:sz="4" w:space="0"/>
              <w:left w:val="nil"/>
              <w:bottom w:val="single" w:color="auto" w:sz="4" w:space="0"/>
              <w:right w:val="single" w:color="auto" w:sz="4" w:space="0"/>
            </w:tcBorders>
            <w:vAlign w:val="center"/>
          </w:tcPr>
          <w:p w14:paraId="0C981757">
            <w:pPr>
              <w:widowControl/>
              <w:jc w:val="center"/>
              <w:rPr>
                <w:rFonts w:ascii="宋体" w:hAnsi="宋体" w:cs="宋体"/>
                <w:kern w:val="0"/>
                <w:szCs w:val="21"/>
              </w:rPr>
            </w:pPr>
            <w:r>
              <w:rPr>
                <w:rFonts w:hint="eastAsia" w:ascii="宋体" w:hAnsi="宋体" w:cs="宋体"/>
                <w:kern w:val="0"/>
                <w:szCs w:val="21"/>
              </w:rPr>
              <w:t>木屋会议室</w:t>
            </w:r>
          </w:p>
        </w:tc>
        <w:tc>
          <w:tcPr>
            <w:tcW w:w="1581" w:type="dxa"/>
            <w:tcBorders>
              <w:top w:val="nil"/>
              <w:left w:val="nil"/>
              <w:bottom w:val="single" w:color="auto" w:sz="4" w:space="0"/>
              <w:right w:val="single" w:color="auto" w:sz="4" w:space="0"/>
            </w:tcBorders>
            <w:vAlign w:val="center"/>
          </w:tcPr>
          <w:p w14:paraId="2E2C326F">
            <w:pPr>
              <w:widowControl/>
              <w:jc w:val="center"/>
              <w:rPr>
                <w:rFonts w:ascii="宋体" w:hAnsi="宋体" w:cs="宋体"/>
                <w:kern w:val="0"/>
                <w:szCs w:val="21"/>
              </w:rPr>
            </w:pPr>
            <w:r>
              <w:rPr>
                <w:rFonts w:hint="eastAsia" w:ascii="宋体" w:hAnsi="宋体" w:cs="宋体"/>
                <w:kern w:val="0"/>
                <w:szCs w:val="21"/>
              </w:rPr>
              <w:t>　</w:t>
            </w:r>
          </w:p>
        </w:tc>
        <w:tc>
          <w:tcPr>
            <w:tcW w:w="741" w:type="dxa"/>
            <w:tcBorders>
              <w:top w:val="nil"/>
              <w:left w:val="nil"/>
              <w:bottom w:val="single" w:color="auto" w:sz="4" w:space="0"/>
              <w:right w:val="single" w:color="auto" w:sz="4" w:space="0"/>
            </w:tcBorders>
            <w:vAlign w:val="center"/>
          </w:tcPr>
          <w:p w14:paraId="4F9BBFD1">
            <w:pPr>
              <w:widowControl/>
              <w:jc w:val="center"/>
              <w:rPr>
                <w:rFonts w:ascii="宋体" w:hAnsi="宋体" w:cs="宋体"/>
                <w:kern w:val="0"/>
                <w:szCs w:val="21"/>
              </w:rPr>
            </w:pPr>
            <w:r>
              <w:rPr>
                <w:rFonts w:hint="eastAsia" w:ascii="宋体" w:hAnsi="宋体" w:cs="宋体"/>
                <w:kern w:val="0"/>
                <w:szCs w:val="21"/>
              </w:rPr>
              <w:t>　</w:t>
            </w:r>
          </w:p>
        </w:tc>
        <w:tc>
          <w:tcPr>
            <w:tcW w:w="620" w:type="dxa"/>
            <w:tcBorders>
              <w:top w:val="nil"/>
              <w:left w:val="nil"/>
              <w:bottom w:val="single" w:color="auto" w:sz="4" w:space="0"/>
              <w:right w:val="single" w:color="auto" w:sz="4" w:space="0"/>
            </w:tcBorders>
            <w:noWrap/>
            <w:vAlign w:val="center"/>
          </w:tcPr>
          <w:p w14:paraId="2382C115">
            <w:pPr>
              <w:widowControl/>
              <w:jc w:val="center"/>
              <w:rPr>
                <w:rFonts w:ascii="宋体" w:hAnsi="宋体" w:cs="宋体"/>
                <w:kern w:val="0"/>
                <w:szCs w:val="21"/>
              </w:rPr>
            </w:pPr>
            <w:r>
              <w:rPr>
                <w:rFonts w:hint="eastAsia" w:ascii="宋体" w:hAnsi="宋体" w:cs="宋体"/>
                <w:kern w:val="0"/>
                <w:szCs w:val="21"/>
              </w:rPr>
              <w:t>0</w:t>
            </w:r>
          </w:p>
        </w:tc>
        <w:tc>
          <w:tcPr>
            <w:tcW w:w="660" w:type="dxa"/>
            <w:tcBorders>
              <w:top w:val="nil"/>
              <w:left w:val="nil"/>
              <w:bottom w:val="single" w:color="auto" w:sz="4" w:space="0"/>
              <w:right w:val="single" w:color="auto" w:sz="4" w:space="0"/>
            </w:tcBorders>
            <w:vAlign w:val="center"/>
          </w:tcPr>
          <w:p w14:paraId="369327B1">
            <w:pPr>
              <w:widowControl/>
              <w:jc w:val="center"/>
              <w:rPr>
                <w:rFonts w:ascii="宋体" w:hAnsi="宋体" w:cs="宋体"/>
                <w:kern w:val="0"/>
                <w:szCs w:val="21"/>
              </w:rPr>
            </w:pPr>
            <w:r>
              <w:rPr>
                <w:rFonts w:hint="eastAsia" w:ascii="宋体" w:hAnsi="宋体" w:cs="宋体"/>
                <w:kern w:val="0"/>
                <w:szCs w:val="21"/>
              </w:rPr>
              <w:t>新增</w:t>
            </w:r>
          </w:p>
        </w:tc>
        <w:tc>
          <w:tcPr>
            <w:tcW w:w="1556" w:type="dxa"/>
            <w:tcBorders>
              <w:top w:val="nil"/>
              <w:left w:val="nil"/>
              <w:bottom w:val="single" w:color="auto" w:sz="4" w:space="0"/>
              <w:right w:val="single" w:color="auto" w:sz="4" w:space="0"/>
            </w:tcBorders>
            <w:vAlign w:val="center"/>
          </w:tcPr>
          <w:p w14:paraId="6E323950">
            <w:pPr>
              <w:widowControl/>
              <w:jc w:val="center"/>
              <w:rPr>
                <w:rFonts w:ascii="宋体" w:hAnsi="宋体" w:cs="宋体"/>
                <w:kern w:val="0"/>
                <w:szCs w:val="21"/>
              </w:rPr>
            </w:pPr>
            <w:r>
              <w:rPr>
                <w:rFonts w:hint="eastAsia" w:ascii="宋体" w:hAnsi="宋体" w:cs="宋体"/>
                <w:kern w:val="0"/>
                <w:szCs w:val="21"/>
              </w:rPr>
              <w:t>wifi6高密AP</w:t>
            </w:r>
          </w:p>
        </w:tc>
        <w:tc>
          <w:tcPr>
            <w:tcW w:w="600" w:type="dxa"/>
            <w:tcBorders>
              <w:top w:val="nil"/>
              <w:left w:val="nil"/>
              <w:bottom w:val="single" w:color="auto" w:sz="4" w:space="0"/>
              <w:right w:val="single" w:color="auto" w:sz="4" w:space="0"/>
            </w:tcBorders>
            <w:noWrap/>
            <w:vAlign w:val="center"/>
          </w:tcPr>
          <w:p w14:paraId="4A2EBE24">
            <w:pPr>
              <w:widowControl/>
              <w:jc w:val="center"/>
              <w:rPr>
                <w:rFonts w:ascii="宋体" w:hAnsi="宋体" w:cs="宋体"/>
                <w:kern w:val="0"/>
                <w:szCs w:val="21"/>
              </w:rPr>
            </w:pPr>
            <w:r>
              <w:rPr>
                <w:rFonts w:hint="eastAsia" w:ascii="宋体" w:hAnsi="宋体" w:cs="宋体"/>
                <w:kern w:val="0"/>
                <w:szCs w:val="21"/>
              </w:rPr>
              <w:t>2</w:t>
            </w:r>
          </w:p>
        </w:tc>
      </w:tr>
      <w:tr w14:paraId="19B7B1B1">
        <w:tblPrEx>
          <w:tblCellMar>
            <w:top w:w="0" w:type="dxa"/>
            <w:left w:w="108" w:type="dxa"/>
            <w:bottom w:w="0" w:type="dxa"/>
            <w:right w:w="108" w:type="dxa"/>
          </w:tblCellMar>
        </w:tblPrEx>
        <w:trPr>
          <w:trHeight w:val="690" w:hRule="atLeast"/>
          <w:jc w:val="center"/>
        </w:trPr>
        <w:tc>
          <w:tcPr>
            <w:tcW w:w="8632" w:type="dxa"/>
            <w:gridSpan w:val="10"/>
            <w:tcBorders>
              <w:top w:val="single" w:color="auto" w:sz="4" w:space="0"/>
              <w:left w:val="single" w:color="auto" w:sz="4" w:space="0"/>
              <w:bottom w:val="single" w:color="auto" w:sz="4" w:space="0"/>
              <w:right w:val="single" w:color="000000" w:sz="4" w:space="0"/>
            </w:tcBorders>
            <w:vAlign w:val="center"/>
          </w:tcPr>
          <w:p w14:paraId="7B896128">
            <w:pPr>
              <w:widowControl/>
              <w:jc w:val="center"/>
              <w:rPr>
                <w:rFonts w:ascii="宋体" w:hAnsi="宋体" w:cs="宋体"/>
                <w:b/>
                <w:bCs/>
                <w:kern w:val="0"/>
                <w:szCs w:val="21"/>
              </w:rPr>
            </w:pPr>
            <w:r>
              <w:rPr>
                <w:rFonts w:hint="eastAsia" w:ascii="宋体" w:hAnsi="宋体" w:cs="宋体"/>
                <w:b/>
                <w:bCs/>
                <w:kern w:val="0"/>
                <w:szCs w:val="21"/>
              </w:rPr>
              <w:t>总计（wifi6面板AP 20个，wifi6放装AP 25个，wifi6高密AP 24个）</w:t>
            </w:r>
          </w:p>
        </w:tc>
        <w:tc>
          <w:tcPr>
            <w:tcW w:w="600" w:type="dxa"/>
            <w:tcBorders>
              <w:top w:val="nil"/>
              <w:left w:val="nil"/>
              <w:bottom w:val="single" w:color="auto" w:sz="4" w:space="0"/>
              <w:right w:val="single" w:color="auto" w:sz="4" w:space="0"/>
            </w:tcBorders>
            <w:noWrap/>
            <w:vAlign w:val="center"/>
          </w:tcPr>
          <w:p w14:paraId="40F638A6">
            <w:pPr>
              <w:widowControl/>
              <w:jc w:val="center"/>
              <w:rPr>
                <w:rFonts w:ascii="宋体" w:hAnsi="宋体" w:cs="宋体"/>
                <w:b/>
                <w:bCs/>
                <w:kern w:val="0"/>
                <w:szCs w:val="21"/>
              </w:rPr>
            </w:pPr>
            <w:r>
              <w:rPr>
                <w:rFonts w:hint="eastAsia" w:ascii="宋体" w:hAnsi="宋体" w:cs="宋体"/>
                <w:b/>
                <w:bCs/>
                <w:kern w:val="0"/>
                <w:szCs w:val="21"/>
              </w:rPr>
              <w:t xml:space="preserve">69 </w:t>
            </w:r>
          </w:p>
        </w:tc>
      </w:tr>
    </w:tbl>
    <w:p w14:paraId="207DA6A1">
      <w:pPr>
        <w:spacing w:line="360" w:lineRule="auto"/>
        <w:ind w:firstLine="420" w:firstLineChars="200"/>
      </w:pPr>
    </w:p>
    <w:p w14:paraId="5DC07EF6">
      <w:pPr>
        <w:pStyle w:val="21"/>
        <w:rPr>
          <w:sz w:val="24"/>
          <w:szCs w:val="32"/>
        </w:rPr>
      </w:pPr>
      <w:r>
        <w:rPr>
          <w:rFonts w:hint="eastAsia"/>
          <w:sz w:val="24"/>
          <w:szCs w:val="32"/>
        </w:rPr>
        <w:t>2.1.2、面板AP技术指标要求</w:t>
      </w:r>
    </w:p>
    <w:tbl>
      <w:tblPr>
        <w:tblStyle w:val="53"/>
        <w:tblW w:w="9042" w:type="dxa"/>
        <w:jc w:val="center"/>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7325"/>
      </w:tblGrid>
      <w:tr w14:paraId="5C66F785">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796E4112">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指标项</w:t>
            </w:r>
          </w:p>
        </w:tc>
        <w:tc>
          <w:tcPr>
            <w:tcW w:w="7325" w:type="dxa"/>
            <w:tcBorders>
              <w:tl2br w:val="nil"/>
              <w:tr2bl w:val="nil"/>
            </w:tcBorders>
            <w:vAlign w:val="center"/>
          </w:tcPr>
          <w:p w14:paraId="6F463E93">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指标要求</w:t>
            </w:r>
          </w:p>
        </w:tc>
      </w:tr>
      <w:tr w14:paraId="4AF9722B">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1DB29809">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325" w:type="dxa"/>
            <w:tcBorders>
              <w:tl2br w:val="nil"/>
              <w:tr2bl w:val="nil"/>
            </w:tcBorders>
            <w:vAlign w:val="center"/>
          </w:tcPr>
          <w:p w14:paraId="6FEA308B">
            <w:pPr>
              <w:jc w:val="left"/>
              <w:rPr>
                <w:rFonts w:ascii="宋体" w:hAnsi="宋体" w:cs="宋体"/>
                <w:szCs w:val="21"/>
              </w:rPr>
            </w:pPr>
            <w:r>
              <w:rPr>
                <w:rFonts w:hint="eastAsia" w:ascii="宋体" w:hAnsi="宋体" w:cs="宋体"/>
                <w:szCs w:val="21"/>
              </w:rPr>
              <w:t>20个</w:t>
            </w:r>
          </w:p>
        </w:tc>
      </w:tr>
      <w:tr w14:paraId="3B15A3E9">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109A2FD1">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协议</w:t>
            </w:r>
          </w:p>
        </w:tc>
        <w:tc>
          <w:tcPr>
            <w:tcW w:w="7325" w:type="dxa"/>
            <w:tcBorders>
              <w:tl2br w:val="nil"/>
              <w:tr2bl w:val="nil"/>
            </w:tcBorders>
            <w:vAlign w:val="center"/>
          </w:tcPr>
          <w:p w14:paraId="360451EB">
            <w:pPr>
              <w:jc w:val="left"/>
              <w:rPr>
                <w:rFonts w:ascii="宋体" w:hAnsi="宋体" w:cs="宋体"/>
                <w:szCs w:val="21"/>
              </w:rPr>
            </w:pPr>
            <w:r>
              <w:rPr>
                <w:rFonts w:hint="eastAsia" w:ascii="宋体" w:hAnsi="宋体" w:cs="宋体"/>
                <w:bCs/>
                <w:szCs w:val="21"/>
              </w:rPr>
              <w:t>支持标准802.11ax协议</w:t>
            </w:r>
          </w:p>
        </w:tc>
      </w:tr>
      <w:tr w14:paraId="29F5EBFB">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17" w:type="dxa"/>
            <w:tcBorders>
              <w:tl2br w:val="nil"/>
              <w:tr2bl w:val="nil"/>
            </w:tcBorders>
            <w:vAlign w:val="center"/>
          </w:tcPr>
          <w:p w14:paraId="45577D8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配置</w:t>
            </w:r>
          </w:p>
        </w:tc>
        <w:tc>
          <w:tcPr>
            <w:tcW w:w="7325" w:type="dxa"/>
            <w:tcBorders>
              <w:tl2br w:val="nil"/>
              <w:tr2bl w:val="nil"/>
            </w:tcBorders>
            <w:vAlign w:val="center"/>
          </w:tcPr>
          <w:p w14:paraId="471E4CDC">
            <w:pPr>
              <w:jc w:val="left"/>
              <w:rPr>
                <w:rFonts w:ascii="宋体" w:hAnsi="宋体" w:cs="宋体"/>
                <w:szCs w:val="21"/>
              </w:rPr>
            </w:pPr>
            <w:r>
              <w:rPr>
                <w:rFonts w:hint="eastAsia" w:ascii="宋体" w:hAnsi="宋体" w:cs="宋体"/>
                <w:bCs/>
                <w:szCs w:val="21"/>
              </w:rPr>
              <w:t>采用双射频设计，整机4条空间流，≥1个GE电接口（上行），≥2个GE电接口（下行）</w:t>
            </w:r>
          </w:p>
        </w:tc>
      </w:tr>
    </w:tbl>
    <w:p w14:paraId="661A2049">
      <w:pPr>
        <w:pStyle w:val="21"/>
        <w:rPr>
          <w:rFonts w:ascii="宋体" w:hAnsi="宋体"/>
          <w:bCs/>
          <w:szCs w:val="21"/>
        </w:rPr>
      </w:pPr>
    </w:p>
    <w:p w14:paraId="691264B8">
      <w:pPr>
        <w:pStyle w:val="21"/>
        <w:rPr>
          <w:sz w:val="24"/>
          <w:szCs w:val="32"/>
        </w:rPr>
      </w:pPr>
      <w:r>
        <w:rPr>
          <w:rFonts w:hint="eastAsia"/>
          <w:sz w:val="24"/>
          <w:szCs w:val="32"/>
        </w:rPr>
        <w:t>2.1.3、放装AP技术指标要求</w:t>
      </w:r>
    </w:p>
    <w:tbl>
      <w:tblPr>
        <w:tblStyle w:val="53"/>
        <w:tblW w:w="9042" w:type="dxa"/>
        <w:jc w:val="center"/>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7325"/>
      </w:tblGrid>
      <w:tr w14:paraId="0A7C16D7">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59FD3515">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指标项</w:t>
            </w:r>
          </w:p>
        </w:tc>
        <w:tc>
          <w:tcPr>
            <w:tcW w:w="7325" w:type="dxa"/>
            <w:tcBorders>
              <w:tl2br w:val="nil"/>
              <w:tr2bl w:val="nil"/>
            </w:tcBorders>
            <w:vAlign w:val="center"/>
          </w:tcPr>
          <w:p w14:paraId="4C210D63">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指标要求</w:t>
            </w:r>
          </w:p>
        </w:tc>
      </w:tr>
      <w:tr w14:paraId="21ABF978">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6CF38343">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325" w:type="dxa"/>
            <w:tcBorders>
              <w:tl2br w:val="nil"/>
              <w:tr2bl w:val="nil"/>
            </w:tcBorders>
            <w:vAlign w:val="center"/>
          </w:tcPr>
          <w:p w14:paraId="6BD4D6DE">
            <w:pPr>
              <w:jc w:val="left"/>
              <w:rPr>
                <w:rFonts w:ascii="宋体" w:hAnsi="宋体" w:cs="宋体"/>
                <w:szCs w:val="21"/>
              </w:rPr>
            </w:pPr>
            <w:r>
              <w:rPr>
                <w:rFonts w:hint="eastAsia" w:ascii="宋体" w:hAnsi="宋体" w:cs="宋体"/>
                <w:szCs w:val="21"/>
              </w:rPr>
              <w:t>25个</w:t>
            </w:r>
          </w:p>
        </w:tc>
      </w:tr>
      <w:tr w14:paraId="39B6F5B6">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65CD20B7">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协议</w:t>
            </w:r>
          </w:p>
        </w:tc>
        <w:tc>
          <w:tcPr>
            <w:tcW w:w="7325" w:type="dxa"/>
            <w:tcBorders>
              <w:tl2br w:val="nil"/>
              <w:tr2bl w:val="nil"/>
            </w:tcBorders>
            <w:vAlign w:val="center"/>
          </w:tcPr>
          <w:p w14:paraId="52A216FA">
            <w:pPr>
              <w:jc w:val="left"/>
              <w:rPr>
                <w:rFonts w:ascii="宋体" w:hAnsi="宋体" w:cs="宋体"/>
                <w:szCs w:val="21"/>
              </w:rPr>
            </w:pPr>
            <w:r>
              <w:rPr>
                <w:rFonts w:hint="eastAsia" w:ascii="宋体" w:hAnsi="宋体" w:cs="宋体"/>
                <w:bCs/>
                <w:szCs w:val="21"/>
              </w:rPr>
              <w:t>支持标准802.11ax协议</w:t>
            </w:r>
          </w:p>
        </w:tc>
      </w:tr>
      <w:tr w14:paraId="2EC02E53">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17" w:type="dxa"/>
            <w:tcBorders>
              <w:tl2br w:val="nil"/>
              <w:tr2bl w:val="nil"/>
            </w:tcBorders>
            <w:vAlign w:val="center"/>
          </w:tcPr>
          <w:p w14:paraId="484A1531">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配置</w:t>
            </w:r>
          </w:p>
        </w:tc>
        <w:tc>
          <w:tcPr>
            <w:tcW w:w="7325" w:type="dxa"/>
            <w:tcBorders>
              <w:tl2br w:val="nil"/>
              <w:tr2bl w:val="nil"/>
            </w:tcBorders>
            <w:vAlign w:val="center"/>
          </w:tcPr>
          <w:p w14:paraId="4A449B1C">
            <w:pPr>
              <w:jc w:val="left"/>
              <w:rPr>
                <w:rFonts w:ascii="宋体" w:hAnsi="宋体" w:cs="宋体"/>
                <w:szCs w:val="21"/>
              </w:rPr>
            </w:pPr>
            <w:r>
              <w:rPr>
                <w:rFonts w:hint="eastAsia" w:ascii="宋体" w:hAnsi="宋体" w:cs="宋体"/>
                <w:bCs/>
                <w:szCs w:val="21"/>
              </w:rPr>
              <w:t>采用双射频设计，整机4条空间流，≥1个GE电接口</w:t>
            </w:r>
          </w:p>
        </w:tc>
      </w:tr>
    </w:tbl>
    <w:p w14:paraId="1A6D871B">
      <w:pPr>
        <w:pStyle w:val="21"/>
        <w:rPr>
          <w:sz w:val="24"/>
          <w:szCs w:val="32"/>
        </w:rPr>
      </w:pPr>
      <w:r>
        <w:rPr>
          <w:rFonts w:hint="eastAsia"/>
          <w:sz w:val="24"/>
          <w:szCs w:val="32"/>
        </w:rPr>
        <w:t>2.1.4、高密AP技术指标要求</w:t>
      </w:r>
    </w:p>
    <w:tbl>
      <w:tblPr>
        <w:tblStyle w:val="53"/>
        <w:tblW w:w="9042" w:type="dxa"/>
        <w:jc w:val="center"/>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7325"/>
      </w:tblGrid>
      <w:tr w14:paraId="18D6D4BD">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5D0D6C84">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指标项</w:t>
            </w:r>
          </w:p>
        </w:tc>
        <w:tc>
          <w:tcPr>
            <w:tcW w:w="7325" w:type="dxa"/>
            <w:tcBorders>
              <w:tl2br w:val="nil"/>
              <w:tr2bl w:val="nil"/>
            </w:tcBorders>
            <w:vAlign w:val="center"/>
          </w:tcPr>
          <w:p w14:paraId="35B555B3">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指标要求</w:t>
            </w:r>
          </w:p>
        </w:tc>
      </w:tr>
      <w:tr w14:paraId="19FD522E">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58E2C75F">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325" w:type="dxa"/>
            <w:tcBorders>
              <w:tl2br w:val="nil"/>
              <w:tr2bl w:val="nil"/>
            </w:tcBorders>
            <w:vAlign w:val="center"/>
          </w:tcPr>
          <w:p w14:paraId="4D42E71B">
            <w:pPr>
              <w:jc w:val="left"/>
              <w:rPr>
                <w:rFonts w:ascii="宋体" w:hAnsi="宋体" w:cs="宋体"/>
                <w:szCs w:val="21"/>
              </w:rPr>
            </w:pPr>
            <w:r>
              <w:rPr>
                <w:rFonts w:hint="eastAsia" w:ascii="宋体" w:hAnsi="宋体" w:cs="宋体"/>
                <w:szCs w:val="21"/>
              </w:rPr>
              <w:t>24个</w:t>
            </w:r>
          </w:p>
        </w:tc>
      </w:tr>
      <w:tr w14:paraId="2B933509">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2846FB6E">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协议</w:t>
            </w:r>
          </w:p>
        </w:tc>
        <w:tc>
          <w:tcPr>
            <w:tcW w:w="7325" w:type="dxa"/>
            <w:tcBorders>
              <w:tl2br w:val="nil"/>
              <w:tr2bl w:val="nil"/>
            </w:tcBorders>
            <w:vAlign w:val="center"/>
          </w:tcPr>
          <w:p w14:paraId="1CE1DC8B">
            <w:pPr>
              <w:jc w:val="left"/>
              <w:rPr>
                <w:rFonts w:ascii="宋体" w:hAnsi="宋体" w:cs="宋体"/>
                <w:szCs w:val="21"/>
              </w:rPr>
            </w:pPr>
            <w:r>
              <w:rPr>
                <w:rFonts w:hint="eastAsia" w:ascii="宋体" w:hAnsi="宋体" w:cs="宋体"/>
                <w:bCs/>
                <w:szCs w:val="21"/>
              </w:rPr>
              <w:t>支持标准802.11ax协议</w:t>
            </w:r>
          </w:p>
        </w:tc>
      </w:tr>
      <w:tr w14:paraId="32EA7AED">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17" w:type="dxa"/>
            <w:tcBorders>
              <w:tl2br w:val="nil"/>
              <w:tr2bl w:val="nil"/>
            </w:tcBorders>
            <w:vAlign w:val="center"/>
          </w:tcPr>
          <w:p w14:paraId="4F30648D">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配置</w:t>
            </w:r>
          </w:p>
        </w:tc>
        <w:tc>
          <w:tcPr>
            <w:tcW w:w="7325" w:type="dxa"/>
            <w:tcBorders>
              <w:tl2br w:val="nil"/>
              <w:tr2bl w:val="nil"/>
            </w:tcBorders>
            <w:vAlign w:val="center"/>
          </w:tcPr>
          <w:p w14:paraId="1520E1C1">
            <w:pPr>
              <w:jc w:val="left"/>
              <w:rPr>
                <w:rFonts w:ascii="宋体" w:hAnsi="宋体" w:cs="宋体"/>
                <w:szCs w:val="21"/>
              </w:rPr>
            </w:pPr>
            <w:r>
              <w:rPr>
                <w:rFonts w:hint="eastAsia" w:ascii="宋体" w:hAnsi="宋体" w:cs="宋体"/>
                <w:bCs/>
                <w:szCs w:val="21"/>
              </w:rPr>
              <w:t>采用三射频设计，整机6条空间流，≥1个GE电接口</w:t>
            </w:r>
          </w:p>
        </w:tc>
      </w:tr>
    </w:tbl>
    <w:p w14:paraId="203724D2">
      <w:pPr>
        <w:pStyle w:val="21"/>
        <w:rPr>
          <w:rFonts w:ascii="宋体" w:hAnsi="宋体"/>
          <w:bCs/>
          <w:szCs w:val="21"/>
        </w:rPr>
      </w:pPr>
    </w:p>
    <w:p w14:paraId="76D560B1">
      <w:pPr>
        <w:pStyle w:val="21"/>
        <w:rPr>
          <w:sz w:val="24"/>
          <w:szCs w:val="32"/>
        </w:rPr>
      </w:pPr>
      <w:r>
        <w:rPr>
          <w:rFonts w:hint="eastAsia"/>
          <w:sz w:val="24"/>
          <w:szCs w:val="32"/>
        </w:rPr>
        <w:t>2.1.5、其它指标要求</w:t>
      </w:r>
    </w:p>
    <w:tbl>
      <w:tblPr>
        <w:tblStyle w:val="53"/>
        <w:tblW w:w="9042" w:type="dxa"/>
        <w:jc w:val="center"/>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7325"/>
      </w:tblGrid>
      <w:tr w14:paraId="171C5B58">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36599231">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指标项</w:t>
            </w:r>
          </w:p>
        </w:tc>
        <w:tc>
          <w:tcPr>
            <w:tcW w:w="7325" w:type="dxa"/>
            <w:tcBorders>
              <w:tl2br w:val="nil"/>
              <w:tr2bl w:val="nil"/>
            </w:tcBorders>
            <w:vAlign w:val="center"/>
          </w:tcPr>
          <w:p w14:paraId="726B4848">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指标要求</w:t>
            </w:r>
          </w:p>
        </w:tc>
      </w:tr>
      <w:tr w14:paraId="169263B3">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0AC2E465">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无线授权数量</w:t>
            </w:r>
          </w:p>
        </w:tc>
        <w:tc>
          <w:tcPr>
            <w:tcW w:w="7325" w:type="dxa"/>
            <w:tcBorders>
              <w:tl2br w:val="nil"/>
              <w:tr2bl w:val="nil"/>
            </w:tcBorders>
            <w:vAlign w:val="center"/>
          </w:tcPr>
          <w:p w14:paraId="6E8D9F92">
            <w:pPr>
              <w:jc w:val="left"/>
              <w:rPr>
                <w:rFonts w:ascii="宋体" w:hAnsi="宋体" w:cs="宋体"/>
                <w:szCs w:val="21"/>
              </w:rPr>
            </w:pPr>
            <w:r>
              <w:rPr>
                <w:rFonts w:hint="eastAsia" w:ascii="宋体" w:hAnsi="宋体" w:cs="宋体"/>
                <w:szCs w:val="21"/>
              </w:rPr>
              <w:t>本次项目实施所需的所有无线A</w:t>
            </w:r>
            <w:r>
              <w:rPr>
                <w:rFonts w:ascii="宋体" w:hAnsi="宋体" w:cs="宋体"/>
                <w:szCs w:val="21"/>
              </w:rPr>
              <w:t>P</w:t>
            </w:r>
            <w:r>
              <w:rPr>
                <w:rFonts w:hint="eastAsia" w:ascii="宋体" w:hAnsi="宋体" w:cs="宋体"/>
                <w:szCs w:val="21"/>
              </w:rPr>
              <w:t>纳管授权。</w:t>
            </w:r>
          </w:p>
        </w:tc>
      </w:tr>
      <w:tr w14:paraId="1249D39C">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7DE961D6">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兼容性</w:t>
            </w:r>
          </w:p>
        </w:tc>
        <w:tc>
          <w:tcPr>
            <w:tcW w:w="7325" w:type="dxa"/>
            <w:tcBorders>
              <w:tl2br w:val="nil"/>
              <w:tr2bl w:val="nil"/>
            </w:tcBorders>
            <w:vAlign w:val="center"/>
          </w:tcPr>
          <w:p w14:paraId="5E03E2EF">
            <w:pPr>
              <w:jc w:val="left"/>
              <w:rPr>
                <w:rFonts w:ascii="宋体" w:hAnsi="宋体" w:cs="宋体"/>
                <w:szCs w:val="21"/>
              </w:rPr>
            </w:pPr>
            <w:r>
              <w:rPr>
                <w:rFonts w:hint="eastAsia" w:ascii="宋体" w:hAnsi="宋体" w:cs="宋体"/>
                <w:bCs/>
                <w:szCs w:val="21"/>
              </w:rPr>
              <w:t>无线AP授权可被园区现有无线控制器纳管。若无线授权无法被园区现有无线控制器设备纳管，则需提供不低于园区现有无线控制器性能的全新无线控制器设备，包含在本次报价之内，配置要求：转发性能≥40G，支持管理无线客户端接入最大数量≥4000。需提供承诺函</w:t>
            </w:r>
          </w:p>
        </w:tc>
      </w:tr>
      <w:tr w14:paraId="20AEEA36">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6DF87162">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设备利旧</w:t>
            </w:r>
          </w:p>
        </w:tc>
        <w:tc>
          <w:tcPr>
            <w:tcW w:w="7325" w:type="dxa"/>
            <w:tcBorders>
              <w:tl2br w:val="nil"/>
              <w:tr2bl w:val="nil"/>
            </w:tcBorders>
            <w:vAlign w:val="center"/>
          </w:tcPr>
          <w:p w14:paraId="63E30219">
            <w:pPr>
              <w:jc w:val="left"/>
              <w:rPr>
                <w:rFonts w:ascii="宋体" w:hAnsi="宋体" w:cs="宋体"/>
                <w:bCs/>
                <w:szCs w:val="21"/>
              </w:rPr>
            </w:pPr>
            <w:r>
              <w:rPr>
                <w:rFonts w:hint="eastAsia" w:ascii="宋体" w:hAnsi="宋体" w:cs="宋体"/>
                <w:bCs/>
                <w:szCs w:val="21"/>
              </w:rPr>
              <w:t>根据采购人要求，替换下来的老设备按需进行补盲利旧或用作备品备件。</w:t>
            </w:r>
          </w:p>
        </w:tc>
      </w:tr>
      <w:tr w14:paraId="7AA213D8">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17" w:type="dxa"/>
            <w:tcBorders>
              <w:tl2br w:val="nil"/>
              <w:tr2bl w:val="nil"/>
            </w:tcBorders>
            <w:vAlign w:val="center"/>
          </w:tcPr>
          <w:p w14:paraId="7D677B80">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安装要求</w:t>
            </w:r>
          </w:p>
        </w:tc>
        <w:tc>
          <w:tcPr>
            <w:tcW w:w="7325" w:type="dxa"/>
            <w:tcBorders>
              <w:tl2br w:val="nil"/>
              <w:tr2bl w:val="nil"/>
            </w:tcBorders>
            <w:vAlign w:val="center"/>
          </w:tcPr>
          <w:p w14:paraId="3C333B35">
            <w:pPr>
              <w:jc w:val="left"/>
              <w:rPr>
                <w:rFonts w:ascii="宋体" w:hAnsi="宋体" w:cs="宋体"/>
                <w:szCs w:val="21"/>
              </w:rPr>
            </w:pPr>
            <w:r>
              <w:rPr>
                <w:rFonts w:hint="eastAsia" w:ascii="宋体" w:hAnsi="宋体" w:cs="宋体"/>
                <w:bCs/>
                <w:szCs w:val="21"/>
              </w:rPr>
              <w:t>包括但不限于无线点位布线部署、设备部署安装、网络配置、实施辅材、对接调试优化、割接、系统运行状态数据提供等内容。负责货物的搬运、安装和系统集成。负责项目涉及的相关软件安装、系统集成、测试，并协助用户部署现有其他应用设备。</w:t>
            </w:r>
          </w:p>
        </w:tc>
      </w:tr>
      <w:tr w14:paraId="7C37094F">
        <w:tblPrEx>
          <w:tblBorders>
            <w:top w:val="single" w:color="auto" w:sz="4" w:space="0"/>
            <w:left w:val="single" w:color="auto" w:sz="4" w:space="0"/>
            <w:bottom w:val="single" w:color="000000"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17" w:type="dxa"/>
            <w:tcBorders>
              <w:tl2br w:val="nil"/>
              <w:tr2bl w:val="nil"/>
            </w:tcBorders>
            <w:vAlign w:val="center"/>
          </w:tcPr>
          <w:p w14:paraId="2B7A7FDA">
            <w:pPr>
              <w:widowControl/>
              <w:jc w:val="center"/>
              <w:textAlignment w:val="center"/>
              <w:rPr>
                <w:rFonts w:ascii="宋体" w:hAnsi="宋体" w:cs="宋体"/>
                <w:b/>
                <w:bCs/>
                <w:color w:val="000000"/>
                <w:kern w:val="0"/>
                <w:szCs w:val="21"/>
              </w:rPr>
            </w:pPr>
            <w:r>
              <w:rPr>
                <w:rFonts w:hint="eastAsia" w:ascii="宋体" w:hAnsi="宋体" w:cs="宋体"/>
                <w:b/>
                <w:bCs/>
                <w:color w:val="000000"/>
                <w:kern w:val="0"/>
                <w:szCs w:val="21"/>
              </w:rPr>
              <w:t>服务要求</w:t>
            </w:r>
          </w:p>
        </w:tc>
        <w:tc>
          <w:tcPr>
            <w:tcW w:w="7325" w:type="dxa"/>
            <w:tcBorders>
              <w:tl2br w:val="nil"/>
              <w:tr2bl w:val="nil"/>
            </w:tcBorders>
            <w:vAlign w:val="center"/>
          </w:tcPr>
          <w:p w14:paraId="0D50512F">
            <w:pPr>
              <w:jc w:val="left"/>
              <w:rPr>
                <w:rFonts w:ascii="宋体" w:hAnsi="宋体" w:cs="宋体"/>
                <w:szCs w:val="21"/>
              </w:rPr>
            </w:pPr>
            <w:r>
              <w:rPr>
                <w:rFonts w:hint="eastAsia" w:ascii="宋体" w:hAnsi="宋体" w:cs="宋体"/>
                <w:szCs w:val="21"/>
              </w:rPr>
              <w:t>提供3年原厂7×24免费现场包修服务和现场技术支持服务。</w:t>
            </w:r>
          </w:p>
        </w:tc>
      </w:tr>
    </w:tbl>
    <w:p w14:paraId="699826CB">
      <w:pPr>
        <w:pStyle w:val="21"/>
        <w:rPr>
          <w:rFonts w:ascii="宋体" w:hAnsi="宋体"/>
          <w:bCs/>
          <w:szCs w:val="21"/>
        </w:rPr>
      </w:pPr>
    </w:p>
    <w:p w14:paraId="51C3E16C">
      <w:pPr>
        <w:spacing w:line="360" w:lineRule="auto"/>
        <w:outlineLvl w:val="2"/>
        <w:rPr>
          <w:sz w:val="24"/>
          <w:szCs w:val="32"/>
        </w:rPr>
      </w:pPr>
      <w:r>
        <w:rPr>
          <w:rFonts w:hint="eastAsia"/>
          <w:sz w:val="24"/>
          <w:szCs w:val="32"/>
        </w:rPr>
        <w:t>2.2、用户认证功能</w:t>
      </w:r>
    </w:p>
    <w:p w14:paraId="6AC52C5A">
      <w:pPr>
        <w:pStyle w:val="21"/>
        <w:rPr>
          <w:sz w:val="24"/>
          <w:szCs w:val="32"/>
        </w:rPr>
      </w:pPr>
      <w:r>
        <w:rPr>
          <w:rFonts w:hint="eastAsia"/>
          <w:sz w:val="24"/>
          <w:szCs w:val="21"/>
        </w:rPr>
        <w:t>★</w:t>
      </w:r>
      <w:r>
        <w:rPr>
          <w:rFonts w:hint="eastAsia"/>
          <w:sz w:val="24"/>
          <w:szCs w:val="32"/>
        </w:rPr>
        <w:t>2.2.1、功能需求</w:t>
      </w:r>
    </w:p>
    <w:p w14:paraId="5DE0A82B">
      <w:pPr>
        <w:spacing w:line="360" w:lineRule="auto"/>
        <w:ind w:firstLine="480" w:firstLineChars="200"/>
        <w:rPr>
          <w:sz w:val="24"/>
          <w:szCs w:val="32"/>
          <w:highlight w:val="yellow"/>
        </w:rPr>
      </w:pPr>
      <w:r>
        <w:rPr>
          <w:rFonts w:hint="eastAsia"/>
          <w:sz w:val="24"/>
          <w:szCs w:val="32"/>
        </w:rPr>
        <w:t>本项目需同时对接公司门户OA系统和公司短信网关平台，并面向园区所有AP设备实现员工与访客双轨认证功能。其中内部员工可凭借门户OA账号凭证或手机短信验证码完成登录认证，外部访客可通过手机短信验证码完成登录认证。支持后台配置1个或多个允许认证的运营商，如可配置仅支持广电号段的手机短信认证。支持后台灵活配置认证有效期，确保有效期内用户无需重复认证。本项目包含短信认证功能上线后的六万条短信包。公司重大培训等活动期间，支持免认证上网方式。</w:t>
      </w:r>
    </w:p>
    <w:p w14:paraId="50301162">
      <w:pPr>
        <w:pStyle w:val="21"/>
        <w:rPr>
          <w:sz w:val="24"/>
          <w:szCs w:val="32"/>
        </w:rPr>
      </w:pPr>
      <w:r>
        <w:rPr>
          <w:rFonts w:hint="eastAsia"/>
          <w:sz w:val="24"/>
          <w:szCs w:val="32"/>
        </w:rPr>
        <w:t>2.2.2、用户认证建设方案</w:t>
      </w:r>
    </w:p>
    <w:p w14:paraId="45C35A6A">
      <w:pPr>
        <w:spacing w:line="360" w:lineRule="auto"/>
        <w:ind w:firstLine="480" w:firstLineChars="200"/>
        <w:rPr>
          <w:sz w:val="24"/>
          <w:szCs w:val="32"/>
        </w:rPr>
      </w:pPr>
      <w:r>
        <w:rPr>
          <w:rFonts w:hint="eastAsia"/>
          <w:sz w:val="24"/>
          <w:szCs w:val="32"/>
        </w:rPr>
        <w:t>请供应商结合以上需求，提供详细的功能建设方案，需包括软件开发对接方案、网络拓扑及用户认证流程方案等内容。</w:t>
      </w:r>
    </w:p>
    <w:p w14:paraId="1271AAA8">
      <w:pPr>
        <w:spacing w:line="360" w:lineRule="auto"/>
        <w:outlineLvl w:val="2"/>
        <w:rPr>
          <w:sz w:val="24"/>
          <w:szCs w:val="32"/>
        </w:rPr>
      </w:pPr>
      <w:r>
        <w:rPr>
          <w:rFonts w:hint="eastAsia"/>
          <w:sz w:val="24"/>
          <w:szCs w:val="32"/>
        </w:rPr>
        <w:t>2.3、AI智能运维功能</w:t>
      </w:r>
    </w:p>
    <w:p w14:paraId="0D7F6066">
      <w:pPr>
        <w:pStyle w:val="21"/>
        <w:rPr>
          <w:sz w:val="24"/>
          <w:szCs w:val="32"/>
        </w:rPr>
      </w:pPr>
      <w:r>
        <w:rPr>
          <w:rFonts w:hint="eastAsia"/>
          <w:sz w:val="24"/>
          <w:szCs w:val="21"/>
        </w:rPr>
        <w:t>★</w:t>
      </w:r>
      <w:r>
        <w:rPr>
          <w:rFonts w:hint="eastAsia"/>
          <w:sz w:val="24"/>
          <w:szCs w:val="32"/>
        </w:rPr>
        <w:t>2.3.1、功能需求</w:t>
      </w:r>
    </w:p>
    <w:p w14:paraId="45462C2B">
      <w:pPr>
        <w:spacing w:line="360" w:lineRule="auto"/>
        <w:ind w:firstLine="480" w:firstLineChars="200"/>
        <w:rPr>
          <w:sz w:val="24"/>
          <w:szCs w:val="32"/>
        </w:rPr>
      </w:pPr>
      <w:r>
        <w:rPr>
          <w:rFonts w:hint="eastAsia"/>
          <w:sz w:val="24"/>
          <w:szCs w:val="32"/>
        </w:rPr>
        <w:t>本项目要求供应商结合江苏有线园区无线网运营数据，通过对接江苏有线AI大模型API等能力，实现对无线网络各节点性能预警等功能。</w:t>
      </w:r>
    </w:p>
    <w:p w14:paraId="1B620C3A">
      <w:pPr>
        <w:pStyle w:val="21"/>
        <w:rPr>
          <w:sz w:val="24"/>
          <w:szCs w:val="32"/>
        </w:rPr>
      </w:pPr>
      <w:r>
        <w:rPr>
          <w:rFonts w:hint="eastAsia"/>
          <w:sz w:val="24"/>
          <w:szCs w:val="32"/>
        </w:rPr>
        <w:t>2.3.2、AI智能运维建设方案</w:t>
      </w:r>
    </w:p>
    <w:bookmarkEnd w:id="14"/>
    <w:bookmarkEnd w:id="15"/>
    <w:bookmarkEnd w:id="16"/>
    <w:p w14:paraId="02E721ED">
      <w:pPr>
        <w:spacing w:line="360" w:lineRule="auto"/>
        <w:ind w:firstLine="480" w:firstLineChars="200"/>
      </w:pPr>
      <w:bookmarkStart w:id="60" w:name="_Toc502914229"/>
      <w:r>
        <w:rPr>
          <w:rFonts w:hint="eastAsia"/>
          <w:sz w:val="24"/>
          <w:szCs w:val="32"/>
        </w:rPr>
        <w:t>请供应商结合以上需求，提供详细的功能建设方案，需包括运营数据采集方案（数据包括但不限于AC设备状态、实时速率、日志告警，AP在线数、终端流量等）、AI能力对接方案和实际使用效果预期等。</w:t>
      </w:r>
      <w:r>
        <w:rPr>
          <w:color w:val="000000" w:themeColor="text1"/>
        </w:rPr>
        <w:br w:type="page"/>
      </w:r>
    </w:p>
    <w:bookmarkEnd w:id="60"/>
    <w:p w14:paraId="3D4E7824">
      <w:pPr>
        <w:pStyle w:val="3"/>
      </w:pPr>
      <w:bookmarkStart w:id="61" w:name="_Toc10238"/>
      <w:r>
        <w:rPr>
          <w:rFonts w:hint="eastAsia"/>
        </w:rPr>
        <w:t>第六章竞争性谈判响应文件格式</w:t>
      </w:r>
      <w:bookmarkEnd w:id="61"/>
    </w:p>
    <w:p w14:paraId="5F4D8A65">
      <w:pPr>
        <w:ind w:firstLine="440"/>
        <w:rPr>
          <w:color w:val="000000" w:themeColor="text1"/>
        </w:rPr>
      </w:pPr>
    </w:p>
    <w:p w14:paraId="07B6E1AE">
      <w:pPr>
        <w:ind w:firstLine="440"/>
        <w:rPr>
          <w:color w:val="000000" w:themeColor="text1"/>
        </w:rPr>
      </w:pPr>
    </w:p>
    <w:p w14:paraId="49F01DE7">
      <w:pPr>
        <w:ind w:firstLine="440"/>
        <w:rPr>
          <w:color w:val="000000" w:themeColor="text1"/>
        </w:rPr>
      </w:pPr>
    </w:p>
    <w:p w14:paraId="65FC9966">
      <w:pPr>
        <w:ind w:firstLine="440"/>
        <w:rPr>
          <w:color w:val="000000" w:themeColor="text1"/>
        </w:rPr>
      </w:pPr>
    </w:p>
    <w:p w14:paraId="75D37CF6">
      <w:pPr>
        <w:ind w:firstLine="440"/>
        <w:rPr>
          <w:color w:val="000000" w:themeColor="text1"/>
        </w:rPr>
      </w:pPr>
    </w:p>
    <w:p w14:paraId="395EA5F3">
      <w:pPr>
        <w:ind w:firstLine="440"/>
        <w:rPr>
          <w:color w:val="000000" w:themeColor="text1"/>
        </w:rPr>
      </w:pPr>
    </w:p>
    <w:p w14:paraId="0C53CB68">
      <w:pPr>
        <w:ind w:firstLine="440"/>
        <w:rPr>
          <w:color w:val="000000" w:themeColor="text1"/>
        </w:rPr>
      </w:pPr>
    </w:p>
    <w:p w14:paraId="2AED8871">
      <w:pPr>
        <w:jc w:val="center"/>
        <w:rPr>
          <w:rFonts w:ascii="宋体" w:hAnsi="宋体"/>
          <w:color w:val="000000" w:themeColor="text1"/>
          <w:sz w:val="44"/>
          <w:szCs w:val="44"/>
        </w:rPr>
      </w:pPr>
      <w:r>
        <w:rPr>
          <w:rFonts w:hint="eastAsia" w:ascii="宋体" w:hAnsi="宋体"/>
          <w:color w:val="000000" w:themeColor="text1"/>
          <w:sz w:val="44"/>
          <w:szCs w:val="44"/>
        </w:rPr>
        <w:t>江苏省广电有线信息网络股份有限公司</w:t>
      </w:r>
    </w:p>
    <w:p w14:paraId="28AF9DC4">
      <w:pPr>
        <w:pStyle w:val="21"/>
        <w:kinsoku w:val="0"/>
        <w:overflowPunct w:val="0"/>
        <w:adjustRightInd w:val="0"/>
        <w:snapToGrid w:val="0"/>
        <w:spacing w:beforeLines="100" w:afterLines="100"/>
        <w:ind w:right="210" w:rightChars="100"/>
        <w:jc w:val="center"/>
        <w:rPr>
          <w:rFonts w:ascii="宋体" w:hAnsi="宋体"/>
          <w:color w:val="000000" w:themeColor="text1"/>
          <w:sz w:val="44"/>
          <w:szCs w:val="44"/>
        </w:rPr>
      </w:pPr>
      <w:r>
        <w:rPr>
          <w:rFonts w:hint="eastAsia" w:ascii="宋体" w:hAnsi="宋体"/>
          <w:color w:val="000000" w:themeColor="text1"/>
          <w:sz w:val="44"/>
          <w:szCs w:val="44"/>
        </w:rPr>
        <w:t>园区1号楼无线网络优化项目</w:t>
      </w:r>
    </w:p>
    <w:p w14:paraId="5371BB05">
      <w:pPr>
        <w:pStyle w:val="21"/>
        <w:kinsoku w:val="0"/>
        <w:overflowPunct w:val="0"/>
        <w:adjustRightInd w:val="0"/>
        <w:snapToGrid w:val="0"/>
        <w:spacing w:beforeLines="100" w:afterLines="100"/>
        <w:ind w:left="210" w:leftChars="100" w:right="210" w:rightChars="100" w:firstLine="400" w:firstLineChars="200"/>
        <w:jc w:val="center"/>
        <w:rPr>
          <w:color w:val="000000" w:themeColor="text1"/>
          <w:sz w:val="20"/>
        </w:rPr>
      </w:pPr>
    </w:p>
    <w:p w14:paraId="0A7337C5">
      <w:pPr>
        <w:pStyle w:val="21"/>
        <w:adjustRightInd w:val="0"/>
        <w:snapToGrid w:val="0"/>
        <w:spacing w:beforeLines="100" w:afterLines="100"/>
        <w:ind w:right="210" w:rightChars="100"/>
        <w:jc w:val="center"/>
        <w:rPr>
          <w:color w:val="000000" w:themeColor="text1"/>
          <w:sz w:val="48"/>
          <w:szCs w:val="48"/>
        </w:rPr>
      </w:pPr>
      <w:r>
        <w:rPr>
          <w:rFonts w:hint="eastAsia"/>
          <w:color w:val="000000" w:themeColor="text1"/>
          <w:sz w:val="48"/>
          <w:szCs w:val="48"/>
        </w:rPr>
        <w:t>竞争性谈判响应文件</w:t>
      </w:r>
    </w:p>
    <w:p w14:paraId="096D737F">
      <w:pPr>
        <w:pStyle w:val="21"/>
        <w:kinsoku w:val="0"/>
        <w:overflowPunct w:val="0"/>
        <w:adjustRightInd w:val="0"/>
        <w:snapToGrid w:val="0"/>
        <w:spacing w:beforeLines="100" w:afterLines="100"/>
        <w:ind w:left="210" w:leftChars="100" w:right="210" w:rightChars="100" w:firstLine="880" w:firstLineChars="200"/>
        <w:jc w:val="left"/>
        <w:rPr>
          <w:color w:val="000000" w:themeColor="text1"/>
          <w:sz w:val="44"/>
          <w:szCs w:val="44"/>
        </w:rPr>
      </w:pPr>
    </w:p>
    <w:p w14:paraId="75D2D4A9">
      <w:pPr>
        <w:pStyle w:val="21"/>
        <w:kinsoku w:val="0"/>
        <w:overflowPunct w:val="0"/>
        <w:adjustRightInd w:val="0"/>
        <w:snapToGrid w:val="0"/>
        <w:spacing w:beforeLines="100" w:afterLines="100"/>
        <w:ind w:right="210" w:rightChars="100" w:firstLine="880"/>
        <w:jc w:val="left"/>
        <w:rPr>
          <w:color w:val="000000" w:themeColor="text1"/>
          <w:sz w:val="44"/>
          <w:szCs w:val="44"/>
        </w:rPr>
      </w:pPr>
    </w:p>
    <w:p w14:paraId="6B3B3023">
      <w:pPr>
        <w:pStyle w:val="21"/>
        <w:kinsoku w:val="0"/>
        <w:overflowPunct w:val="0"/>
        <w:adjustRightInd w:val="0"/>
        <w:snapToGrid w:val="0"/>
        <w:spacing w:beforeLines="100" w:afterLines="100"/>
        <w:ind w:right="210" w:rightChars="100" w:firstLine="880"/>
        <w:jc w:val="left"/>
        <w:rPr>
          <w:color w:val="000000" w:themeColor="text1"/>
          <w:sz w:val="44"/>
          <w:szCs w:val="44"/>
        </w:rPr>
      </w:pPr>
    </w:p>
    <w:p w14:paraId="5381C52E">
      <w:pPr>
        <w:pStyle w:val="21"/>
        <w:kinsoku w:val="0"/>
        <w:overflowPunct w:val="0"/>
        <w:adjustRightInd w:val="0"/>
        <w:snapToGrid w:val="0"/>
        <w:spacing w:beforeLines="100" w:afterLines="100"/>
        <w:ind w:right="210" w:rightChars="100" w:firstLine="880"/>
        <w:jc w:val="left"/>
        <w:rPr>
          <w:color w:val="000000" w:themeColor="text1"/>
          <w:sz w:val="44"/>
          <w:szCs w:val="44"/>
        </w:rPr>
      </w:pPr>
    </w:p>
    <w:p w14:paraId="6750F6F1">
      <w:pPr>
        <w:pStyle w:val="21"/>
        <w:kinsoku w:val="0"/>
        <w:overflowPunct w:val="0"/>
        <w:adjustRightInd w:val="0"/>
        <w:snapToGrid w:val="0"/>
        <w:spacing w:beforeLines="100" w:afterLines="100"/>
        <w:ind w:right="210" w:rightChars="100" w:firstLine="880"/>
        <w:jc w:val="left"/>
        <w:rPr>
          <w:color w:val="000000" w:themeColor="text1"/>
          <w:sz w:val="44"/>
          <w:szCs w:val="44"/>
        </w:rPr>
      </w:pPr>
    </w:p>
    <w:p w14:paraId="6D2EBA84">
      <w:pPr>
        <w:pStyle w:val="21"/>
        <w:kinsoku w:val="0"/>
        <w:overflowPunct w:val="0"/>
        <w:adjustRightInd w:val="0"/>
        <w:snapToGrid w:val="0"/>
        <w:spacing w:beforeLines="100" w:afterLines="100"/>
        <w:ind w:left="210" w:leftChars="100" w:right="210" w:rightChars="100" w:firstLine="1220" w:firstLineChars="200"/>
        <w:jc w:val="left"/>
        <w:rPr>
          <w:color w:val="000000" w:themeColor="text1"/>
          <w:sz w:val="61"/>
          <w:szCs w:val="61"/>
        </w:rPr>
      </w:pPr>
    </w:p>
    <w:p w14:paraId="554EC75B">
      <w:pPr>
        <w:pStyle w:val="21"/>
        <w:adjustRightInd w:val="0"/>
        <w:snapToGrid w:val="0"/>
        <w:spacing w:beforeLines="100" w:afterLines="100"/>
        <w:ind w:left="210" w:leftChars="100" w:right="210" w:rightChars="100" w:firstLine="560" w:firstLineChars="200"/>
        <w:jc w:val="left"/>
        <w:rPr>
          <w:color w:val="000000" w:themeColor="text1"/>
          <w:szCs w:val="28"/>
        </w:rPr>
      </w:pPr>
      <w:r>
        <w:rPr>
          <w:rFonts w:hint="eastAsia"/>
          <w:color w:val="000000" w:themeColor="text1"/>
          <w:szCs w:val="28"/>
        </w:rPr>
        <w:t>供应商：（盖单位章）</w:t>
      </w:r>
    </w:p>
    <w:p w14:paraId="3E6EAAD9">
      <w:pPr>
        <w:pStyle w:val="21"/>
        <w:adjustRightInd w:val="0"/>
        <w:snapToGrid w:val="0"/>
        <w:spacing w:beforeLines="100" w:afterLines="100"/>
        <w:ind w:left="210" w:leftChars="100" w:right="210" w:rightChars="100" w:firstLine="560" w:firstLineChars="200"/>
        <w:jc w:val="left"/>
        <w:rPr>
          <w:color w:val="000000" w:themeColor="text1"/>
          <w:szCs w:val="28"/>
        </w:rPr>
      </w:pPr>
      <w:r>
        <w:rPr>
          <w:rFonts w:hint="eastAsia"/>
          <w:color w:val="000000" w:themeColor="text1"/>
          <w:szCs w:val="28"/>
        </w:rPr>
        <w:t>法定代表人或其委托代理人：（签字）</w:t>
      </w:r>
    </w:p>
    <w:p w14:paraId="12D5216E">
      <w:pPr>
        <w:pStyle w:val="21"/>
        <w:adjustRightInd w:val="0"/>
        <w:snapToGrid w:val="0"/>
        <w:spacing w:beforeLines="100" w:afterLines="100"/>
        <w:ind w:left="210" w:leftChars="100" w:right="210" w:rightChars="100" w:firstLine="560" w:firstLineChars="200"/>
        <w:jc w:val="left"/>
        <w:rPr>
          <w:color w:val="000000" w:themeColor="text1"/>
          <w:szCs w:val="28"/>
        </w:rPr>
      </w:pPr>
      <w:r>
        <w:rPr>
          <w:rFonts w:hint="eastAsia"/>
          <w:color w:val="000000" w:themeColor="text1"/>
          <w:szCs w:val="28"/>
        </w:rPr>
        <w:t>年月日</w:t>
      </w:r>
      <w:r>
        <w:rPr>
          <w:color w:val="000000" w:themeColor="text1"/>
          <w:szCs w:val="28"/>
        </w:rPr>
        <w:br w:type="page"/>
      </w:r>
    </w:p>
    <w:p w14:paraId="248AA899">
      <w:pPr>
        <w:pStyle w:val="4"/>
        <w:snapToGrid/>
        <w:spacing w:beforeLines="0" w:afterLines="0" w:line="416" w:lineRule="auto"/>
        <w:ind w:right="0" w:rightChars="0" w:firstLine="560"/>
        <w:jc w:val="center"/>
        <w:rPr>
          <w:rFonts w:hAnsi="Arial"/>
          <w:sz w:val="28"/>
          <w:szCs w:val="32"/>
        </w:rPr>
      </w:pPr>
      <w:bookmarkStart w:id="62" w:name="_Toc32384"/>
      <w:r>
        <w:rPr>
          <w:rFonts w:hint="eastAsia" w:hAnsi="Arial"/>
          <w:sz w:val="28"/>
          <w:szCs w:val="32"/>
        </w:rPr>
        <w:t>评审索引表</w:t>
      </w:r>
      <w:bookmarkEnd w:id="62"/>
    </w:p>
    <w:p w14:paraId="3118D530">
      <w:pPr>
        <w:spacing w:before="312" w:after="312" w:line="276" w:lineRule="auto"/>
        <w:ind w:firstLine="482"/>
        <w:rPr>
          <w:b/>
          <w:color w:val="000000" w:themeColor="text1"/>
          <w:sz w:val="24"/>
        </w:rPr>
      </w:pPr>
      <w:r>
        <w:rPr>
          <w:rFonts w:hint="eastAsia"/>
          <w:b/>
          <w:color w:val="000000" w:themeColor="text1"/>
          <w:sz w:val="24"/>
        </w:rPr>
        <w:t>为了便于评审高效有序进行，请供应商提供如下索引表，并请将该索引表置于应答文件首页。请供应商按照索引表及竞争性谈判文件要求提供相关材料。供应商没有按照竞争性谈判文件要求提交全部资料，或者应答没有对竞争性谈判文件做出实质性响应是供应商的风险，并可能导致其响应文件作否决处理。</w:t>
      </w:r>
    </w:p>
    <w:p w14:paraId="4076C242">
      <w:pPr>
        <w:pStyle w:val="15"/>
        <w:spacing w:before="312" w:after="312"/>
        <w:ind w:firstLine="482"/>
        <w:rPr>
          <w:rFonts w:ascii="宋体" w:hAnsi="宋体" w:eastAsia="宋体"/>
          <w:b/>
          <w:color w:val="000000" w:themeColor="text1"/>
          <w:sz w:val="24"/>
        </w:rPr>
      </w:pPr>
    </w:p>
    <w:p w14:paraId="50C6BCF3">
      <w:pPr>
        <w:pStyle w:val="5"/>
        <w:spacing w:before="260" w:after="156" w:line="415" w:lineRule="auto"/>
        <w:ind w:firstLine="442"/>
        <w:jc w:val="center"/>
        <w:rPr>
          <w:rFonts w:ascii="宋体" w:hAnsi="宋体" w:eastAsia="宋体"/>
          <w:b/>
          <w:bCs/>
          <w:color w:val="000000" w:themeColor="text1"/>
          <w:sz w:val="22"/>
          <w:szCs w:val="28"/>
        </w:rPr>
      </w:pPr>
      <w:bookmarkStart w:id="63" w:name="_Toc30919"/>
      <w:r>
        <w:rPr>
          <w:rFonts w:hint="eastAsia" w:ascii="宋体" w:hAnsi="宋体" w:eastAsia="宋体"/>
          <w:b/>
          <w:bCs/>
          <w:color w:val="000000" w:themeColor="text1"/>
          <w:sz w:val="22"/>
          <w:szCs w:val="28"/>
        </w:rPr>
        <w:t>初步</w:t>
      </w:r>
      <w:r>
        <w:rPr>
          <w:rFonts w:ascii="宋体" w:hAnsi="宋体" w:eastAsia="宋体"/>
          <w:b/>
          <w:bCs/>
          <w:color w:val="000000" w:themeColor="text1"/>
          <w:sz w:val="22"/>
          <w:szCs w:val="28"/>
        </w:rPr>
        <w:t>评审索引表</w:t>
      </w:r>
      <w:bookmarkEnd w:id="63"/>
    </w:p>
    <w:tbl>
      <w:tblPr>
        <w:tblStyle w:val="5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6431"/>
        <w:gridCol w:w="1108"/>
      </w:tblGrid>
      <w:tr w14:paraId="6074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25EC0694">
            <w:pPr>
              <w:widowControl/>
              <w:jc w:val="center"/>
              <w:rPr>
                <w:rFonts w:ascii="宋体" w:hAnsi="宋体"/>
                <w:color w:val="000000" w:themeColor="text1"/>
              </w:rPr>
            </w:pPr>
            <w:r>
              <w:rPr>
                <w:rFonts w:hint="eastAsia" w:ascii="宋体" w:hAnsi="宋体"/>
                <w:color w:val="000000" w:themeColor="text1"/>
              </w:rPr>
              <w:t>序号</w:t>
            </w:r>
          </w:p>
        </w:tc>
        <w:tc>
          <w:tcPr>
            <w:tcW w:w="3774" w:type="pct"/>
            <w:tcBorders>
              <w:top w:val="single" w:color="auto" w:sz="4" w:space="0"/>
              <w:left w:val="single" w:color="auto" w:sz="4" w:space="0"/>
              <w:bottom w:val="single" w:color="auto" w:sz="4" w:space="0"/>
              <w:right w:val="single" w:color="auto" w:sz="4" w:space="0"/>
            </w:tcBorders>
            <w:vAlign w:val="center"/>
          </w:tcPr>
          <w:p w14:paraId="5C8381C8">
            <w:pPr>
              <w:widowControl/>
              <w:jc w:val="center"/>
              <w:rPr>
                <w:rFonts w:ascii="宋体" w:hAnsi="宋体"/>
                <w:color w:val="000000" w:themeColor="text1"/>
                <w:kern w:val="0"/>
              </w:rPr>
            </w:pPr>
            <w:r>
              <w:rPr>
                <w:rFonts w:hint="eastAsia" w:ascii="宋体" w:hAnsi="宋体"/>
                <w:color w:val="000000" w:themeColor="text1"/>
                <w:kern w:val="0"/>
              </w:rPr>
              <w:t>评审因素</w:t>
            </w:r>
          </w:p>
        </w:tc>
        <w:tc>
          <w:tcPr>
            <w:tcW w:w="650" w:type="pct"/>
            <w:tcBorders>
              <w:top w:val="single" w:color="auto" w:sz="4" w:space="0"/>
              <w:left w:val="single" w:color="auto" w:sz="4" w:space="0"/>
              <w:bottom w:val="single" w:color="auto" w:sz="4" w:space="0"/>
              <w:right w:val="single" w:color="auto" w:sz="4" w:space="0"/>
            </w:tcBorders>
            <w:vAlign w:val="center"/>
          </w:tcPr>
          <w:p w14:paraId="72C57871">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证明材料对应页码</w:t>
            </w:r>
          </w:p>
        </w:tc>
      </w:tr>
      <w:tr w14:paraId="6D86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29AD76AE">
            <w:pPr>
              <w:widowControl/>
              <w:jc w:val="center"/>
              <w:rPr>
                <w:rFonts w:ascii="宋体" w:hAnsi="宋体"/>
                <w:color w:val="000000" w:themeColor="text1"/>
              </w:rPr>
            </w:pPr>
            <w:r>
              <w:rPr>
                <w:rFonts w:hint="eastAsia" w:ascii="宋体" w:hAnsi="宋体"/>
                <w:color w:val="000000" w:themeColor="text1"/>
              </w:rPr>
              <w:t>1</w:t>
            </w:r>
          </w:p>
        </w:tc>
        <w:tc>
          <w:tcPr>
            <w:tcW w:w="3774" w:type="pct"/>
            <w:tcBorders>
              <w:top w:val="single" w:color="auto" w:sz="4" w:space="0"/>
              <w:left w:val="single" w:color="auto" w:sz="4" w:space="0"/>
              <w:bottom w:val="single" w:color="auto" w:sz="4" w:space="0"/>
              <w:right w:val="single" w:color="auto" w:sz="4" w:space="0"/>
            </w:tcBorders>
            <w:vAlign w:val="center"/>
          </w:tcPr>
          <w:p w14:paraId="74B4C2C8">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19C0F2D4">
            <w:pPr>
              <w:widowControl/>
              <w:jc w:val="center"/>
              <w:rPr>
                <w:rFonts w:ascii="宋体" w:hAnsi="宋体" w:cs="宋体"/>
                <w:color w:val="000000" w:themeColor="text1"/>
                <w:kern w:val="0"/>
                <w:szCs w:val="21"/>
              </w:rPr>
            </w:pPr>
          </w:p>
        </w:tc>
      </w:tr>
      <w:tr w14:paraId="53C8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1F42CFE0">
            <w:pPr>
              <w:widowControl/>
              <w:jc w:val="center"/>
              <w:rPr>
                <w:rFonts w:ascii="宋体" w:hAnsi="宋体"/>
                <w:color w:val="000000" w:themeColor="text1"/>
              </w:rPr>
            </w:pPr>
            <w:r>
              <w:rPr>
                <w:rFonts w:hint="eastAsia" w:ascii="宋体" w:hAnsi="宋体"/>
                <w:color w:val="000000" w:themeColor="text1"/>
              </w:rPr>
              <w:t>2</w:t>
            </w:r>
          </w:p>
        </w:tc>
        <w:tc>
          <w:tcPr>
            <w:tcW w:w="3774" w:type="pct"/>
            <w:tcBorders>
              <w:top w:val="single" w:color="auto" w:sz="4" w:space="0"/>
              <w:left w:val="single" w:color="auto" w:sz="4" w:space="0"/>
              <w:bottom w:val="single" w:color="auto" w:sz="4" w:space="0"/>
              <w:right w:val="single" w:color="auto" w:sz="4" w:space="0"/>
            </w:tcBorders>
            <w:vAlign w:val="center"/>
          </w:tcPr>
          <w:p w14:paraId="4FBF54B6">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107C8AED">
            <w:pPr>
              <w:widowControl/>
              <w:jc w:val="center"/>
              <w:rPr>
                <w:rFonts w:ascii="宋体" w:hAnsi="宋体" w:cs="宋体"/>
                <w:color w:val="000000" w:themeColor="text1"/>
                <w:kern w:val="0"/>
                <w:szCs w:val="21"/>
              </w:rPr>
            </w:pPr>
          </w:p>
        </w:tc>
      </w:tr>
      <w:tr w14:paraId="19E9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3F581464">
            <w:pPr>
              <w:widowControl/>
              <w:jc w:val="center"/>
              <w:rPr>
                <w:rFonts w:ascii="宋体" w:hAnsi="宋体"/>
                <w:color w:val="000000" w:themeColor="text1"/>
              </w:rPr>
            </w:pPr>
            <w:r>
              <w:rPr>
                <w:rFonts w:hint="eastAsia" w:ascii="宋体" w:hAnsi="宋体"/>
                <w:color w:val="000000" w:themeColor="text1"/>
              </w:rPr>
              <w:t>3</w:t>
            </w:r>
          </w:p>
        </w:tc>
        <w:tc>
          <w:tcPr>
            <w:tcW w:w="3774" w:type="pct"/>
            <w:tcBorders>
              <w:top w:val="single" w:color="auto" w:sz="4" w:space="0"/>
              <w:left w:val="single" w:color="auto" w:sz="4" w:space="0"/>
              <w:bottom w:val="single" w:color="auto" w:sz="4" w:space="0"/>
              <w:right w:val="single" w:color="auto" w:sz="4" w:space="0"/>
            </w:tcBorders>
            <w:vAlign w:val="center"/>
          </w:tcPr>
          <w:p w14:paraId="642A33EE">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13411A78">
            <w:pPr>
              <w:widowControl/>
              <w:jc w:val="center"/>
              <w:rPr>
                <w:rFonts w:ascii="宋体" w:hAnsi="宋体" w:cs="宋体"/>
                <w:color w:val="000000" w:themeColor="text1"/>
                <w:kern w:val="0"/>
                <w:szCs w:val="21"/>
              </w:rPr>
            </w:pPr>
          </w:p>
        </w:tc>
      </w:tr>
      <w:tr w14:paraId="3D74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13E61A4D">
            <w:pPr>
              <w:widowControl/>
              <w:jc w:val="center"/>
              <w:rPr>
                <w:rFonts w:ascii="宋体" w:hAnsi="宋体"/>
                <w:color w:val="000000" w:themeColor="text1"/>
              </w:rPr>
            </w:pPr>
            <w:r>
              <w:rPr>
                <w:rFonts w:hint="eastAsia" w:ascii="宋体" w:hAnsi="宋体"/>
                <w:color w:val="000000" w:themeColor="text1"/>
              </w:rPr>
              <w:t>4</w:t>
            </w:r>
          </w:p>
        </w:tc>
        <w:tc>
          <w:tcPr>
            <w:tcW w:w="3774" w:type="pct"/>
            <w:tcBorders>
              <w:top w:val="single" w:color="auto" w:sz="4" w:space="0"/>
              <w:left w:val="single" w:color="auto" w:sz="4" w:space="0"/>
              <w:bottom w:val="single" w:color="auto" w:sz="4" w:space="0"/>
              <w:right w:val="single" w:color="auto" w:sz="4" w:space="0"/>
            </w:tcBorders>
            <w:vAlign w:val="center"/>
          </w:tcPr>
          <w:p w14:paraId="396AF21E">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1A429A2F">
            <w:pPr>
              <w:widowControl/>
              <w:jc w:val="center"/>
              <w:rPr>
                <w:rFonts w:ascii="宋体" w:hAnsi="宋体" w:cs="宋体"/>
                <w:color w:val="000000" w:themeColor="text1"/>
                <w:kern w:val="0"/>
                <w:szCs w:val="21"/>
              </w:rPr>
            </w:pPr>
          </w:p>
        </w:tc>
      </w:tr>
      <w:tr w14:paraId="01B7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59E680C6">
            <w:pPr>
              <w:widowControl/>
              <w:jc w:val="center"/>
              <w:rPr>
                <w:rFonts w:ascii="宋体" w:hAnsi="宋体"/>
                <w:color w:val="000000" w:themeColor="text1"/>
              </w:rPr>
            </w:pPr>
            <w:r>
              <w:rPr>
                <w:rFonts w:hint="eastAsia" w:ascii="宋体" w:hAnsi="宋体"/>
                <w:color w:val="000000" w:themeColor="text1"/>
              </w:rPr>
              <w:t>5</w:t>
            </w:r>
          </w:p>
        </w:tc>
        <w:tc>
          <w:tcPr>
            <w:tcW w:w="3774" w:type="pct"/>
            <w:tcBorders>
              <w:top w:val="single" w:color="auto" w:sz="4" w:space="0"/>
              <w:left w:val="single" w:color="auto" w:sz="4" w:space="0"/>
              <w:bottom w:val="single" w:color="auto" w:sz="4" w:space="0"/>
              <w:right w:val="single" w:color="auto" w:sz="4" w:space="0"/>
            </w:tcBorders>
            <w:vAlign w:val="center"/>
          </w:tcPr>
          <w:p w14:paraId="4524DD05">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6BC00732">
            <w:pPr>
              <w:widowControl/>
              <w:jc w:val="center"/>
              <w:rPr>
                <w:rFonts w:ascii="宋体" w:hAnsi="宋体" w:cs="宋体"/>
                <w:color w:val="000000" w:themeColor="text1"/>
                <w:kern w:val="0"/>
                <w:szCs w:val="21"/>
              </w:rPr>
            </w:pPr>
          </w:p>
        </w:tc>
      </w:tr>
      <w:tr w14:paraId="2170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288E475F">
            <w:pPr>
              <w:widowControl/>
              <w:jc w:val="center"/>
              <w:rPr>
                <w:rFonts w:ascii="宋体" w:hAnsi="宋体"/>
                <w:color w:val="000000" w:themeColor="text1"/>
              </w:rPr>
            </w:pPr>
            <w:r>
              <w:rPr>
                <w:rFonts w:hint="eastAsia" w:ascii="宋体" w:hAnsi="宋体"/>
                <w:color w:val="000000" w:themeColor="text1"/>
              </w:rPr>
              <w:t>6</w:t>
            </w:r>
          </w:p>
        </w:tc>
        <w:tc>
          <w:tcPr>
            <w:tcW w:w="3774" w:type="pct"/>
            <w:tcBorders>
              <w:top w:val="single" w:color="auto" w:sz="4" w:space="0"/>
              <w:left w:val="single" w:color="auto" w:sz="4" w:space="0"/>
              <w:bottom w:val="single" w:color="auto" w:sz="4" w:space="0"/>
              <w:right w:val="single" w:color="auto" w:sz="4" w:space="0"/>
            </w:tcBorders>
            <w:vAlign w:val="center"/>
          </w:tcPr>
          <w:p w14:paraId="2751CE71">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64100B6F">
            <w:pPr>
              <w:widowControl/>
              <w:jc w:val="center"/>
              <w:rPr>
                <w:rFonts w:ascii="宋体" w:hAnsi="宋体" w:cs="宋体"/>
                <w:color w:val="000000" w:themeColor="text1"/>
                <w:kern w:val="0"/>
                <w:szCs w:val="21"/>
              </w:rPr>
            </w:pPr>
          </w:p>
        </w:tc>
      </w:tr>
      <w:tr w14:paraId="6582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22D1BD82">
            <w:pPr>
              <w:widowControl/>
              <w:jc w:val="center"/>
              <w:rPr>
                <w:rFonts w:ascii="宋体" w:hAnsi="宋体"/>
                <w:color w:val="000000" w:themeColor="text1"/>
              </w:rPr>
            </w:pPr>
            <w:r>
              <w:rPr>
                <w:rFonts w:hint="eastAsia" w:ascii="宋体" w:hAnsi="宋体"/>
                <w:color w:val="000000" w:themeColor="text1"/>
              </w:rPr>
              <w:t>7</w:t>
            </w:r>
          </w:p>
        </w:tc>
        <w:tc>
          <w:tcPr>
            <w:tcW w:w="3774" w:type="pct"/>
            <w:tcBorders>
              <w:top w:val="single" w:color="auto" w:sz="4" w:space="0"/>
              <w:left w:val="single" w:color="auto" w:sz="4" w:space="0"/>
              <w:bottom w:val="single" w:color="auto" w:sz="4" w:space="0"/>
              <w:right w:val="single" w:color="auto" w:sz="4" w:space="0"/>
            </w:tcBorders>
            <w:vAlign w:val="center"/>
          </w:tcPr>
          <w:p w14:paraId="4FED020D">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46F3A51F">
            <w:pPr>
              <w:widowControl/>
              <w:jc w:val="center"/>
              <w:rPr>
                <w:rFonts w:ascii="宋体" w:hAnsi="宋体" w:cs="宋体"/>
                <w:color w:val="000000" w:themeColor="text1"/>
                <w:kern w:val="0"/>
                <w:szCs w:val="21"/>
              </w:rPr>
            </w:pPr>
          </w:p>
        </w:tc>
      </w:tr>
      <w:tr w14:paraId="4968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3F968D90">
            <w:pPr>
              <w:widowControl/>
              <w:jc w:val="center"/>
              <w:rPr>
                <w:rFonts w:ascii="宋体" w:hAnsi="宋体"/>
                <w:color w:val="000000" w:themeColor="text1"/>
              </w:rPr>
            </w:pPr>
            <w:r>
              <w:rPr>
                <w:rFonts w:hint="eastAsia" w:ascii="宋体" w:hAnsi="宋体"/>
                <w:color w:val="000000" w:themeColor="text1"/>
              </w:rPr>
              <w:t>8</w:t>
            </w:r>
          </w:p>
        </w:tc>
        <w:tc>
          <w:tcPr>
            <w:tcW w:w="3774" w:type="pct"/>
            <w:tcBorders>
              <w:top w:val="single" w:color="auto" w:sz="4" w:space="0"/>
              <w:left w:val="single" w:color="auto" w:sz="4" w:space="0"/>
              <w:bottom w:val="single" w:color="auto" w:sz="4" w:space="0"/>
              <w:right w:val="single" w:color="auto" w:sz="4" w:space="0"/>
            </w:tcBorders>
            <w:vAlign w:val="center"/>
          </w:tcPr>
          <w:p w14:paraId="03E90C4F">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3354160F">
            <w:pPr>
              <w:widowControl/>
              <w:jc w:val="center"/>
              <w:rPr>
                <w:rFonts w:ascii="宋体" w:hAnsi="宋体" w:cs="宋体"/>
                <w:color w:val="000000" w:themeColor="text1"/>
                <w:kern w:val="0"/>
                <w:szCs w:val="21"/>
              </w:rPr>
            </w:pPr>
          </w:p>
        </w:tc>
      </w:tr>
      <w:tr w14:paraId="5C5C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2A845985">
            <w:pPr>
              <w:widowControl/>
              <w:jc w:val="center"/>
              <w:rPr>
                <w:rFonts w:ascii="宋体" w:hAnsi="宋体"/>
                <w:color w:val="000000" w:themeColor="text1"/>
              </w:rPr>
            </w:pPr>
            <w:r>
              <w:rPr>
                <w:rFonts w:hint="eastAsia" w:ascii="宋体" w:hAnsi="宋体"/>
                <w:color w:val="000000" w:themeColor="text1"/>
              </w:rPr>
              <w:t>9</w:t>
            </w:r>
          </w:p>
        </w:tc>
        <w:tc>
          <w:tcPr>
            <w:tcW w:w="3774" w:type="pct"/>
            <w:tcBorders>
              <w:top w:val="single" w:color="auto" w:sz="4" w:space="0"/>
              <w:left w:val="single" w:color="auto" w:sz="4" w:space="0"/>
              <w:bottom w:val="single" w:color="auto" w:sz="4" w:space="0"/>
              <w:right w:val="single" w:color="auto" w:sz="4" w:space="0"/>
            </w:tcBorders>
            <w:vAlign w:val="center"/>
          </w:tcPr>
          <w:p w14:paraId="4981B6C3">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24AD7D5E">
            <w:pPr>
              <w:widowControl/>
              <w:jc w:val="center"/>
              <w:rPr>
                <w:rFonts w:ascii="宋体" w:hAnsi="宋体" w:cs="宋体"/>
                <w:color w:val="000000" w:themeColor="text1"/>
                <w:kern w:val="0"/>
                <w:szCs w:val="21"/>
              </w:rPr>
            </w:pPr>
          </w:p>
        </w:tc>
      </w:tr>
      <w:tr w14:paraId="1ED0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1F2094C3">
            <w:pPr>
              <w:widowControl/>
              <w:jc w:val="center"/>
              <w:rPr>
                <w:rFonts w:ascii="宋体" w:hAnsi="宋体"/>
                <w:color w:val="000000" w:themeColor="text1"/>
              </w:rPr>
            </w:pPr>
            <w:r>
              <w:rPr>
                <w:rFonts w:hint="eastAsia" w:ascii="宋体" w:hAnsi="宋体"/>
                <w:color w:val="000000" w:themeColor="text1"/>
              </w:rPr>
              <w:t>10</w:t>
            </w:r>
          </w:p>
        </w:tc>
        <w:tc>
          <w:tcPr>
            <w:tcW w:w="3774" w:type="pct"/>
            <w:tcBorders>
              <w:top w:val="single" w:color="auto" w:sz="4" w:space="0"/>
              <w:left w:val="single" w:color="auto" w:sz="4" w:space="0"/>
              <w:bottom w:val="single" w:color="auto" w:sz="4" w:space="0"/>
              <w:right w:val="single" w:color="auto" w:sz="4" w:space="0"/>
            </w:tcBorders>
            <w:vAlign w:val="center"/>
          </w:tcPr>
          <w:p w14:paraId="58CFE8FC">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5E63A66C">
            <w:pPr>
              <w:widowControl/>
              <w:jc w:val="center"/>
              <w:rPr>
                <w:rFonts w:ascii="宋体" w:hAnsi="宋体" w:cs="宋体"/>
                <w:color w:val="000000" w:themeColor="text1"/>
                <w:kern w:val="0"/>
                <w:szCs w:val="21"/>
              </w:rPr>
            </w:pPr>
          </w:p>
        </w:tc>
      </w:tr>
      <w:tr w14:paraId="7537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0ED7AA52">
            <w:pPr>
              <w:widowControl/>
              <w:jc w:val="center"/>
              <w:rPr>
                <w:rFonts w:ascii="宋体" w:hAnsi="宋体"/>
                <w:color w:val="000000" w:themeColor="text1"/>
              </w:rPr>
            </w:pPr>
            <w:r>
              <w:rPr>
                <w:rFonts w:hint="eastAsia" w:ascii="宋体" w:hAnsi="宋体"/>
                <w:color w:val="000000" w:themeColor="text1"/>
              </w:rPr>
              <w:t>11</w:t>
            </w:r>
          </w:p>
        </w:tc>
        <w:tc>
          <w:tcPr>
            <w:tcW w:w="3774" w:type="pct"/>
            <w:tcBorders>
              <w:top w:val="single" w:color="auto" w:sz="4" w:space="0"/>
              <w:left w:val="single" w:color="auto" w:sz="4" w:space="0"/>
              <w:bottom w:val="single" w:color="auto" w:sz="4" w:space="0"/>
              <w:right w:val="single" w:color="auto" w:sz="4" w:space="0"/>
            </w:tcBorders>
            <w:vAlign w:val="center"/>
          </w:tcPr>
          <w:p w14:paraId="0E72DD2B">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129BE404">
            <w:pPr>
              <w:widowControl/>
              <w:jc w:val="center"/>
              <w:rPr>
                <w:rFonts w:ascii="宋体" w:hAnsi="宋体" w:cs="宋体"/>
                <w:color w:val="000000" w:themeColor="text1"/>
                <w:kern w:val="0"/>
                <w:szCs w:val="21"/>
              </w:rPr>
            </w:pPr>
          </w:p>
        </w:tc>
      </w:tr>
      <w:tr w14:paraId="64183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4F715618">
            <w:pPr>
              <w:widowControl/>
              <w:jc w:val="center"/>
              <w:rPr>
                <w:rFonts w:ascii="宋体" w:hAnsi="宋体"/>
                <w:color w:val="000000" w:themeColor="text1"/>
              </w:rPr>
            </w:pPr>
            <w:r>
              <w:rPr>
                <w:rFonts w:hint="eastAsia" w:ascii="宋体" w:hAnsi="宋体"/>
                <w:color w:val="000000" w:themeColor="text1"/>
              </w:rPr>
              <w:t>1</w:t>
            </w:r>
            <w:r>
              <w:rPr>
                <w:rFonts w:ascii="宋体" w:hAnsi="宋体"/>
                <w:color w:val="000000" w:themeColor="text1"/>
              </w:rPr>
              <w:t>2</w:t>
            </w:r>
          </w:p>
        </w:tc>
        <w:tc>
          <w:tcPr>
            <w:tcW w:w="3774" w:type="pct"/>
            <w:tcBorders>
              <w:top w:val="single" w:color="auto" w:sz="4" w:space="0"/>
              <w:left w:val="single" w:color="auto" w:sz="4" w:space="0"/>
              <w:bottom w:val="single" w:color="auto" w:sz="4" w:space="0"/>
              <w:right w:val="single" w:color="auto" w:sz="4" w:space="0"/>
            </w:tcBorders>
            <w:vAlign w:val="center"/>
          </w:tcPr>
          <w:p w14:paraId="406300BB">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28B1947A">
            <w:pPr>
              <w:widowControl/>
              <w:jc w:val="center"/>
              <w:rPr>
                <w:rFonts w:ascii="宋体" w:hAnsi="宋体" w:cs="宋体"/>
                <w:color w:val="000000" w:themeColor="text1"/>
                <w:kern w:val="0"/>
                <w:szCs w:val="21"/>
              </w:rPr>
            </w:pPr>
          </w:p>
        </w:tc>
      </w:tr>
      <w:tr w14:paraId="4171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54BACBA2">
            <w:pPr>
              <w:widowControl/>
              <w:jc w:val="center"/>
              <w:rPr>
                <w:rFonts w:ascii="宋体" w:hAnsi="宋体"/>
                <w:color w:val="000000" w:themeColor="text1"/>
              </w:rPr>
            </w:pPr>
            <w:r>
              <w:rPr>
                <w:rFonts w:hint="eastAsia" w:ascii="宋体" w:hAnsi="宋体"/>
                <w:color w:val="000000" w:themeColor="text1"/>
              </w:rPr>
              <w:t>1</w:t>
            </w:r>
            <w:r>
              <w:rPr>
                <w:rFonts w:ascii="宋体" w:hAnsi="宋体"/>
                <w:color w:val="000000" w:themeColor="text1"/>
              </w:rPr>
              <w:t>3</w:t>
            </w:r>
          </w:p>
        </w:tc>
        <w:tc>
          <w:tcPr>
            <w:tcW w:w="3774" w:type="pct"/>
            <w:tcBorders>
              <w:top w:val="single" w:color="auto" w:sz="4" w:space="0"/>
              <w:left w:val="single" w:color="auto" w:sz="4" w:space="0"/>
              <w:bottom w:val="single" w:color="auto" w:sz="4" w:space="0"/>
              <w:right w:val="single" w:color="auto" w:sz="4" w:space="0"/>
            </w:tcBorders>
            <w:vAlign w:val="center"/>
          </w:tcPr>
          <w:p w14:paraId="00A8E124">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2E3084AF">
            <w:pPr>
              <w:widowControl/>
              <w:jc w:val="center"/>
              <w:rPr>
                <w:rFonts w:ascii="宋体" w:hAnsi="宋体" w:cs="宋体"/>
                <w:color w:val="000000" w:themeColor="text1"/>
                <w:kern w:val="0"/>
                <w:szCs w:val="21"/>
              </w:rPr>
            </w:pPr>
          </w:p>
        </w:tc>
      </w:tr>
      <w:tr w14:paraId="4321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4B6AB96A">
            <w:pPr>
              <w:widowControl/>
              <w:jc w:val="center"/>
              <w:rPr>
                <w:rFonts w:ascii="宋体" w:hAnsi="宋体"/>
                <w:color w:val="000000" w:themeColor="text1"/>
              </w:rPr>
            </w:pPr>
            <w:r>
              <w:rPr>
                <w:rFonts w:hint="eastAsia" w:ascii="宋体" w:hAnsi="宋体"/>
                <w:color w:val="000000" w:themeColor="text1"/>
              </w:rPr>
              <w:t>1</w:t>
            </w:r>
            <w:r>
              <w:rPr>
                <w:rFonts w:ascii="宋体" w:hAnsi="宋体"/>
                <w:color w:val="000000" w:themeColor="text1"/>
              </w:rPr>
              <w:t>4</w:t>
            </w:r>
          </w:p>
        </w:tc>
        <w:tc>
          <w:tcPr>
            <w:tcW w:w="3774" w:type="pct"/>
            <w:tcBorders>
              <w:top w:val="single" w:color="auto" w:sz="4" w:space="0"/>
              <w:left w:val="single" w:color="auto" w:sz="4" w:space="0"/>
              <w:bottom w:val="single" w:color="auto" w:sz="4" w:space="0"/>
              <w:right w:val="single" w:color="auto" w:sz="4" w:space="0"/>
            </w:tcBorders>
            <w:vAlign w:val="center"/>
          </w:tcPr>
          <w:p w14:paraId="3068C9F4">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78C97490">
            <w:pPr>
              <w:widowControl/>
              <w:jc w:val="center"/>
              <w:rPr>
                <w:rFonts w:ascii="宋体" w:hAnsi="宋体" w:cs="宋体"/>
                <w:color w:val="000000" w:themeColor="text1"/>
                <w:kern w:val="0"/>
                <w:szCs w:val="21"/>
              </w:rPr>
            </w:pPr>
          </w:p>
        </w:tc>
      </w:tr>
      <w:tr w14:paraId="31DE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76" w:type="pct"/>
            <w:tcBorders>
              <w:top w:val="single" w:color="auto" w:sz="4" w:space="0"/>
              <w:left w:val="single" w:color="auto" w:sz="4" w:space="0"/>
              <w:bottom w:val="single" w:color="auto" w:sz="4" w:space="0"/>
              <w:right w:val="single" w:color="auto" w:sz="4" w:space="0"/>
            </w:tcBorders>
            <w:vAlign w:val="center"/>
          </w:tcPr>
          <w:p w14:paraId="76835F30">
            <w:pPr>
              <w:widowControl/>
              <w:jc w:val="center"/>
              <w:rPr>
                <w:rFonts w:ascii="宋体" w:hAnsi="宋体"/>
                <w:color w:val="000000" w:themeColor="text1"/>
              </w:rPr>
            </w:pPr>
          </w:p>
        </w:tc>
        <w:tc>
          <w:tcPr>
            <w:tcW w:w="3774" w:type="pct"/>
            <w:tcBorders>
              <w:top w:val="single" w:color="auto" w:sz="4" w:space="0"/>
              <w:left w:val="single" w:color="auto" w:sz="4" w:space="0"/>
              <w:bottom w:val="single" w:color="auto" w:sz="4" w:space="0"/>
              <w:right w:val="single" w:color="auto" w:sz="4" w:space="0"/>
            </w:tcBorders>
            <w:vAlign w:val="center"/>
          </w:tcPr>
          <w:p w14:paraId="7EC1F1B9">
            <w:pPr>
              <w:widowControl/>
              <w:jc w:val="center"/>
              <w:rPr>
                <w:rFonts w:ascii="宋体" w:hAnsi="宋体"/>
                <w:color w:val="000000" w:themeColor="text1"/>
                <w:kern w:val="0"/>
              </w:rPr>
            </w:pPr>
          </w:p>
        </w:tc>
        <w:tc>
          <w:tcPr>
            <w:tcW w:w="650" w:type="pct"/>
            <w:tcBorders>
              <w:top w:val="single" w:color="auto" w:sz="4" w:space="0"/>
              <w:left w:val="single" w:color="auto" w:sz="4" w:space="0"/>
              <w:bottom w:val="single" w:color="auto" w:sz="4" w:space="0"/>
              <w:right w:val="single" w:color="auto" w:sz="4" w:space="0"/>
            </w:tcBorders>
            <w:vAlign w:val="center"/>
          </w:tcPr>
          <w:p w14:paraId="3B3BEA65">
            <w:pPr>
              <w:widowControl/>
              <w:jc w:val="center"/>
              <w:rPr>
                <w:rFonts w:ascii="宋体" w:hAnsi="宋体" w:cs="宋体"/>
                <w:color w:val="000000" w:themeColor="text1"/>
                <w:kern w:val="0"/>
                <w:szCs w:val="21"/>
              </w:rPr>
            </w:pPr>
          </w:p>
        </w:tc>
      </w:tr>
    </w:tbl>
    <w:p w14:paraId="4658C27C">
      <w:pPr>
        <w:spacing w:before="312" w:after="312"/>
        <w:ind w:firstLine="440"/>
        <w:rPr>
          <w:color w:val="000000" w:themeColor="text1"/>
        </w:rPr>
      </w:pPr>
    </w:p>
    <w:p w14:paraId="02159D2E">
      <w:pPr>
        <w:pStyle w:val="52"/>
        <w:spacing w:before="312" w:after="312"/>
        <w:ind w:left="210" w:firstLine="560"/>
        <w:rPr>
          <w:color w:val="000000" w:themeColor="text1"/>
        </w:rPr>
      </w:pPr>
    </w:p>
    <w:p w14:paraId="1CC80C11">
      <w:pPr>
        <w:pStyle w:val="52"/>
        <w:spacing w:before="312" w:after="312"/>
        <w:ind w:left="210" w:firstLine="560"/>
        <w:rPr>
          <w:color w:val="000000" w:themeColor="text1"/>
        </w:rPr>
      </w:pPr>
    </w:p>
    <w:p w14:paraId="477E428A">
      <w:pPr>
        <w:pStyle w:val="52"/>
        <w:spacing w:before="312" w:after="312"/>
        <w:ind w:left="210" w:firstLine="560"/>
        <w:rPr>
          <w:color w:val="000000" w:themeColor="text1"/>
        </w:rPr>
      </w:pPr>
    </w:p>
    <w:p w14:paraId="5C1F02B0">
      <w:pPr>
        <w:pStyle w:val="5"/>
        <w:spacing w:before="260" w:after="260" w:line="416" w:lineRule="auto"/>
        <w:ind w:firstLine="442"/>
        <w:jc w:val="center"/>
        <w:rPr>
          <w:rFonts w:ascii="宋体" w:hAnsi="宋体" w:eastAsia="宋体"/>
          <w:b/>
          <w:bCs/>
          <w:color w:val="000000" w:themeColor="text1"/>
          <w:sz w:val="22"/>
          <w:szCs w:val="28"/>
        </w:rPr>
      </w:pPr>
      <w:bookmarkStart w:id="64" w:name="_Toc22528"/>
      <w:r>
        <w:rPr>
          <w:rFonts w:hint="eastAsia" w:ascii="宋体" w:hAnsi="宋体" w:eastAsia="宋体"/>
          <w:b/>
          <w:bCs/>
          <w:color w:val="000000" w:themeColor="text1"/>
          <w:sz w:val="22"/>
          <w:szCs w:val="28"/>
        </w:rPr>
        <w:t>详细</w:t>
      </w:r>
      <w:r>
        <w:rPr>
          <w:rFonts w:ascii="宋体" w:hAnsi="宋体" w:eastAsia="宋体"/>
          <w:b/>
          <w:bCs/>
          <w:color w:val="000000" w:themeColor="text1"/>
          <w:sz w:val="22"/>
          <w:szCs w:val="28"/>
        </w:rPr>
        <w:t>评审索引表</w:t>
      </w:r>
      <w:bookmarkEnd w:id="64"/>
    </w:p>
    <w:tbl>
      <w:tblPr>
        <w:tblStyle w:val="53"/>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211"/>
        <w:gridCol w:w="6778"/>
        <w:gridCol w:w="1141"/>
      </w:tblGrid>
      <w:tr w14:paraId="6FF1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gridSpan w:val="2"/>
            <w:vAlign w:val="center"/>
          </w:tcPr>
          <w:p w14:paraId="193C4315">
            <w:pPr>
              <w:widowControl/>
              <w:spacing w:line="300" w:lineRule="auto"/>
              <w:ind w:firstLine="442"/>
              <w:jc w:val="center"/>
              <w:rPr>
                <w:b/>
                <w:color w:val="000000" w:themeColor="text1"/>
                <w:kern w:val="0"/>
                <w:szCs w:val="21"/>
              </w:rPr>
            </w:pPr>
            <w:r>
              <w:rPr>
                <w:b/>
                <w:color w:val="000000" w:themeColor="text1"/>
                <w:kern w:val="0"/>
                <w:szCs w:val="21"/>
              </w:rPr>
              <w:t>评标项目</w:t>
            </w:r>
          </w:p>
        </w:tc>
        <w:tc>
          <w:tcPr>
            <w:tcW w:w="6778" w:type="dxa"/>
            <w:vAlign w:val="center"/>
          </w:tcPr>
          <w:p w14:paraId="1A9633AE">
            <w:pPr>
              <w:ind w:firstLine="442"/>
              <w:jc w:val="center"/>
              <w:rPr>
                <w:b/>
                <w:color w:val="000000" w:themeColor="text1"/>
              </w:rPr>
            </w:pPr>
            <w:r>
              <w:rPr>
                <w:b/>
                <w:color w:val="000000" w:themeColor="text1"/>
                <w:kern w:val="0"/>
                <w:szCs w:val="21"/>
              </w:rPr>
              <w:t>评分要求</w:t>
            </w:r>
          </w:p>
        </w:tc>
        <w:tc>
          <w:tcPr>
            <w:tcW w:w="1141" w:type="dxa"/>
            <w:vAlign w:val="center"/>
          </w:tcPr>
          <w:p w14:paraId="091C140E">
            <w:pPr>
              <w:rPr>
                <w:b/>
                <w:color w:val="000000" w:themeColor="text1"/>
              </w:rPr>
            </w:pPr>
            <w:r>
              <w:rPr>
                <w:rFonts w:hint="eastAsia"/>
                <w:b/>
                <w:color w:val="000000" w:themeColor="text1"/>
                <w:kern w:val="0"/>
                <w:szCs w:val="21"/>
              </w:rPr>
              <w:t>响应文件响应的页码</w:t>
            </w:r>
          </w:p>
        </w:tc>
      </w:tr>
      <w:tr w14:paraId="1DF8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0A23C904">
            <w:pPr>
              <w:widowControl/>
              <w:spacing w:line="300" w:lineRule="auto"/>
              <w:jc w:val="center"/>
              <w:rPr>
                <w:color w:val="000000" w:themeColor="text1"/>
                <w:kern w:val="0"/>
                <w:szCs w:val="21"/>
              </w:rPr>
            </w:pPr>
            <w:r>
              <w:rPr>
                <w:color w:val="000000" w:themeColor="text1"/>
                <w:kern w:val="0"/>
                <w:szCs w:val="21"/>
              </w:rPr>
              <w:t>1</w:t>
            </w:r>
          </w:p>
        </w:tc>
        <w:tc>
          <w:tcPr>
            <w:tcW w:w="1211" w:type="dxa"/>
            <w:vAlign w:val="center"/>
          </w:tcPr>
          <w:p w14:paraId="7A558C34">
            <w:pPr>
              <w:widowControl/>
              <w:spacing w:line="300" w:lineRule="auto"/>
              <w:jc w:val="center"/>
              <w:rPr>
                <w:color w:val="000000" w:themeColor="text1"/>
                <w:kern w:val="0"/>
                <w:szCs w:val="21"/>
              </w:rPr>
            </w:pPr>
          </w:p>
        </w:tc>
        <w:tc>
          <w:tcPr>
            <w:tcW w:w="6778" w:type="dxa"/>
          </w:tcPr>
          <w:p w14:paraId="160F132E">
            <w:pPr>
              <w:widowControl/>
              <w:tabs>
                <w:tab w:val="left" w:pos="402"/>
              </w:tabs>
              <w:ind w:left="420"/>
              <w:rPr>
                <w:color w:val="000000" w:themeColor="text1"/>
                <w:kern w:val="0"/>
                <w:szCs w:val="21"/>
              </w:rPr>
            </w:pPr>
          </w:p>
        </w:tc>
        <w:tc>
          <w:tcPr>
            <w:tcW w:w="1141" w:type="dxa"/>
          </w:tcPr>
          <w:p w14:paraId="78D709E3">
            <w:pPr>
              <w:widowControl/>
              <w:tabs>
                <w:tab w:val="left" w:pos="0"/>
                <w:tab w:val="left" w:pos="402"/>
              </w:tabs>
              <w:spacing w:line="300" w:lineRule="auto"/>
              <w:rPr>
                <w:color w:val="000000" w:themeColor="text1"/>
                <w:kern w:val="0"/>
                <w:szCs w:val="21"/>
              </w:rPr>
            </w:pPr>
          </w:p>
        </w:tc>
      </w:tr>
      <w:tr w14:paraId="5E2F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54" w:type="dxa"/>
            <w:vAlign w:val="center"/>
          </w:tcPr>
          <w:p w14:paraId="10151456">
            <w:pPr>
              <w:jc w:val="center"/>
              <w:rPr>
                <w:color w:val="000000" w:themeColor="text1"/>
              </w:rPr>
            </w:pPr>
            <w:r>
              <w:rPr>
                <w:rFonts w:hint="eastAsia"/>
                <w:color w:val="000000" w:themeColor="text1"/>
                <w:kern w:val="0"/>
                <w:szCs w:val="21"/>
              </w:rPr>
              <w:t>2</w:t>
            </w:r>
          </w:p>
        </w:tc>
        <w:tc>
          <w:tcPr>
            <w:tcW w:w="1211" w:type="dxa"/>
            <w:vAlign w:val="center"/>
          </w:tcPr>
          <w:p w14:paraId="1547CC38">
            <w:pPr>
              <w:jc w:val="center"/>
              <w:rPr>
                <w:color w:val="000000" w:themeColor="text1"/>
                <w:kern w:val="0"/>
                <w:szCs w:val="21"/>
              </w:rPr>
            </w:pPr>
          </w:p>
        </w:tc>
        <w:tc>
          <w:tcPr>
            <w:tcW w:w="6778" w:type="dxa"/>
            <w:vAlign w:val="center"/>
          </w:tcPr>
          <w:p w14:paraId="0CF59A38">
            <w:pPr>
              <w:widowControl/>
              <w:jc w:val="left"/>
              <w:rPr>
                <w:color w:val="000000" w:themeColor="text1"/>
                <w:kern w:val="0"/>
                <w:szCs w:val="21"/>
              </w:rPr>
            </w:pPr>
          </w:p>
        </w:tc>
        <w:tc>
          <w:tcPr>
            <w:tcW w:w="1141" w:type="dxa"/>
          </w:tcPr>
          <w:p w14:paraId="6E8F7080">
            <w:pPr>
              <w:widowControl/>
              <w:jc w:val="left"/>
              <w:rPr>
                <w:color w:val="000000" w:themeColor="text1"/>
                <w:kern w:val="0"/>
                <w:szCs w:val="21"/>
              </w:rPr>
            </w:pPr>
          </w:p>
        </w:tc>
      </w:tr>
      <w:tr w14:paraId="70E9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54" w:type="dxa"/>
            <w:vAlign w:val="center"/>
          </w:tcPr>
          <w:p w14:paraId="0F9B9CEA">
            <w:pPr>
              <w:jc w:val="center"/>
              <w:rPr>
                <w:color w:val="000000" w:themeColor="text1"/>
                <w:kern w:val="0"/>
                <w:szCs w:val="21"/>
              </w:rPr>
            </w:pPr>
            <w:r>
              <w:rPr>
                <w:rFonts w:hint="eastAsia"/>
                <w:color w:val="000000" w:themeColor="text1"/>
                <w:kern w:val="0"/>
                <w:szCs w:val="21"/>
              </w:rPr>
              <w:t>3</w:t>
            </w:r>
          </w:p>
        </w:tc>
        <w:tc>
          <w:tcPr>
            <w:tcW w:w="1211" w:type="dxa"/>
            <w:vAlign w:val="center"/>
          </w:tcPr>
          <w:p w14:paraId="4AE91B50">
            <w:pPr>
              <w:ind w:firstLine="442"/>
              <w:jc w:val="center"/>
              <w:rPr>
                <w:rFonts w:ascii="宋体" w:hAnsi="宋体"/>
                <w:b/>
                <w:color w:val="000000" w:themeColor="text1"/>
              </w:rPr>
            </w:pPr>
          </w:p>
        </w:tc>
        <w:tc>
          <w:tcPr>
            <w:tcW w:w="6778" w:type="dxa"/>
            <w:vAlign w:val="center"/>
          </w:tcPr>
          <w:p w14:paraId="78701DB0">
            <w:pPr>
              <w:widowControl/>
              <w:jc w:val="left"/>
              <w:rPr>
                <w:rFonts w:ascii="宋体" w:hAnsi="宋体"/>
                <w:color w:val="000000" w:themeColor="text1"/>
                <w:szCs w:val="21"/>
              </w:rPr>
            </w:pPr>
          </w:p>
        </w:tc>
        <w:tc>
          <w:tcPr>
            <w:tcW w:w="1141" w:type="dxa"/>
          </w:tcPr>
          <w:p w14:paraId="5BC82805">
            <w:pPr>
              <w:widowControl/>
              <w:jc w:val="left"/>
              <w:rPr>
                <w:color w:val="000000" w:themeColor="text1"/>
                <w:kern w:val="0"/>
                <w:szCs w:val="21"/>
              </w:rPr>
            </w:pPr>
          </w:p>
        </w:tc>
      </w:tr>
      <w:tr w14:paraId="50DC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54" w:type="dxa"/>
            <w:vAlign w:val="center"/>
          </w:tcPr>
          <w:p w14:paraId="26543449">
            <w:pPr>
              <w:jc w:val="center"/>
              <w:rPr>
                <w:color w:val="000000" w:themeColor="text1"/>
              </w:rPr>
            </w:pPr>
            <w:r>
              <w:rPr>
                <w:rFonts w:hint="eastAsia"/>
                <w:color w:val="000000" w:themeColor="text1"/>
              </w:rPr>
              <w:t>4</w:t>
            </w:r>
          </w:p>
        </w:tc>
        <w:tc>
          <w:tcPr>
            <w:tcW w:w="1211" w:type="dxa"/>
            <w:vAlign w:val="center"/>
          </w:tcPr>
          <w:p w14:paraId="58727554">
            <w:pPr>
              <w:jc w:val="center"/>
              <w:rPr>
                <w:color w:val="000000" w:themeColor="text1"/>
                <w:kern w:val="0"/>
                <w:szCs w:val="21"/>
              </w:rPr>
            </w:pPr>
          </w:p>
        </w:tc>
        <w:tc>
          <w:tcPr>
            <w:tcW w:w="6778" w:type="dxa"/>
          </w:tcPr>
          <w:p w14:paraId="197AD00B">
            <w:pPr>
              <w:widowControl/>
              <w:jc w:val="left"/>
              <w:rPr>
                <w:color w:val="000000" w:themeColor="text1"/>
                <w:kern w:val="0"/>
                <w:szCs w:val="21"/>
              </w:rPr>
            </w:pPr>
          </w:p>
        </w:tc>
        <w:tc>
          <w:tcPr>
            <w:tcW w:w="1141" w:type="dxa"/>
          </w:tcPr>
          <w:p w14:paraId="17DC8E53">
            <w:pPr>
              <w:widowControl/>
              <w:jc w:val="left"/>
              <w:rPr>
                <w:color w:val="000000" w:themeColor="text1"/>
                <w:kern w:val="0"/>
                <w:szCs w:val="21"/>
              </w:rPr>
            </w:pPr>
          </w:p>
        </w:tc>
      </w:tr>
      <w:tr w14:paraId="4E1EB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54" w:type="dxa"/>
            <w:vAlign w:val="center"/>
          </w:tcPr>
          <w:p w14:paraId="41E2D61A">
            <w:pPr>
              <w:widowControl/>
              <w:jc w:val="center"/>
              <w:rPr>
                <w:color w:val="000000" w:themeColor="text1"/>
                <w:kern w:val="0"/>
                <w:szCs w:val="21"/>
              </w:rPr>
            </w:pPr>
            <w:r>
              <w:rPr>
                <w:rFonts w:hint="eastAsia"/>
                <w:color w:val="000000" w:themeColor="text1"/>
                <w:kern w:val="0"/>
                <w:szCs w:val="21"/>
              </w:rPr>
              <w:t>5</w:t>
            </w:r>
          </w:p>
        </w:tc>
        <w:tc>
          <w:tcPr>
            <w:tcW w:w="1211" w:type="dxa"/>
            <w:vAlign w:val="center"/>
          </w:tcPr>
          <w:p w14:paraId="184EF3CD">
            <w:pPr>
              <w:jc w:val="center"/>
              <w:rPr>
                <w:color w:val="000000" w:themeColor="text1"/>
                <w:kern w:val="0"/>
                <w:szCs w:val="21"/>
              </w:rPr>
            </w:pPr>
          </w:p>
        </w:tc>
        <w:tc>
          <w:tcPr>
            <w:tcW w:w="6778" w:type="dxa"/>
            <w:vAlign w:val="center"/>
          </w:tcPr>
          <w:p w14:paraId="3F1A0712">
            <w:pPr>
              <w:widowControl/>
              <w:jc w:val="left"/>
              <w:rPr>
                <w:color w:val="000000" w:themeColor="text1"/>
                <w:kern w:val="0"/>
                <w:szCs w:val="21"/>
              </w:rPr>
            </w:pPr>
          </w:p>
        </w:tc>
        <w:tc>
          <w:tcPr>
            <w:tcW w:w="1141" w:type="dxa"/>
          </w:tcPr>
          <w:p w14:paraId="02A84245">
            <w:pPr>
              <w:widowControl/>
              <w:jc w:val="left"/>
              <w:rPr>
                <w:color w:val="000000" w:themeColor="text1"/>
                <w:kern w:val="0"/>
                <w:szCs w:val="21"/>
              </w:rPr>
            </w:pPr>
          </w:p>
        </w:tc>
      </w:tr>
      <w:tr w14:paraId="1C1B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54" w:type="dxa"/>
            <w:vAlign w:val="center"/>
          </w:tcPr>
          <w:p w14:paraId="7B7A3A26">
            <w:pPr>
              <w:jc w:val="center"/>
              <w:rPr>
                <w:color w:val="000000" w:themeColor="text1"/>
                <w:kern w:val="0"/>
                <w:szCs w:val="21"/>
              </w:rPr>
            </w:pPr>
            <w:r>
              <w:rPr>
                <w:rFonts w:hint="eastAsia"/>
                <w:color w:val="000000" w:themeColor="text1"/>
                <w:kern w:val="0"/>
                <w:szCs w:val="21"/>
              </w:rPr>
              <w:t>6</w:t>
            </w:r>
          </w:p>
        </w:tc>
        <w:tc>
          <w:tcPr>
            <w:tcW w:w="1211" w:type="dxa"/>
            <w:vAlign w:val="center"/>
          </w:tcPr>
          <w:p w14:paraId="4B492594">
            <w:pPr>
              <w:jc w:val="center"/>
              <w:rPr>
                <w:color w:val="000000" w:themeColor="text1"/>
                <w:kern w:val="0"/>
                <w:szCs w:val="21"/>
              </w:rPr>
            </w:pPr>
          </w:p>
        </w:tc>
        <w:tc>
          <w:tcPr>
            <w:tcW w:w="6778" w:type="dxa"/>
            <w:vAlign w:val="center"/>
          </w:tcPr>
          <w:p w14:paraId="5988C7B2">
            <w:pPr>
              <w:widowControl/>
              <w:ind w:firstLine="482"/>
              <w:rPr>
                <w:rFonts w:eastAsia="仿宋_GB2312"/>
                <w:b/>
                <w:bCs/>
                <w:color w:val="000000" w:themeColor="text1"/>
                <w:kern w:val="0"/>
                <w:sz w:val="24"/>
              </w:rPr>
            </w:pPr>
          </w:p>
        </w:tc>
        <w:tc>
          <w:tcPr>
            <w:tcW w:w="1141" w:type="dxa"/>
            <w:vAlign w:val="center"/>
          </w:tcPr>
          <w:p w14:paraId="7376752E">
            <w:pPr>
              <w:widowControl/>
              <w:ind w:firstLine="482"/>
              <w:jc w:val="left"/>
              <w:rPr>
                <w:rFonts w:eastAsia="仿宋_GB2312"/>
                <w:b/>
                <w:bCs/>
                <w:color w:val="000000" w:themeColor="text1"/>
                <w:kern w:val="0"/>
                <w:sz w:val="24"/>
              </w:rPr>
            </w:pPr>
          </w:p>
        </w:tc>
      </w:tr>
    </w:tbl>
    <w:p w14:paraId="50333637">
      <w:pPr>
        <w:pStyle w:val="15"/>
        <w:spacing w:before="312" w:after="312"/>
        <w:ind w:firstLine="560"/>
        <w:rPr>
          <w:color w:val="000000" w:themeColor="text1"/>
        </w:rPr>
      </w:pPr>
    </w:p>
    <w:p w14:paraId="07338F8A">
      <w:pPr>
        <w:spacing w:before="312" w:after="312"/>
        <w:ind w:firstLine="440"/>
        <w:rPr>
          <w:color w:val="000000" w:themeColor="text1"/>
        </w:rPr>
      </w:pPr>
    </w:p>
    <w:p w14:paraId="7C54174C">
      <w:pPr>
        <w:spacing w:before="312" w:after="312"/>
        <w:ind w:firstLine="440"/>
        <w:rPr>
          <w:color w:val="000000" w:themeColor="text1"/>
        </w:rPr>
      </w:pPr>
    </w:p>
    <w:p w14:paraId="204EF7A8">
      <w:pPr>
        <w:spacing w:before="312" w:after="312"/>
        <w:ind w:firstLine="440"/>
        <w:rPr>
          <w:color w:val="000000" w:themeColor="text1"/>
        </w:rPr>
        <w:sectPr>
          <w:pgSz w:w="11906" w:h="16838"/>
          <w:pgMar w:top="1440" w:right="1800" w:bottom="1440" w:left="1800" w:header="851" w:footer="992" w:gutter="0"/>
          <w:cols w:space="720" w:num="1"/>
          <w:docGrid w:type="lines" w:linePitch="312" w:charSpace="0"/>
        </w:sectPr>
      </w:pPr>
    </w:p>
    <w:p w14:paraId="64B991E9">
      <w:pPr>
        <w:pStyle w:val="4"/>
        <w:spacing w:before="240" w:after="240"/>
        <w:ind w:firstLine="480"/>
        <w:rPr>
          <w:rStyle w:val="116"/>
          <w:rFonts w:hAnsi="宋体"/>
          <w:b w:val="0"/>
          <w:bCs/>
          <w:color w:val="auto"/>
          <w:sz w:val="24"/>
          <w:szCs w:val="24"/>
        </w:rPr>
      </w:pPr>
      <w:bookmarkStart w:id="65" w:name="_Toc14807"/>
      <w:r>
        <w:rPr>
          <w:rStyle w:val="116"/>
          <w:rFonts w:hint="eastAsia" w:hAnsi="宋体"/>
          <w:b w:val="0"/>
          <w:bCs w:val="0"/>
          <w:sz w:val="24"/>
          <w:szCs w:val="24"/>
        </w:rPr>
        <w:t>附件</w:t>
      </w:r>
      <w:r>
        <w:rPr>
          <w:rStyle w:val="116"/>
          <w:rFonts w:hAnsi="宋体"/>
          <w:b w:val="0"/>
          <w:bCs w:val="0"/>
          <w:sz w:val="24"/>
          <w:szCs w:val="24"/>
        </w:rPr>
        <w:t>1</w:t>
      </w:r>
      <w:r>
        <w:rPr>
          <w:rStyle w:val="116"/>
          <w:rFonts w:hint="eastAsia" w:hAnsi="宋体"/>
          <w:b w:val="0"/>
          <w:bCs w:val="0"/>
          <w:sz w:val="24"/>
          <w:szCs w:val="24"/>
        </w:rPr>
        <w:t>：响应函</w:t>
      </w:r>
      <w:bookmarkEnd w:id="65"/>
    </w:p>
    <w:p w14:paraId="62EB0BC7">
      <w:pPr>
        <w:snapToGrid w:val="0"/>
        <w:spacing w:beforeLines="100" w:afterLines="100"/>
        <w:ind w:left="210" w:leftChars="100" w:right="210" w:rightChars="100" w:firstLine="643"/>
        <w:jc w:val="center"/>
        <w:rPr>
          <w:rStyle w:val="116"/>
          <w:rFonts w:ascii="宋体" w:hAnsi="宋体"/>
          <w:bCs w:val="0"/>
          <w:color w:val="000000" w:themeColor="text1"/>
        </w:rPr>
      </w:pPr>
      <w:r>
        <w:rPr>
          <w:rStyle w:val="116"/>
          <w:rFonts w:hint="eastAsia" w:ascii="宋体" w:hAnsi="宋体"/>
          <w:color w:val="000000" w:themeColor="text1"/>
        </w:rPr>
        <w:t>响应函</w:t>
      </w:r>
    </w:p>
    <w:p w14:paraId="6FCEB477">
      <w:pPr>
        <w:snapToGrid w:val="0"/>
        <w:spacing w:beforeLines="100" w:afterLines="100"/>
        <w:ind w:left="210" w:leftChars="100" w:right="210" w:rightChars="100" w:firstLine="420" w:firstLineChars="200"/>
        <w:rPr>
          <w:rFonts w:ascii="宋体"/>
          <w:color w:val="000000" w:themeColor="text1"/>
          <w:szCs w:val="21"/>
        </w:rPr>
      </w:pPr>
    </w:p>
    <w:p w14:paraId="1D62F1E7">
      <w:pPr>
        <w:spacing w:line="360" w:lineRule="auto"/>
        <w:ind w:firstLine="480"/>
        <w:rPr>
          <w:rFonts w:ascii="宋体" w:hAnsi="宋体"/>
          <w:color w:val="000000" w:themeColor="text1"/>
          <w:sz w:val="24"/>
        </w:rPr>
      </w:pPr>
      <w:r>
        <w:rPr>
          <w:rFonts w:hint="eastAsia" w:ascii="宋体" w:hAnsi="宋体"/>
          <w:color w:val="000000" w:themeColor="text1"/>
          <w:sz w:val="24"/>
        </w:rPr>
        <w:t>江苏省广电有线信息网络股份有限公司：</w:t>
      </w:r>
    </w:p>
    <w:p w14:paraId="05AC6A25">
      <w:pPr>
        <w:spacing w:line="360" w:lineRule="auto"/>
        <w:ind w:firstLine="480"/>
        <w:rPr>
          <w:rFonts w:ascii="宋体" w:hAnsi="宋体"/>
          <w:color w:val="000000" w:themeColor="text1"/>
          <w:sz w:val="24"/>
        </w:rPr>
      </w:pPr>
      <w:r>
        <w:rPr>
          <w:rFonts w:hint="eastAsia" w:ascii="宋体" w:hAnsi="宋体"/>
          <w:color w:val="000000" w:themeColor="text1"/>
          <w:sz w:val="24"/>
        </w:rPr>
        <w:t>（供应商全称）授权（全权代表姓名、职务、职称）为全权代表，参加贵方组织的（采购编号、项目名称）的有关活动，为此：</w:t>
      </w:r>
    </w:p>
    <w:p w14:paraId="2BEEEA29">
      <w:pPr>
        <w:spacing w:line="360" w:lineRule="auto"/>
        <w:ind w:firstLine="480"/>
        <w:rPr>
          <w:rFonts w:ascii="宋体" w:hAnsi="宋体"/>
          <w:color w:val="000000" w:themeColor="text1"/>
          <w:sz w:val="24"/>
        </w:rPr>
      </w:pPr>
      <w:r>
        <w:rPr>
          <w:rFonts w:hint="eastAsia" w:ascii="宋体" w:hAnsi="宋体"/>
          <w:color w:val="000000" w:themeColor="text1"/>
          <w:sz w:val="24"/>
        </w:rPr>
        <w:t>（1）提供供应商须知规定的全部响应文件（正本</w:t>
      </w:r>
      <w:r>
        <w:rPr>
          <w:rFonts w:ascii="宋体" w:hAnsi="宋体"/>
          <w:color w:val="000000" w:themeColor="text1"/>
          <w:sz w:val="24"/>
        </w:rPr>
        <w:t>[ 1 ]</w:t>
      </w:r>
      <w:r>
        <w:rPr>
          <w:rFonts w:hint="eastAsia" w:ascii="宋体" w:hAnsi="宋体"/>
          <w:color w:val="000000" w:themeColor="text1"/>
          <w:sz w:val="24"/>
        </w:rPr>
        <w:t>份，副本</w:t>
      </w:r>
      <w:r>
        <w:rPr>
          <w:rFonts w:ascii="宋体" w:hAnsi="宋体"/>
          <w:color w:val="000000" w:themeColor="text1"/>
          <w:sz w:val="24"/>
        </w:rPr>
        <w:t>[</w:t>
      </w:r>
      <w:r>
        <w:rPr>
          <w:rFonts w:hint="eastAsia" w:ascii="宋体" w:hAnsi="宋体"/>
          <w:color w:val="000000" w:themeColor="text1"/>
          <w:sz w:val="24"/>
        </w:rPr>
        <w:t>2</w:t>
      </w:r>
      <w:r>
        <w:rPr>
          <w:rFonts w:ascii="宋体" w:hAnsi="宋体"/>
          <w:color w:val="000000" w:themeColor="text1"/>
          <w:sz w:val="24"/>
        </w:rPr>
        <w:t>]</w:t>
      </w:r>
      <w:r>
        <w:rPr>
          <w:rFonts w:hint="eastAsia" w:ascii="宋体" w:hAnsi="宋体"/>
          <w:color w:val="000000" w:themeColor="text1"/>
          <w:sz w:val="24"/>
        </w:rPr>
        <w:t>份、电子版</w:t>
      </w:r>
      <w:r>
        <w:rPr>
          <w:rFonts w:ascii="宋体" w:hAnsi="宋体"/>
          <w:color w:val="000000" w:themeColor="text1"/>
          <w:sz w:val="24"/>
        </w:rPr>
        <w:t>[ 1 ]</w:t>
      </w:r>
      <w:r>
        <w:rPr>
          <w:rFonts w:hint="eastAsia" w:ascii="宋体" w:hAnsi="宋体"/>
          <w:color w:val="000000" w:themeColor="text1"/>
          <w:sz w:val="24"/>
        </w:rPr>
        <w:t>份）。</w:t>
      </w:r>
    </w:p>
    <w:p w14:paraId="04AD7E93">
      <w:pPr>
        <w:spacing w:line="360" w:lineRule="auto"/>
        <w:ind w:firstLine="480"/>
        <w:rPr>
          <w:rFonts w:ascii="宋体" w:hAnsi="宋体"/>
          <w:color w:val="000000" w:themeColor="text1"/>
          <w:sz w:val="24"/>
        </w:rPr>
      </w:pPr>
      <w:r>
        <w:rPr>
          <w:rFonts w:hint="eastAsia" w:ascii="宋体" w:hAnsi="宋体"/>
          <w:color w:val="000000" w:themeColor="text1"/>
          <w:sz w:val="24"/>
        </w:rPr>
        <w:t>（2）提供按竞争性谈判文件要求的产品</w:t>
      </w:r>
      <w:r>
        <w:rPr>
          <w:rFonts w:ascii="宋体" w:hAnsi="宋体"/>
          <w:color w:val="000000" w:themeColor="text1"/>
          <w:sz w:val="24"/>
        </w:rPr>
        <w:t>/</w:t>
      </w:r>
      <w:r>
        <w:rPr>
          <w:rFonts w:hint="eastAsia" w:ascii="宋体" w:hAnsi="宋体"/>
          <w:color w:val="000000" w:themeColor="text1"/>
          <w:sz w:val="24"/>
        </w:rPr>
        <w:t>服务的报价。（</w:t>
      </w:r>
      <w:r>
        <w:rPr>
          <w:rFonts w:hint="eastAsia" w:ascii="宋体" w:hAnsi="宋体"/>
          <w:color w:val="000000" w:themeColor="text1"/>
          <w:sz w:val="24"/>
          <w:u w:val="single"/>
        </w:rPr>
        <w:t>详见附件：报价表</w:t>
      </w:r>
      <w:r>
        <w:rPr>
          <w:rFonts w:hint="eastAsia" w:ascii="宋体" w:hAnsi="宋体"/>
          <w:color w:val="000000" w:themeColor="text1"/>
          <w:sz w:val="24"/>
        </w:rPr>
        <w:t>）。</w:t>
      </w:r>
    </w:p>
    <w:p w14:paraId="7B8586FC">
      <w:pPr>
        <w:spacing w:line="360" w:lineRule="auto"/>
        <w:ind w:firstLine="480"/>
        <w:rPr>
          <w:rFonts w:ascii="宋体" w:hAnsi="宋体"/>
          <w:color w:val="000000" w:themeColor="text1"/>
          <w:sz w:val="24"/>
        </w:rPr>
      </w:pPr>
      <w:r>
        <w:rPr>
          <w:rFonts w:hint="eastAsia" w:ascii="宋体" w:hAnsi="宋体"/>
          <w:color w:val="000000" w:themeColor="text1"/>
          <w:sz w:val="24"/>
        </w:rPr>
        <w:t>（3）供应商将按竞争性谈判文件的规定履行全部责任和义务。</w:t>
      </w:r>
    </w:p>
    <w:p w14:paraId="61D21037">
      <w:pPr>
        <w:spacing w:line="360" w:lineRule="auto"/>
        <w:ind w:firstLine="480"/>
        <w:rPr>
          <w:rFonts w:ascii="宋体" w:hAnsi="宋体"/>
          <w:color w:val="000000" w:themeColor="text1"/>
          <w:sz w:val="24"/>
        </w:rPr>
      </w:pPr>
      <w:r>
        <w:rPr>
          <w:rFonts w:hint="eastAsia" w:ascii="宋体" w:hAnsi="宋体"/>
          <w:color w:val="000000" w:themeColor="text1"/>
          <w:sz w:val="24"/>
        </w:rPr>
        <w:t>（4）供应商已详细审查全部竞争性谈判文件，我们完全理解并同意放弃对竞争性谈判文件提出质疑及</w:t>
      </w:r>
      <w:r>
        <w:rPr>
          <w:rFonts w:ascii="宋体" w:hAnsi="宋体"/>
          <w:color w:val="000000" w:themeColor="text1"/>
          <w:sz w:val="24"/>
        </w:rPr>
        <w:t>/</w:t>
      </w:r>
      <w:r>
        <w:rPr>
          <w:rFonts w:hint="eastAsia" w:ascii="宋体" w:hAnsi="宋体"/>
          <w:color w:val="000000" w:themeColor="text1"/>
          <w:sz w:val="24"/>
        </w:rPr>
        <w:t>或争议的权利。</w:t>
      </w:r>
    </w:p>
    <w:p w14:paraId="2B9AA0DB">
      <w:pPr>
        <w:spacing w:line="360" w:lineRule="auto"/>
        <w:ind w:firstLine="480"/>
        <w:rPr>
          <w:rFonts w:ascii="宋体" w:hAnsi="宋体"/>
          <w:color w:val="000000" w:themeColor="text1"/>
          <w:sz w:val="24"/>
        </w:rPr>
      </w:pPr>
      <w:r>
        <w:rPr>
          <w:rFonts w:hint="eastAsia" w:ascii="宋体" w:hAnsi="宋体"/>
          <w:color w:val="000000" w:themeColor="text1"/>
          <w:sz w:val="24"/>
        </w:rPr>
        <w:t>（5）本供应商递交响应文件的有效期为自递交响应文件截止日起</w:t>
      </w:r>
      <w:r>
        <w:rPr>
          <w:rFonts w:hint="eastAsia" w:ascii="宋体" w:hAnsi="宋体"/>
          <w:color w:val="000000" w:themeColor="text1"/>
          <w:sz w:val="24"/>
          <w:u w:val="single"/>
        </w:rPr>
        <w:t>90个</w:t>
      </w:r>
      <w:r>
        <w:rPr>
          <w:rFonts w:hint="eastAsia" w:ascii="宋体" w:hAnsi="宋体"/>
          <w:color w:val="000000" w:themeColor="text1"/>
          <w:sz w:val="24"/>
        </w:rPr>
        <w:t>日历日。</w:t>
      </w:r>
    </w:p>
    <w:p w14:paraId="1E23C787">
      <w:pPr>
        <w:spacing w:line="360" w:lineRule="auto"/>
        <w:ind w:firstLine="480"/>
        <w:rPr>
          <w:rFonts w:ascii="宋体" w:hAnsi="宋体"/>
          <w:color w:val="000000" w:themeColor="text1"/>
          <w:sz w:val="24"/>
        </w:rPr>
      </w:pPr>
      <w:r>
        <w:rPr>
          <w:rFonts w:hint="eastAsia" w:ascii="宋体" w:hAnsi="宋体"/>
          <w:color w:val="000000" w:themeColor="text1"/>
          <w:sz w:val="24"/>
        </w:rPr>
        <w:t>（6）如果在规定的递交响应文件截止时间后，供应商在谈判有效期内撤回响应文件，将取消供应商参与本项目资格。</w:t>
      </w:r>
    </w:p>
    <w:p w14:paraId="1C79A931">
      <w:pPr>
        <w:spacing w:line="360" w:lineRule="auto"/>
        <w:ind w:firstLine="480"/>
        <w:rPr>
          <w:rFonts w:ascii="宋体" w:hAnsi="宋体"/>
          <w:color w:val="000000" w:themeColor="text1"/>
          <w:sz w:val="24"/>
        </w:rPr>
      </w:pPr>
      <w:r>
        <w:rPr>
          <w:rFonts w:hint="eastAsia" w:ascii="宋体" w:hAnsi="宋体"/>
          <w:color w:val="000000" w:themeColor="text1"/>
          <w:sz w:val="24"/>
        </w:rPr>
        <w:t>（7）愿意向贵方提供任何与该项响应文件有关的数据、情况和技术资料，完全理解贵方不一定接受最低价的响应文件或收到的任何响应文件。</w:t>
      </w:r>
    </w:p>
    <w:p w14:paraId="0DE02249">
      <w:pPr>
        <w:spacing w:line="360" w:lineRule="auto"/>
        <w:ind w:firstLine="480"/>
        <w:rPr>
          <w:rFonts w:ascii="宋体" w:hAnsi="宋体"/>
          <w:color w:val="000000" w:themeColor="text1"/>
          <w:sz w:val="24"/>
        </w:rPr>
      </w:pPr>
      <w:r>
        <w:rPr>
          <w:rFonts w:hint="eastAsia" w:ascii="宋体" w:hAnsi="宋体"/>
          <w:color w:val="000000" w:themeColor="text1"/>
          <w:sz w:val="24"/>
        </w:rPr>
        <w:t>（8）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410C54B3">
      <w:pPr>
        <w:spacing w:line="360" w:lineRule="auto"/>
        <w:ind w:firstLine="480"/>
        <w:rPr>
          <w:rFonts w:ascii="宋体" w:hAnsi="宋体"/>
          <w:color w:val="000000" w:themeColor="text1"/>
          <w:sz w:val="24"/>
        </w:rPr>
      </w:pPr>
      <w:r>
        <w:rPr>
          <w:rFonts w:hint="eastAsia" w:ascii="宋体" w:hAnsi="宋体"/>
          <w:color w:val="000000" w:themeColor="text1"/>
          <w:sz w:val="24"/>
        </w:rPr>
        <w:t>（9）我方在法律和财务上独立、合法运作并独立于采购人。</w:t>
      </w:r>
    </w:p>
    <w:p w14:paraId="76626DC7">
      <w:pPr>
        <w:spacing w:line="360" w:lineRule="auto"/>
        <w:ind w:firstLine="480"/>
        <w:rPr>
          <w:rFonts w:ascii="宋体" w:hAnsi="宋体"/>
          <w:color w:val="000000" w:themeColor="text1"/>
          <w:sz w:val="24"/>
        </w:rPr>
      </w:pPr>
      <w:r>
        <w:rPr>
          <w:rFonts w:hint="eastAsia" w:ascii="宋体" w:hAnsi="宋体"/>
          <w:color w:val="000000" w:themeColor="text1"/>
          <w:sz w:val="24"/>
        </w:rPr>
        <w:t>（10）我方承诺：采购人在其本国使用我方提供的产品及服务时，不存在任何已知的不合法的情形，也不存在任何已知的与第三方专利权、著作权、商标权或工业设计权相关的任何争议。如果有任何因采购人使用我方提供的产品及服务而提起的侵权指控，我方将依法承担全部责任。</w:t>
      </w:r>
    </w:p>
    <w:p w14:paraId="70723950">
      <w:pPr>
        <w:spacing w:line="360" w:lineRule="auto"/>
        <w:ind w:firstLine="480"/>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1</w:t>
      </w:r>
      <w:r>
        <w:rPr>
          <w:rFonts w:hint="eastAsia" w:ascii="宋体" w:hAnsi="宋体"/>
          <w:color w:val="000000" w:themeColor="text1"/>
          <w:sz w:val="24"/>
        </w:rPr>
        <w:t>）我方具有较大规模的销售和售后服务的组织机构及完善快捷的技术支持能力，承诺在南京地区拥有固定可靠的有效服务网点。</w:t>
      </w:r>
    </w:p>
    <w:p w14:paraId="2CFCFF93">
      <w:pPr>
        <w:spacing w:line="360" w:lineRule="auto"/>
        <w:ind w:firstLine="480"/>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2</w:t>
      </w:r>
      <w:r>
        <w:rPr>
          <w:rFonts w:hint="eastAsia" w:ascii="宋体" w:hAnsi="宋体"/>
          <w:color w:val="000000" w:themeColor="text1"/>
          <w:sz w:val="24"/>
        </w:rPr>
        <w:t>）根据本项目要求，我单位委派（姓名）（身份证号）作为本项目的项目负责人。</w:t>
      </w:r>
    </w:p>
    <w:p w14:paraId="5446A54C">
      <w:pPr>
        <w:spacing w:line="360" w:lineRule="auto"/>
        <w:ind w:firstLine="480"/>
        <w:rPr>
          <w:rFonts w:ascii="宋体" w:hAnsi="宋体"/>
          <w:color w:val="000000" w:themeColor="text1"/>
          <w:sz w:val="24"/>
        </w:rPr>
      </w:pPr>
      <w:r>
        <w:rPr>
          <w:rFonts w:hint="eastAsia" w:ascii="宋体" w:hAnsi="宋体"/>
          <w:color w:val="000000" w:themeColor="text1"/>
          <w:sz w:val="24"/>
        </w:rPr>
        <w:t>（1</w:t>
      </w:r>
      <w:r>
        <w:rPr>
          <w:rFonts w:ascii="宋体" w:hAnsi="宋体"/>
          <w:color w:val="000000" w:themeColor="text1"/>
          <w:sz w:val="24"/>
        </w:rPr>
        <w:t>3</w:t>
      </w:r>
      <w:r>
        <w:rPr>
          <w:rFonts w:hint="eastAsia" w:ascii="宋体" w:hAnsi="宋体"/>
          <w:color w:val="000000" w:themeColor="text1"/>
          <w:sz w:val="24"/>
        </w:rPr>
        <w:t>）与本响应文件有关的一切往来通讯请寄：</w:t>
      </w:r>
    </w:p>
    <w:p w14:paraId="6AE39D9F">
      <w:pPr>
        <w:spacing w:line="360" w:lineRule="auto"/>
        <w:ind w:firstLine="480"/>
        <w:rPr>
          <w:rFonts w:ascii="宋体" w:hAnsi="宋体"/>
          <w:color w:val="000000" w:themeColor="text1"/>
          <w:sz w:val="24"/>
        </w:rPr>
      </w:pPr>
    </w:p>
    <w:p w14:paraId="5E2F2443">
      <w:pPr>
        <w:spacing w:line="360" w:lineRule="auto"/>
        <w:ind w:firstLine="480"/>
        <w:rPr>
          <w:rFonts w:ascii="宋体" w:hAnsi="宋体"/>
          <w:color w:val="000000" w:themeColor="text1"/>
          <w:sz w:val="24"/>
        </w:rPr>
      </w:pPr>
      <w:r>
        <w:rPr>
          <w:rFonts w:hint="eastAsia" w:ascii="宋体" w:hAnsi="宋体"/>
          <w:color w:val="000000" w:themeColor="text1"/>
          <w:sz w:val="24"/>
        </w:rPr>
        <w:t>地址传真：</w:t>
      </w:r>
    </w:p>
    <w:p w14:paraId="050C71BC">
      <w:pPr>
        <w:spacing w:line="360" w:lineRule="auto"/>
        <w:ind w:firstLine="480"/>
        <w:rPr>
          <w:rFonts w:ascii="宋体" w:hAnsi="宋体"/>
          <w:color w:val="000000" w:themeColor="text1"/>
          <w:sz w:val="24"/>
        </w:rPr>
      </w:pPr>
      <w:r>
        <w:rPr>
          <w:rFonts w:hint="eastAsia" w:ascii="宋体" w:hAnsi="宋体"/>
          <w:color w:val="000000" w:themeColor="text1"/>
          <w:sz w:val="24"/>
        </w:rPr>
        <w:t>电话电子函件：</w:t>
      </w:r>
    </w:p>
    <w:p w14:paraId="05004159">
      <w:pPr>
        <w:spacing w:line="360" w:lineRule="auto"/>
        <w:ind w:firstLine="480"/>
        <w:rPr>
          <w:rFonts w:ascii="宋体" w:hAnsi="宋体"/>
          <w:color w:val="000000" w:themeColor="text1"/>
          <w:sz w:val="24"/>
        </w:rPr>
      </w:pPr>
    </w:p>
    <w:p w14:paraId="1ADA27E7">
      <w:pPr>
        <w:spacing w:line="360" w:lineRule="auto"/>
        <w:ind w:firstLine="480"/>
        <w:rPr>
          <w:rFonts w:ascii="宋体" w:hAnsi="宋体"/>
          <w:color w:val="000000" w:themeColor="text1"/>
          <w:sz w:val="24"/>
        </w:rPr>
      </w:pPr>
      <w:r>
        <w:rPr>
          <w:rFonts w:hint="eastAsia" w:ascii="宋体" w:hAnsi="宋体"/>
          <w:color w:val="000000" w:themeColor="text1"/>
          <w:sz w:val="24"/>
        </w:rPr>
        <w:t>供应商名称（盖章）：</w:t>
      </w:r>
    </w:p>
    <w:p w14:paraId="3488163B">
      <w:pPr>
        <w:spacing w:line="360" w:lineRule="auto"/>
        <w:ind w:firstLine="480"/>
        <w:rPr>
          <w:rFonts w:ascii="宋体" w:hAnsi="宋体"/>
          <w:color w:val="000000" w:themeColor="text1"/>
          <w:sz w:val="24"/>
        </w:rPr>
      </w:pPr>
      <w:r>
        <w:rPr>
          <w:rFonts w:hint="eastAsia" w:ascii="宋体" w:hAnsi="宋体"/>
          <w:color w:val="000000" w:themeColor="text1"/>
          <w:sz w:val="24"/>
        </w:rPr>
        <w:t>供应商代表（签字）：</w:t>
      </w:r>
    </w:p>
    <w:p w14:paraId="43B17BFC">
      <w:pPr>
        <w:spacing w:line="360" w:lineRule="auto"/>
        <w:ind w:firstLine="480"/>
        <w:rPr>
          <w:color w:val="000000" w:themeColor="text1"/>
        </w:rPr>
      </w:pPr>
      <w:r>
        <w:rPr>
          <w:rFonts w:hint="eastAsia" w:ascii="宋体" w:hAnsi="宋体"/>
          <w:color w:val="000000" w:themeColor="text1"/>
          <w:sz w:val="24"/>
        </w:rPr>
        <w:t>日期：</w:t>
      </w:r>
    </w:p>
    <w:p w14:paraId="2C75D4BC">
      <w:pPr>
        <w:spacing w:after="240" w:line="360" w:lineRule="auto"/>
        <w:ind w:firstLine="440"/>
        <w:rPr>
          <w:color w:val="000000" w:themeColor="text1"/>
        </w:rPr>
      </w:pPr>
    </w:p>
    <w:p w14:paraId="5A017F3B">
      <w:pPr>
        <w:pStyle w:val="4"/>
        <w:spacing w:before="240" w:after="240"/>
        <w:ind w:firstLine="480"/>
        <w:rPr>
          <w:rStyle w:val="116"/>
          <w:rFonts w:hAnsi="宋体"/>
          <w:b w:val="0"/>
          <w:bCs/>
          <w:color w:val="auto"/>
          <w:sz w:val="24"/>
          <w:szCs w:val="24"/>
        </w:rPr>
      </w:pPr>
      <w:r>
        <w:br w:type="page"/>
      </w:r>
      <w:bookmarkStart w:id="66" w:name="_Toc6327"/>
      <w:r>
        <w:rPr>
          <w:rStyle w:val="116"/>
          <w:rFonts w:hint="eastAsia" w:hAnsi="宋体"/>
          <w:b w:val="0"/>
          <w:bCs w:val="0"/>
          <w:sz w:val="24"/>
          <w:szCs w:val="24"/>
        </w:rPr>
        <w:t>附件</w:t>
      </w:r>
      <w:r>
        <w:rPr>
          <w:rStyle w:val="116"/>
          <w:rFonts w:hAnsi="宋体"/>
          <w:b w:val="0"/>
          <w:bCs w:val="0"/>
          <w:sz w:val="24"/>
          <w:szCs w:val="24"/>
        </w:rPr>
        <w:t>2</w:t>
      </w:r>
      <w:r>
        <w:rPr>
          <w:rStyle w:val="116"/>
          <w:rFonts w:hint="eastAsia" w:hAnsi="宋体"/>
          <w:b w:val="0"/>
          <w:bCs w:val="0"/>
          <w:sz w:val="24"/>
          <w:szCs w:val="24"/>
        </w:rPr>
        <w:t>：制造商的授权函和承诺函</w:t>
      </w:r>
      <w:r>
        <w:rPr>
          <w:rStyle w:val="116"/>
          <w:rFonts w:hAnsi="宋体"/>
          <w:b w:val="0"/>
          <w:bCs w:val="0"/>
          <w:sz w:val="24"/>
          <w:szCs w:val="24"/>
        </w:rPr>
        <w:br w:type="page"/>
      </w:r>
      <w:bookmarkEnd w:id="66"/>
    </w:p>
    <w:p w14:paraId="309D180F">
      <w:pPr>
        <w:pStyle w:val="4"/>
        <w:spacing w:before="240" w:after="240"/>
        <w:ind w:firstLine="480"/>
        <w:rPr>
          <w:rStyle w:val="90"/>
          <w:rFonts w:hAnsi="Times New Roman" w:eastAsia="宋体"/>
          <w:bCs w:val="0"/>
          <w:color w:val="auto"/>
        </w:rPr>
      </w:pPr>
      <w:bookmarkStart w:id="67" w:name="_Toc9756"/>
      <w:r>
        <w:rPr>
          <w:rStyle w:val="116"/>
          <w:rFonts w:hint="eastAsia" w:hAnsi="宋体"/>
          <w:b w:val="0"/>
          <w:bCs w:val="0"/>
          <w:sz w:val="24"/>
          <w:szCs w:val="24"/>
        </w:rPr>
        <w:t>附件</w:t>
      </w:r>
      <w:r>
        <w:rPr>
          <w:rStyle w:val="116"/>
          <w:rFonts w:hAnsi="宋体"/>
          <w:b w:val="0"/>
          <w:bCs w:val="0"/>
          <w:sz w:val="24"/>
          <w:szCs w:val="24"/>
        </w:rPr>
        <w:t>3</w:t>
      </w:r>
      <w:r>
        <w:rPr>
          <w:rStyle w:val="116"/>
          <w:rFonts w:hint="eastAsia" w:hAnsi="宋体"/>
          <w:b w:val="0"/>
          <w:bCs w:val="0"/>
          <w:sz w:val="24"/>
          <w:szCs w:val="24"/>
        </w:rPr>
        <w:t>：报价表</w:t>
      </w:r>
      <w:r>
        <w:rPr>
          <w:rStyle w:val="116"/>
          <w:rFonts w:hAnsi="宋体"/>
          <w:b w:val="0"/>
          <w:bCs w:val="0"/>
          <w:sz w:val="24"/>
          <w:szCs w:val="24"/>
        </w:rPr>
        <w:t>(</w:t>
      </w:r>
      <w:r>
        <w:rPr>
          <w:rStyle w:val="116"/>
          <w:rFonts w:hint="eastAsia" w:hAnsi="宋体"/>
          <w:b w:val="0"/>
          <w:bCs w:val="0"/>
          <w:sz w:val="24"/>
          <w:szCs w:val="24"/>
        </w:rPr>
        <w:t>格式</w:t>
      </w:r>
      <w:r>
        <w:rPr>
          <w:rStyle w:val="116"/>
          <w:rFonts w:hAnsi="宋体"/>
          <w:b w:val="0"/>
          <w:bCs w:val="0"/>
          <w:sz w:val="24"/>
          <w:szCs w:val="24"/>
        </w:rPr>
        <w:t>)</w:t>
      </w:r>
      <w:bookmarkEnd w:id="67"/>
    </w:p>
    <w:p w14:paraId="25FB3B3C">
      <w:pPr>
        <w:spacing w:line="360" w:lineRule="auto"/>
        <w:rPr>
          <w:rFonts w:ascii="宋体" w:hAnsi="宋体"/>
          <w:color w:val="000000" w:themeColor="text1"/>
          <w:szCs w:val="21"/>
        </w:rPr>
      </w:pPr>
      <w:r>
        <w:rPr>
          <w:color w:val="000000" w:themeColor="text1"/>
        </w:rPr>
        <w:t>项目名称：</w:t>
      </w:r>
      <w:r>
        <w:rPr>
          <w:rFonts w:hint="eastAsia" w:ascii="宋体" w:hAnsi="宋体"/>
          <w:color w:val="000000" w:themeColor="text1"/>
          <w:szCs w:val="21"/>
        </w:rPr>
        <w:t>园区1号楼无线网络优化项目</w:t>
      </w:r>
    </w:p>
    <w:tbl>
      <w:tblPr>
        <w:tblStyle w:val="5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3"/>
        <w:gridCol w:w="1435"/>
        <w:gridCol w:w="1793"/>
        <w:gridCol w:w="767"/>
        <w:gridCol w:w="1516"/>
        <w:gridCol w:w="868"/>
      </w:tblGrid>
      <w:tr w14:paraId="48E9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2263" w:type="dxa"/>
            <w:vAlign w:val="center"/>
          </w:tcPr>
          <w:p w14:paraId="6DD9BAF9">
            <w:pPr>
              <w:jc w:val="center"/>
              <w:rPr>
                <w:b/>
                <w:szCs w:val="21"/>
              </w:rPr>
            </w:pPr>
            <w:r>
              <w:rPr>
                <w:rFonts w:hint="eastAsia"/>
                <w:b/>
                <w:szCs w:val="21"/>
              </w:rPr>
              <w:t>报价</w:t>
            </w:r>
            <w:r>
              <w:rPr>
                <w:b/>
                <w:szCs w:val="21"/>
              </w:rPr>
              <w:t>项</w:t>
            </w:r>
          </w:p>
        </w:tc>
        <w:tc>
          <w:tcPr>
            <w:tcW w:w="1406" w:type="dxa"/>
            <w:vAlign w:val="center"/>
          </w:tcPr>
          <w:p w14:paraId="267BD00E">
            <w:pPr>
              <w:jc w:val="center"/>
              <w:rPr>
                <w:b/>
              </w:rPr>
            </w:pPr>
            <w:r>
              <w:rPr>
                <w:rFonts w:hint="eastAsia"/>
                <w:b/>
              </w:rPr>
              <w:t>规格型号</w:t>
            </w:r>
          </w:p>
        </w:tc>
        <w:tc>
          <w:tcPr>
            <w:tcW w:w="1756" w:type="dxa"/>
            <w:vAlign w:val="center"/>
          </w:tcPr>
          <w:p w14:paraId="1C978F85">
            <w:pPr>
              <w:jc w:val="center"/>
              <w:rPr>
                <w:b/>
              </w:rPr>
            </w:pPr>
            <w:r>
              <w:rPr>
                <w:rFonts w:hint="eastAsia"/>
                <w:b/>
              </w:rPr>
              <w:t>含税单价</w:t>
            </w:r>
            <w:r>
              <w:rPr>
                <w:b/>
              </w:rPr>
              <w:t>（元）</w:t>
            </w:r>
          </w:p>
        </w:tc>
        <w:tc>
          <w:tcPr>
            <w:tcW w:w="751" w:type="dxa"/>
            <w:vAlign w:val="center"/>
          </w:tcPr>
          <w:p w14:paraId="2676FDEF">
            <w:pPr>
              <w:jc w:val="center"/>
              <w:rPr>
                <w:b/>
              </w:rPr>
            </w:pPr>
            <w:r>
              <w:rPr>
                <w:rFonts w:hint="eastAsia"/>
                <w:b/>
              </w:rPr>
              <w:t>数量</w:t>
            </w:r>
          </w:p>
        </w:tc>
        <w:tc>
          <w:tcPr>
            <w:tcW w:w="0" w:type="auto"/>
            <w:vAlign w:val="center"/>
          </w:tcPr>
          <w:p w14:paraId="64DADAC9">
            <w:pPr>
              <w:jc w:val="center"/>
              <w:rPr>
                <w:b/>
              </w:rPr>
            </w:pPr>
            <w:r>
              <w:rPr>
                <w:rFonts w:hint="eastAsia"/>
                <w:b/>
              </w:rPr>
              <w:t>含税总价</w:t>
            </w:r>
            <w:r>
              <w:rPr>
                <w:b/>
              </w:rPr>
              <w:t>（元）</w:t>
            </w:r>
          </w:p>
        </w:tc>
        <w:tc>
          <w:tcPr>
            <w:tcW w:w="850" w:type="dxa"/>
            <w:vAlign w:val="center"/>
          </w:tcPr>
          <w:p w14:paraId="585A6198">
            <w:pPr>
              <w:jc w:val="center"/>
              <w:rPr>
                <w:b/>
              </w:rPr>
            </w:pPr>
            <w:r>
              <w:rPr>
                <w:rFonts w:hint="eastAsia"/>
                <w:b/>
              </w:rPr>
              <w:t>备注</w:t>
            </w:r>
          </w:p>
        </w:tc>
      </w:tr>
      <w:tr w14:paraId="2D75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263" w:type="dxa"/>
            <w:vAlign w:val="center"/>
          </w:tcPr>
          <w:p w14:paraId="7258DB26">
            <w:pPr>
              <w:jc w:val="center"/>
              <w:rPr>
                <w:szCs w:val="21"/>
              </w:rPr>
            </w:pPr>
            <w:r>
              <w:rPr>
                <w:rFonts w:hint="eastAsia" w:ascii="宋体" w:hAnsi="宋体"/>
                <w:bCs/>
                <w:szCs w:val="21"/>
              </w:rPr>
              <w:t>面板AP</w:t>
            </w:r>
          </w:p>
        </w:tc>
        <w:tc>
          <w:tcPr>
            <w:tcW w:w="1406" w:type="dxa"/>
            <w:vAlign w:val="center"/>
          </w:tcPr>
          <w:p w14:paraId="4E00660A">
            <w:pPr>
              <w:jc w:val="center"/>
            </w:pPr>
          </w:p>
        </w:tc>
        <w:tc>
          <w:tcPr>
            <w:tcW w:w="1756" w:type="dxa"/>
            <w:vAlign w:val="center"/>
          </w:tcPr>
          <w:p w14:paraId="215E63FB">
            <w:pPr>
              <w:jc w:val="center"/>
            </w:pPr>
          </w:p>
        </w:tc>
        <w:tc>
          <w:tcPr>
            <w:tcW w:w="751" w:type="dxa"/>
            <w:vAlign w:val="center"/>
          </w:tcPr>
          <w:p w14:paraId="47A4F632">
            <w:pPr>
              <w:jc w:val="center"/>
            </w:pPr>
          </w:p>
        </w:tc>
        <w:tc>
          <w:tcPr>
            <w:tcW w:w="0" w:type="auto"/>
            <w:vAlign w:val="center"/>
          </w:tcPr>
          <w:p w14:paraId="68536A27">
            <w:pPr>
              <w:jc w:val="center"/>
            </w:pPr>
          </w:p>
        </w:tc>
        <w:tc>
          <w:tcPr>
            <w:tcW w:w="850" w:type="dxa"/>
            <w:vAlign w:val="center"/>
          </w:tcPr>
          <w:p w14:paraId="5F04811F">
            <w:pPr>
              <w:jc w:val="center"/>
            </w:pPr>
          </w:p>
        </w:tc>
      </w:tr>
      <w:tr w14:paraId="16BD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263" w:type="dxa"/>
            <w:vAlign w:val="center"/>
          </w:tcPr>
          <w:p w14:paraId="2694921D">
            <w:pPr>
              <w:jc w:val="center"/>
              <w:rPr>
                <w:rFonts w:ascii="宋体" w:hAnsi="宋体"/>
                <w:bCs/>
                <w:szCs w:val="21"/>
              </w:rPr>
            </w:pPr>
            <w:r>
              <w:rPr>
                <w:rFonts w:hint="eastAsia" w:ascii="宋体" w:hAnsi="宋体"/>
                <w:bCs/>
                <w:szCs w:val="21"/>
              </w:rPr>
              <w:t>放装AP</w:t>
            </w:r>
          </w:p>
        </w:tc>
        <w:tc>
          <w:tcPr>
            <w:tcW w:w="1406" w:type="dxa"/>
            <w:vAlign w:val="center"/>
          </w:tcPr>
          <w:p w14:paraId="07B2BA8C">
            <w:pPr>
              <w:jc w:val="center"/>
            </w:pPr>
          </w:p>
        </w:tc>
        <w:tc>
          <w:tcPr>
            <w:tcW w:w="1756" w:type="dxa"/>
            <w:vAlign w:val="center"/>
          </w:tcPr>
          <w:p w14:paraId="52C2D8D8">
            <w:pPr>
              <w:jc w:val="center"/>
            </w:pPr>
          </w:p>
        </w:tc>
        <w:tc>
          <w:tcPr>
            <w:tcW w:w="751" w:type="dxa"/>
            <w:vAlign w:val="center"/>
          </w:tcPr>
          <w:p w14:paraId="395A2DC2">
            <w:pPr>
              <w:jc w:val="center"/>
            </w:pPr>
          </w:p>
        </w:tc>
        <w:tc>
          <w:tcPr>
            <w:tcW w:w="0" w:type="auto"/>
            <w:vAlign w:val="center"/>
          </w:tcPr>
          <w:p w14:paraId="2608B3D0">
            <w:pPr>
              <w:jc w:val="center"/>
            </w:pPr>
          </w:p>
        </w:tc>
        <w:tc>
          <w:tcPr>
            <w:tcW w:w="850" w:type="dxa"/>
            <w:vAlign w:val="center"/>
          </w:tcPr>
          <w:p w14:paraId="2A437924">
            <w:pPr>
              <w:jc w:val="center"/>
            </w:pPr>
          </w:p>
        </w:tc>
      </w:tr>
      <w:tr w14:paraId="743C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263" w:type="dxa"/>
            <w:vAlign w:val="center"/>
          </w:tcPr>
          <w:p w14:paraId="55CF913F">
            <w:pPr>
              <w:jc w:val="center"/>
              <w:rPr>
                <w:rFonts w:ascii="宋体" w:hAnsi="宋体"/>
                <w:bCs/>
                <w:szCs w:val="21"/>
              </w:rPr>
            </w:pPr>
            <w:r>
              <w:rPr>
                <w:rFonts w:hint="eastAsia" w:ascii="宋体" w:hAnsi="宋体"/>
                <w:bCs/>
                <w:szCs w:val="21"/>
              </w:rPr>
              <w:t>高密AP</w:t>
            </w:r>
          </w:p>
        </w:tc>
        <w:tc>
          <w:tcPr>
            <w:tcW w:w="1406" w:type="dxa"/>
            <w:vAlign w:val="center"/>
          </w:tcPr>
          <w:p w14:paraId="6C7D7FE4">
            <w:pPr>
              <w:jc w:val="center"/>
            </w:pPr>
          </w:p>
        </w:tc>
        <w:tc>
          <w:tcPr>
            <w:tcW w:w="1756" w:type="dxa"/>
            <w:vAlign w:val="center"/>
          </w:tcPr>
          <w:p w14:paraId="540ECD97">
            <w:pPr>
              <w:jc w:val="center"/>
            </w:pPr>
          </w:p>
        </w:tc>
        <w:tc>
          <w:tcPr>
            <w:tcW w:w="751" w:type="dxa"/>
            <w:vAlign w:val="center"/>
          </w:tcPr>
          <w:p w14:paraId="57B3F7AB">
            <w:pPr>
              <w:jc w:val="center"/>
            </w:pPr>
          </w:p>
        </w:tc>
        <w:tc>
          <w:tcPr>
            <w:tcW w:w="0" w:type="auto"/>
            <w:vAlign w:val="center"/>
          </w:tcPr>
          <w:p w14:paraId="0D2B848C">
            <w:pPr>
              <w:jc w:val="center"/>
            </w:pPr>
          </w:p>
        </w:tc>
        <w:tc>
          <w:tcPr>
            <w:tcW w:w="850" w:type="dxa"/>
            <w:vAlign w:val="center"/>
          </w:tcPr>
          <w:p w14:paraId="056E391D">
            <w:pPr>
              <w:jc w:val="center"/>
            </w:pPr>
          </w:p>
        </w:tc>
      </w:tr>
      <w:tr w14:paraId="58E7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263" w:type="dxa"/>
            <w:vAlign w:val="center"/>
          </w:tcPr>
          <w:p w14:paraId="5AF82C5D">
            <w:pPr>
              <w:jc w:val="center"/>
              <w:rPr>
                <w:rFonts w:ascii="宋体" w:hAnsi="宋体"/>
                <w:bCs/>
                <w:szCs w:val="21"/>
              </w:rPr>
            </w:pPr>
            <w:r>
              <w:rPr>
                <w:rFonts w:hint="eastAsia" w:ascii="宋体" w:hAnsi="宋体"/>
                <w:bCs/>
                <w:szCs w:val="21"/>
              </w:rPr>
              <w:t>无线授权</w:t>
            </w:r>
          </w:p>
        </w:tc>
        <w:tc>
          <w:tcPr>
            <w:tcW w:w="1406" w:type="dxa"/>
            <w:vAlign w:val="center"/>
          </w:tcPr>
          <w:p w14:paraId="2059216B">
            <w:pPr>
              <w:jc w:val="center"/>
            </w:pPr>
          </w:p>
        </w:tc>
        <w:tc>
          <w:tcPr>
            <w:tcW w:w="1756" w:type="dxa"/>
            <w:vAlign w:val="center"/>
          </w:tcPr>
          <w:p w14:paraId="36EBE3D0">
            <w:pPr>
              <w:jc w:val="center"/>
            </w:pPr>
          </w:p>
        </w:tc>
        <w:tc>
          <w:tcPr>
            <w:tcW w:w="751" w:type="dxa"/>
            <w:vAlign w:val="center"/>
          </w:tcPr>
          <w:p w14:paraId="774F3738">
            <w:pPr>
              <w:jc w:val="center"/>
            </w:pPr>
          </w:p>
        </w:tc>
        <w:tc>
          <w:tcPr>
            <w:tcW w:w="0" w:type="auto"/>
            <w:vAlign w:val="center"/>
          </w:tcPr>
          <w:p w14:paraId="59F015C5">
            <w:pPr>
              <w:jc w:val="center"/>
            </w:pPr>
          </w:p>
        </w:tc>
        <w:tc>
          <w:tcPr>
            <w:tcW w:w="850" w:type="dxa"/>
            <w:vAlign w:val="center"/>
          </w:tcPr>
          <w:p w14:paraId="3D83EC70">
            <w:pPr>
              <w:jc w:val="center"/>
            </w:pPr>
          </w:p>
        </w:tc>
      </w:tr>
      <w:tr w14:paraId="0C66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263" w:type="dxa"/>
            <w:vAlign w:val="center"/>
          </w:tcPr>
          <w:p w14:paraId="2739AACC">
            <w:pPr>
              <w:jc w:val="center"/>
              <w:rPr>
                <w:rFonts w:ascii="宋体" w:hAnsi="宋体"/>
                <w:bCs/>
                <w:szCs w:val="21"/>
              </w:rPr>
            </w:pPr>
            <w:r>
              <w:rPr>
                <w:rFonts w:hint="eastAsia" w:ascii="宋体" w:hAnsi="宋体"/>
                <w:bCs/>
                <w:szCs w:val="21"/>
              </w:rPr>
              <w:t>安全认证功能</w:t>
            </w:r>
          </w:p>
        </w:tc>
        <w:tc>
          <w:tcPr>
            <w:tcW w:w="1406" w:type="dxa"/>
            <w:vAlign w:val="center"/>
          </w:tcPr>
          <w:p w14:paraId="18A714C7">
            <w:pPr>
              <w:jc w:val="center"/>
            </w:pPr>
          </w:p>
        </w:tc>
        <w:tc>
          <w:tcPr>
            <w:tcW w:w="1756" w:type="dxa"/>
            <w:vAlign w:val="center"/>
          </w:tcPr>
          <w:p w14:paraId="7C16CF22">
            <w:pPr>
              <w:jc w:val="center"/>
            </w:pPr>
          </w:p>
        </w:tc>
        <w:tc>
          <w:tcPr>
            <w:tcW w:w="751" w:type="dxa"/>
            <w:vAlign w:val="center"/>
          </w:tcPr>
          <w:p w14:paraId="230F2F13">
            <w:pPr>
              <w:jc w:val="center"/>
            </w:pPr>
          </w:p>
        </w:tc>
        <w:tc>
          <w:tcPr>
            <w:tcW w:w="0" w:type="auto"/>
            <w:vAlign w:val="center"/>
          </w:tcPr>
          <w:p w14:paraId="0234819D">
            <w:pPr>
              <w:jc w:val="center"/>
            </w:pPr>
          </w:p>
        </w:tc>
        <w:tc>
          <w:tcPr>
            <w:tcW w:w="850" w:type="dxa"/>
            <w:vAlign w:val="center"/>
          </w:tcPr>
          <w:p w14:paraId="15621952">
            <w:pPr>
              <w:jc w:val="center"/>
            </w:pPr>
          </w:p>
        </w:tc>
      </w:tr>
      <w:tr w14:paraId="0E40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263" w:type="dxa"/>
            <w:vAlign w:val="center"/>
          </w:tcPr>
          <w:p w14:paraId="5E7E12D0">
            <w:pPr>
              <w:jc w:val="center"/>
              <w:rPr>
                <w:rFonts w:ascii="宋体" w:hAnsi="宋体"/>
                <w:bCs/>
                <w:szCs w:val="21"/>
              </w:rPr>
            </w:pPr>
            <w:r>
              <w:rPr>
                <w:rFonts w:hint="eastAsia"/>
                <w:color w:val="000000"/>
                <w:szCs w:val="21"/>
              </w:rPr>
              <w:t>AI智能运维功能</w:t>
            </w:r>
          </w:p>
        </w:tc>
        <w:tc>
          <w:tcPr>
            <w:tcW w:w="1406" w:type="dxa"/>
            <w:vAlign w:val="center"/>
          </w:tcPr>
          <w:p w14:paraId="387D24C0">
            <w:pPr>
              <w:jc w:val="center"/>
            </w:pPr>
          </w:p>
        </w:tc>
        <w:tc>
          <w:tcPr>
            <w:tcW w:w="1756" w:type="dxa"/>
            <w:vAlign w:val="center"/>
          </w:tcPr>
          <w:p w14:paraId="0E615B12">
            <w:pPr>
              <w:jc w:val="center"/>
            </w:pPr>
          </w:p>
        </w:tc>
        <w:tc>
          <w:tcPr>
            <w:tcW w:w="751" w:type="dxa"/>
            <w:vAlign w:val="center"/>
          </w:tcPr>
          <w:p w14:paraId="178D59B1">
            <w:pPr>
              <w:jc w:val="center"/>
            </w:pPr>
          </w:p>
        </w:tc>
        <w:tc>
          <w:tcPr>
            <w:tcW w:w="0" w:type="auto"/>
            <w:vAlign w:val="center"/>
          </w:tcPr>
          <w:p w14:paraId="0780AE76">
            <w:pPr>
              <w:jc w:val="center"/>
            </w:pPr>
          </w:p>
        </w:tc>
        <w:tc>
          <w:tcPr>
            <w:tcW w:w="850" w:type="dxa"/>
            <w:vAlign w:val="center"/>
          </w:tcPr>
          <w:p w14:paraId="0E474FC7">
            <w:pPr>
              <w:jc w:val="center"/>
            </w:pPr>
          </w:p>
        </w:tc>
      </w:tr>
      <w:tr w14:paraId="7FC0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263" w:type="dxa"/>
            <w:vAlign w:val="center"/>
          </w:tcPr>
          <w:p w14:paraId="61B91DC4">
            <w:pPr>
              <w:jc w:val="center"/>
              <w:rPr>
                <w:szCs w:val="21"/>
              </w:rPr>
            </w:pPr>
            <w:r>
              <w:rPr>
                <w:rFonts w:hint="eastAsia" w:ascii="宋体" w:hAnsi="宋体"/>
                <w:bCs/>
                <w:szCs w:val="21"/>
              </w:rPr>
              <w:t>无线网络配置、调优及割接等</w:t>
            </w:r>
          </w:p>
        </w:tc>
        <w:tc>
          <w:tcPr>
            <w:tcW w:w="1406" w:type="dxa"/>
            <w:vAlign w:val="center"/>
          </w:tcPr>
          <w:p w14:paraId="75B8ABA3">
            <w:pPr>
              <w:jc w:val="center"/>
            </w:pPr>
          </w:p>
        </w:tc>
        <w:tc>
          <w:tcPr>
            <w:tcW w:w="1756" w:type="dxa"/>
            <w:vAlign w:val="center"/>
          </w:tcPr>
          <w:p w14:paraId="4B087D4E">
            <w:pPr>
              <w:jc w:val="center"/>
            </w:pPr>
          </w:p>
        </w:tc>
        <w:tc>
          <w:tcPr>
            <w:tcW w:w="751" w:type="dxa"/>
            <w:vAlign w:val="center"/>
          </w:tcPr>
          <w:p w14:paraId="45B4DCE5">
            <w:pPr>
              <w:jc w:val="center"/>
            </w:pPr>
          </w:p>
        </w:tc>
        <w:tc>
          <w:tcPr>
            <w:tcW w:w="0" w:type="auto"/>
            <w:vAlign w:val="center"/>
          </w:tcPr>
          <w:p w14:paraId="7EBADF94">
            <w:pPr>
              <w:jc w:val="center"/>
            </w:pPr>
          </w:p>
        </w:tc>
        <w:tc>
          <w:tcPr>
            <w:tcW w:w="850" w:type="dxa"/>
            <w:vAlign w:val="center"/>
          </w:tcPr>
          <w:p w14:paraId="2D2BD163">
            <w:pPr>
              <w:jc w:val="center"/>
            </w:pPr>
          </w:p>
        </w:tc>
      </w:tr>
      <w:tr w14:paraId="787D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2263" w:type="dxa"/>
            <w:vAlign w:val="center"/>
          </w:tcPr>
          <w:p w14:paraId="1F44AC35">
            <w:pPr>
              <w:jc w:val="center"/>
              <w:rPr>
                <w:rFonts w:ascii="宋体" w:hAnsi="宋体"/>
                <w:bCs/>
                <w:szCs w:val="21"/>
              </w:rPr>
            </w:pPr>
            <w:r>
              <w:rPr>
                <w:rFonts w:hint="eastAsia" w:ascii="宋体" w:hAnsi="宋体"/>
                <w:bCs/>
                <w:szCs w:val="21"/>
              </w:rPr>
              <w:t>其它</w:t>
            </w:r>
          </w:p>
        </w:tc>
        <w:tc>
          <w:tcPr>
            <w:tcW w:w="1406" w:type="dxa"/>
            <w:vAlign w:val="center"/>
          </w:tcPr>
          <w:p w14:paraId="1726A10D">
            <w:pPr>
              <w:jc w:val="center"/>
            </w:pPr>
          </w:p>
        </w:tc>
        <w:tc>
          <w:tcPr>
            <w:tcW w:w="1756" w:type="dxa"/>
            <w:vAlign w:val="center"/>
          </w:tcPr>
          <w:p w14:paraId="586A4933">
            <w:pPr>
              <w:jc w:val="center"/>
            </w:pPr>
          </w:p>
        </w:tc>
        <w:tc>
          <w:tcPr>
            <w:tcW w:w="751" w:type="dxa"/>
            <w:vAlign w:val="center"/>
          </w:tcPr>
          <w:p w14:paraId="4A53580C">
            <w:pPr>
              <w:jc w:val="center"/>
            </w:pPr>
          </w:p>
        </w:tc>
        <w:tc>
          <w:tcPr>
            <w:tcW w:w="0" w:type="auto"/>
            <w:vAlign w:val="center"/>
          </w:tcPr>
          <w:p w14:paraId="5CB61B95">
            <w:pPr>
              <w:jc w:val="center"/>
            </w:pPr>
          </w:p>
        </w:tc>
        <w:tc>
          <w:tcPr>
            <w:tcW w:w="850" w:type="dxa"/>
            <w:vAlign w:val="center"/>
          </w:tcPr>
          <w:p w14:paraId="28234674">
            <w:pPr>
              <w:jc w:val="center"/>
            </w:pPr>
          </w:p>
        </w:tc>
      </w:tr>
      <w:tr w14:paraId="1E30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trPr>
        <w:tc>
          <w:tcPr>
            <w:tcW w:w="2263" w:type="dxa"/>
            <w:vAlign w:val="center"/>
          </w:tcPr>
          <w:p w14:paraId="6212AA0D">
            <w:pPr>
              <w:jc w:val="center"/>
            </w:pPr>
            <w:r>
              <w:rPr>
                <w:rFonts w:hint="eastAsia"/>
              </w:rPr>
              <w:t>开发周期/到货期</w:t>
            </w:r>
          </w:p>
        </w:tc>
        <w:tc>
          <w:tcPr>
            <w:tcW w:w="6379" w:type="dxa"/>
            <w:gridSpan w:val="5"/>
            <w:vAlign w:val="center"/>
          </w:tcPr>
          <w:p w14:paraId="65EAD54F">
            <w:pPr>
              <w:ind w:firstLine="630" w:firstLineChars="300"/>
            </w:pPr>
            <w:r>
              <w:rPr>
                <w:rFonts w:hint="eastAsia"/>
                <w:u w:val="single"/>
              </w:rPr>
              <w:t>天（</w:t>
            </w:r>
            <w:r>
              <w:rPr>
                <w:rFonts w:hint="eastAsia"/>
              </w:rPr>
              <w:t>不超过3</w:t>
            </w:r>
            <w:r>
              <w:t>0</w:t>
            </w:r>
            <w:r>
              <w:rPr>
                <w:rFonts w:hint="eastAsia"/>
              </w:rPr>
              <w:t>天）</w:t>
            </w:r>
          </w:p>
        </w:tc>
      </w:tr>
      <w:tr w14:paraId="2A2A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63" w:type="dxa"/>
            <w:vAlign w:val="center"/>
          </w:tcPr>
          <w:p w14:paraId="0737D362">
            <w:pPr>
              <w:jc w:val="center"/>
            </w:pPr>
            <w:r>
              <w:rPr>
                <w:rFonts w:hint="eastAsia"/>
              </w:rPr>
              <w:t>开发</w:t>
            </w:r>
            <w:r>
              <w:t>地点</w:t>
            </w:r>
            <w:r>
              <w:rPr>
                <w:rFonts w:hint="eastAsia"/>
              </w:rPr>
              <w:t>/交货地点</w:t>
            </w:r>
          </w:p>
        </w:tc>
        <w:tc>
          <w:tcPr>
            <w:tcW w:w="6379" w:type="dxa"/>
            <w:gridSpan w:val="5"/>
            <w:vAlign w:val="center"/>
          </w:tcPr>
          <w:p w14:paraId="2A48FE3E">
            <w:r>
              <w:rPr>
                <w:rFonts w:hint="eastAsia"/>
              </w:rPr>
              <w:t>采购人</w:t>
            </w:r>
            <w:r>
              <w:t>指定地点</w:t>
            </w:r>
          </w:p>
        </w:tc>
      </w:tr>
      <w:tr w14:paraId="1D10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63" w:type="dxa"/>
            <w:vAlign w:val="center"/>
          </w:tcPr>
          <w:p w14:paraId="56702818">
            <w:pPr>
              <w:jc w:val="center"/>
            </w:pPr>
            <w:r>
              <w:t>免费</w:t>
            </w:r>
            <w:r>
              <w:rPr>
                <w:rFonts w:hint="eastAsia"/>
              </w:rPr>
              <w:t>包</w:t>
            </w:r>
            <w:r>
              <w:t>修期</w:t>
            </w:r>
          </w:p>
        </w:tc>
        <w:tc>
          <w:tcPr>
            <w:tcW w:w="6379" w:type="dxa"/>
            <w:gridSpan w:val="5"/>
            <w:vAlign w:val="center"/>
          </w:tcPr>
          <w:p w14:paraId="0A97332F">
            <w:pPr>
              <w:ind w:firstLine="630" w:firstLineChars="300"/>
            </w:pPr>
            <w:r>
              <w:rPr>
                <w:rFonts w:hint="eastAsia"/>
                <w:u w:val="single"/>
              </w:rPr>
              <w:t>年（</w:t>
            </w:r>
            <w:r>
              <w:rPr>
                <w:rFonts w:hint="eastAsia"/>
              </w:rPr>
              <w:t>不少于</w:t>
            </w:r>
            <w:r>
              <w:t>3年）</w:t>
            </w:r>
          </w:p>
        </w:tc>
      </w:tr>
      <w:tr w14:paraId="685C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trPr>
        <w:tc>
          <w:tcPr>
            <w:tcW w:w="2263" w:type="dxa"/>
            <w:vAlign w:val="center"/>
          </w:tcPr>
          <w:p w14:paraId="00DB91F0">
            <w:pPr>
              <w:jc w:val="center"/>
            </w:pPr>
            <w:r>
              <w:rPr>
                <w:rFonts w:hint="eastAsia"/>
              </w:rPr>
              <w:t>包</w:t>
            </w:r>
            <w:r>
              <w:t>修期内的服务内容</w:t>
            </w:r>
          </w:p>
        </w:tc>
        <w:tc>
          <w:tcPr>
            <w:tcW w:w="6379" w:type="dxa"/>
            <w:gridSpan w:val="5"/>
            <w:vAlign w:val="center"/>
          </w:tcPr>
          <w:p w14:paraId="4326F79A">
            <w:pPr>
              <w:rPr>
                <w:u w:val="single"/>
              </w:rPr>
            </w:pPr>
            <w:r>
              <w:rPr>
                <w:rFonts w:hint="eastAsia"/>
              </w:rPr>
              <w:t>采购文件</w:t>
            </w:r>
            <w:r>
              <w:t>第五章《</w:t>
            </w:r>
            <w:r>
              <w:rPr>
                <w:rFonts w:hint="eastAsia"/>
              </w:rPr>
              <w:t>（</w:t>
            </w:r>
            <w:r>
              <w:t>技术</w:t>
            </w:r>
            <w:r>
              <w:rPr>
                <w:rFonts w:hint="eastAsia"/>
              </w:rPr>
              <w:t>）需</w:t>
            </w:r>
            <w:r>
              <w:t>求</w:t>
            </w:r>
            <w:r>
              <w:rPr>
                <w:rFonts w:hint="eastAsia"/>
              </w:rPr>
              <w:t>书</w:t>
            </w:r>
            <w:r>
              <w:t>》中所有要求的内容，以及：</w:t>
            </w:r>
          </w:p>
          <w:p w14:paraId="7D9DCD4A"/>
        </w:tc>
      </w:tr>
      <w:tr w14:paraId="3D78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63" w:type="dxa"/>
            <w:vAlign w:val="center"/>
          </w:tcPr>
          <w:p w14:paraId="1510142B">
            <w:pPr>
              <w:jc w:val="center"/>
            </w:pPr>
            <w:r>
              <w:rPr>
                <w:rFonts w:hint="eastAsia"/>
              </w:rPr>
              <w:t>包</w:t>
            </w:r>
            <w:r>
              <w:t>修期满后的服务价格</w:t>
            </w:r>
          </w:p>
        </w:tc>
        <w:tc>
          <w:tcPr>
            <w:tcW w:w="6379" w:type="dxa"/>
            <w:gridSpan w:val="5"/>
            <w:vAlign w:val="center"/>
          </w:tcPr>
          <w:p w14:paraId="33A0F6A5">
            <w:r>
              <w:t>维保价格：元/年（</w:t>
            </w:r>
            <w:r>
              <w:rPr>
                <w:szCs w:val="21"/>
              </w:rPr>
              <w:t>年维保费用不得高于合同价格的5%</w:t>
            </w:r>
            <w:r>
              <w:t>）</w:t>
            </w:r>
          </w:p>
          <w:p w14:paraId="640A78BB">
            <w:r>
              <w:t>包含内容：</w:t>
            </w:r>
            <w:r>
              <w:rPr>
                <w:u w:val="single"/>
              </w:rPr>
              <w:t>按照</w:t>
            </w:r>
            <w:r>
              <w:rPr>
                <w:rFonts w:hint="eastAsia"/>
                <w:u w:val="single"/>
              </w:rPr>
              <w:t>包</w:t>
            </w:r>
            <w:r>
              <w:rPr>
                <w:u w:val="single"/>
              </w:rPr>
              <w:t>修期内的服务内容</w:t>
            </w:r>
          </w:p>
        </w:tc>
      </w:tr>
      <w:tr w14:paraId="5881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263" w:type="dxa"/>
            <w:vAlign w:val="center"/>
          </w:tcPr>
          <w:p w14:paraId="04719EE0">
            <w:pPr>
              <w:jc w:val="center"/>
              <w:rPr>
                <w:u w:val="single"/>
              </w:rPr>
            </w:pPr>
            <w:r>
              <w:t>备注</w:t>
            </w:r>
          </w:p>
        </w:tc>
        <w:tc>
          <w:tcPr>
            <w:tcW w:w="6379" w:type="dxa"/>
            <w:gridSpan w:val="5"/>
            <w:vAlign w:val="center"/>
          </w:tcPr>
          <w:p w14:paraId="7CFFA302"/>
        </w:tc>
      </w:tr>
    </w:tbl>
    <w:p w14:paraId="015BC9FB">
      <w:pPr>
        <w:snapToGrid w:val="0"/>
        <w:spacing w:line="360" w:lineRule="auto"/>
        <w:ind w:firstLine="440"/>
        <w:rPr>
          <w:color w:val="000000" w:themeColor="text1"/>
          <w:szCs w:val="21"/>
        </w:rPr>
      </w:pPr>
      <w:r>
        <w:rPr>
          <w:rFonts w:hint="eastAsia"/>
          <w:color w:val="000000" w:themeColor="text1"/>
        </w:rPr>
        <w:t>注</w:t>
      </w:r>
      <w:r>
        <w:rPr>
          <w:color w:val="000000" w:themeColor="text1"/>
        </w:rPr>
        <w:t>：1.</w:t>
      </w:r>
      <w:r>
        <w:rPr>
          <w:rFonts w:hint="eastAsia"/>
          <w:color w:val="000000" w:themeColor="text1"/>
          <w:szCs w:val="21"/>
        </w:rPr>
        <w:t>供应商</w:t>
      </w:r>
      <w:r>
        <w:rPr>
          <w:color w:val="000000" w:themeColor="text1"/>
          <w:szCs w:val="21"/>
        </w:rPr>
        <w:t>须按照</w:t>
      </w:r>
      <w:r>
        <w:rPr>
          <w:rFonts w:hint="eastAsia"/>
          <w:color w:val="000000" w:themeColor="text1"/>
          <w:szCs w:val="21"/>
        </w:rPr>
        <w:t>竞争性谈判文件</w:t>
      </w:r>
      <w:r>
        <w:rPr>
          <w:color w:val="000000" w:themeColor="text1"/>
          <w:szCs w:val="21"/>
        </w:rPr>
        <w:t>要求，提供货到用户指定现场（到楼层）并提供全部服务的含税</w:t>
      </w:r>
      <w:r>
        <w:rPr>
          <w:rFonts w:hint="eastAsia"/>
          <w:color w:val="000000" w:themeColor="text1"/>
          <w:szCs w:val="21"/>
        </w:rPr>
        <w:t>价。</w:t>
      </w:r>
    </w:p>
    <w:p w14:paraId="62A7F3F9">
      <w:pPr>
        <w:snapToGrid w:val="0"/>
        <w:spacing w:line="360" w:lineRule="auto"/>
        <w:ind w:firstLine="440"/>
        <w:rPr>
          <w:color w:val="000000" w:themeColor="text1"/>
          <w:szCs w:val="21"/>
        </w:rPr>
      </w:pPr>
      <w:r>
        <w:rPr>
          <w:rFonts w:hint="eastAsia"/>
          <w:color w:val="000000" w:themeColor="text1"/>
          <w:szCs w:val="21"/>
        </w:rPr>
        <w:t>2.报价时请仔细阅读竞争性谈判文件《竞争性谈判须知》中关于报价的要求。</w:t>
      </w:r>
    </w:p>
    <w:p w14:paraId="77EE8ADC">
      <w:pPr>
        <w:snapToGrid w:val="0"/>
        <w:spacing w:after="240" w:line="360" w:lineRule="auto"/>
        <w:ind w:firstLine="440"/>
        <w:rPr>
          <w:color w:val="000000" w:themeColor="text1"/>
          <w:szCs w:val="21"/>
        </w:rPr>
      </w:pPr>
      <w:r>
        <w:rPr>
          <w:rFonts w:hint="eastAsia"/>
          <w:color w:val="000000" w:themeColor="text1"/>
          <w:szCs w:val="21"/>
        </w:rPr>
        <w:t>3.供应商应按照竞争性谈判文件中要求提供的服务内容报价。未在表中明确列出的服务项，采购人将视作供应商免费提供。</w:t>
      </w:r>
    </w:p>
    <w:p w14:paraId="68897C88">
      <w:pPr>
        <w:spacing w:line="360" w:lineRule="auto"/>
        <w:jc w:val="right"/>
        <w:rPr>
          <w:rFonts w:ascii="宋体" w:hAnsi="宋体"/>
          <w:szCs w:val="21"/>
        </w:rPr>
      </w:pPr>
      <w:r>
        <w:rPr>
          <w:rFonts w:hint="eastAsia" w:ascii="宋体" w:hAnsi="宋体"/>
          <w:szCs w:val="21"/>
        </w:rPr>
        <w:t>供应商：（盖单位公章）</w:t>
      </w:r>
    </w:p>
    <w:p w14:paraId="43170F5F">
      <w:pPr>
        <w:spacing w:line="360" w:lineRule="auto"/>
        <w:jc w:val="right"/>
        <w:rPr>
          <w:rFonts w:ascii="宋体" w:hAnsi="宋体"/>
          <w:szCs w:val="21"/>
        </w:rPr>
      </w:pPr>
      <w:r>
        <w:rPr>
          <w:rFonts w:hint="eastAsia" w:ascii="宋体" w:hAnsi="宋体"/>
          <w:szCs w:val="21"/>
        </w:rPr>
        <w:t>法定代表人或其委托代理人：（签字）</w:t>
      </w:r>
    </w:p>
    <w:p w14:paraId="79174141">
      <w:pPr>
        <w:spacing w:line="360" w:lineRule="auto"/>
        <w:jc w:val="right"/>
        <w:rPr>
          <w:u w:val="single"/>
        </w:rPr>
      </w:pPr>
      <w:r>
        <w:rPr>
          <w:rFonts w:hint="eastAsia" w:ascii="宋体" w:hAnsi="宋体"/>
          <w:szCs w:val="21"/>
        </w:rPr>
        <w:t>年月日</w:t>
      </w:r>
    </w:p>
    <w:p w14:paraId="2A3AADBA">
      <w:pPr>
        <w:pStyle w:val="4"/>
        <w:spacing w:before="240" w:after="240"/>
        <w:ind w:firstLine="480"/>
      </w:pPr>
      <w:r>
        <w:rPr>
          <w:rFonts w:hint="eastAsia"/>
        </w:rPr>
        <w:br w:type="page"/>
      </w:r>
      <w:bookmarkStart w:id="68" w:name="_Toc6737"/>
    </w:p>
    <w:p w14:paraId="114FE622">
      <w:pPr>
        <w:snapToGrid w:val="0"/>
        <w:spacing w:beforeLines="100" w:afterLines="100"/>
        <w:ind w:right="210" w:rightChars="100"/>
        <w:outlineLvl w:val="3"/>
        <w:rPr>
          <w:rFonts w:ascii="黑体" w:eastAsia="黑体"/>
          <w:b/>
        </w:rPr>
      </w:pPr>
      <w:r>
        <w:rPr>
          <w:rFonts w:ascii="黑体" w:eastAsia="黑体"/>
          <w:b/>
        </w:rPr>
        <w:t xml:space="preserve">3-1 </w:t>
      </w:r>
      <w:r>
        <w:rPr>
          <w:rFonts w:hint="eastAsia" w:ascii="黑体" w:eastAsia="黑体"/>
          <w:b/>
        </w:rPr>
        <w:t>分项报价表</w:t>
      </w:r>
    </w:p>
    <w:p w14:paraId="3D6CD0A9">
      <w:pPr>
        <w:spacing w:line="360" w:lineRule="auto"/>
        <w:rPr>
          <w:rFonts w:ascii="Segoe UI Symbol" w:hAnsi="Segoe UI Symbol" w:cs="Segoe UI Symbol"/>
          <w:b/>
          <w:color w:val="000000"/>
        </w:rPr>
      </w:pPr>
      <w:r>
        <w:rPr>
          <w:color w:val="000000" w:themeColor="text1"/>
        </w:rPr>
        <w:t>项目名称：</w:t>
      </w:r>
      <w:r>
        <w:rPr>
          <w:rFonts w:hint="eastAsia"/>
          <w:color w:val="000000" w:themeColor="text1"/>
        </w:rPr>
        <w:t>园区1号楼无线网络优化项目</w:t>
      </w:r>
    </w:p>
    <w:tbl>
      <w:tblPr>
        <w:tblStyle w:val="53"/>
        <w:tblW w:w="9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524"/>
        <w:gridCol w:w="1985"/>
        <w:gridCol w:w="1701"/>
        <w:gridCol w:w="1134"/>
        <w:gridCol w:w="992"/>
        <w:gridCol w:w="992"/>
        <w:gridCol w:w="1134"/>
      </w:tblGrid>
      <w:tr w14:paraId="4B0C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4039FB74">
            <w:pPr>
              <w:spacing w:line="360" w:lineRule="auto"/>
              <w:jc w:val="center"/>
              <w:rPr>
                <w:b/>
                <w:color w:val="000000"/>
              </w:rPr>
            </w:pPr>
            <w:r>
              <w:rPr>
                <w:rFonts w:hint="eastAsia"/>
                <w:b/>
                <w:color w:val="000000"/>
              </w:rPr>
              <w:t>序号</w:t>
            </w:r>
          </w:p>
        </w:tc>
        <w:tc>
          <w:tcPr>
            <w:tcW w:w="1524" w:type="dxa"/>
            <w:vAlign w:val="center"/>
          </w:tcPr>
          <w:p w14:paraId="0D2A3803">
            <w:pPr>
              <w:spacing w:line="360" w:lineRule="auto"/>
              <w:jc w:val="center"/>
              <w:rPr>
                <w:b/>
                <w:color w:val="000000"/>
              </w:rPr>
            </w:pPr>
            <w:r>
              <w:rPr>
                <w:rFonts w:hint="eastAsia"/>
                <w:b/>
                <w:color w:val="000000"/>
              </w:rPr>
              <w:t>类别</w:t>
            </w:r>
          </w:p>
        </w:tc>
        <w:tc>
          <w:tcPr>
            <w:tcW w:w="1985" w:type="dxa"/>
            <w:vAlign w:val="center"/>
          </w:tcPr>
          <w:p w14:paraId="5A0CA1DA">
            <w:pPr>
              <w:spacing w:line="360" w:lineRule="auto"/>
              <w:jc w:val="center"/>
              <w:rPr>
                <w:b/>
                <w:color w:val="000000"/>
              </w:rPr>
            </w:pPr>
            <w:r>
              <w:rPr>
                <w:rFonts w:hint="eastAsia"/>
                <w:b/>
                <w:color w:val="000000"/>
              </w:rPr>
              <w:t>主要部件型号</w:t>
            </w:r>
          </w:p>
          <w:p w14:paraId="42A3C99A">
            <w:pPr>
              <w:spacing w:line="360" w:lineRule="auto"/>
              <w:jc w:val="center"/>
              <w:rPr>
                <w:b/>
                <w:color w:val="000000"/>
              </w:rPr>
            </w:pPr>
            <w:r>
              <w:rPr>
                <w:rFonts w:hint="eastAsia"/>
                <w:b/>
                <w:color w:val="000000"/>
              </w:rPr>
              <w:t>（定货号）</w:t>
            </w:r>
          </w:p>
        </w:tc>
        <w:tc>
          <w:tcPr>
            <w:tcW w:w="1701" w:type="dxa"/>
            <w:vAlign w:val="center"/>
          </w:tcPr>
          <w:p w14:paraId="24067E47">
            <w:pPr>
              <w:spacing w:line="360" w:lineRule="auto"/>
              <w:jc w:val="center"/>
              <w:rPr>
                <w:b/>
                <w:color w:val="000000"/>
              </w:rPr>
            </w:pPr>
            <w:r>
              <w:rPr>
                <w:rFonts w:hint="eastAsia"/>
                <w:b/>
                <w:color w:val="000000"/>
              </w:rPr>
              <w:t>功能的中文说明</w:t>
            </w:r>
          </w:p>
        </w:tc>
        <w:tc>
          <w:tcPr>
            <w:tcW w:w="1134" w:type="dxa"/>
            <w:vAlign w:val="center"/>
          </w:tcPr>
          <w:p w14:paraId="6440E6E7">
            <w:pPr>
              <w:spacing w:line="360" w:lineRule="auto"/>
              <w:jc w:val="center"/>
              <w:rPr>
                <w:b/>
                <w:color w:val="000000"/>
              </w:rPr>
            </w:pPr>
            <w:r>
              <w:rPr>
                <w:rFonts w:hint="eastAsia"/>
                <w:b/>
                <w:color w:val="000000"/>
              </w:rPr>
              <w:t>制造商</w:t>
            </w:r>
            <w:r>
              <w:rPr>
                <w:b/>
                <w:color w:val="000000"/>
              </w:rPr>
              <w:t xml:space="preserve"> / </w:t>
            </w:r>
            <w:r>
              <w:rPr>
                <w:rFonts w:hint="eastAsia"/>
                <w:b/>
                <w:color w:val="000000"/>
              </w:rPr>
              <w:t>品牌</w:t>
            </w:r>
          </w:p>
        </w:tc>
        <w:tc>
          <w:tcPr>
            <w:tcW w:w="992" w:type="dxa"/>
            <w:vAlign w:val="center"/>
          </w:tcPr>
          <w:p w14:paraId="439D7571">
            <w:pPr>
              <w:spacing w:line="360" w:lineRule="auto"/>
              <w:jc w:val="center"/>
              <w:rPr>
                <w:b/>
                <w:color w:val="000000"/>
              </w:rPr>
            </w:pPr>
            <w:r>
              <w:rPr>
                <w:rFonts w:hint="eastAsia"/>
                <w:b/>
                <w:color w:val="000000"/>
              </w:rPr>
              <w:t>含税单价</w:t>
            </w:r>
            <w:r>
              <w:rPr>
                <w:b/>
                <w:color w:val="000000"/>
              </w:rPr>
              <w:t>(</w:t>
            </w:r>
            <w:r>
              <w:rPr>
                <w:rFonts w:hint="eastAsia"/>
                <w:b/>
                <w:color w:val="000000"/>
              </w:rPr>
              <w:t>元</w:t>
            </w:r>
            <w:r>
              <w:rPr>
                <w:b/>
                <w:color w:val="000000"/>
              </w:rPr>
              <w:t>)</w:t>
            </w:r>
          </w:p>
        </w:tc>
        <w:tc>
          <w:tcPr>
            <w:tcW w:w="992" w:type="dxa"/>
            <w:vAlign w:val="center"/>
          </w:tcPr>
          <w:p w14:paraId="42A91B6A">
            <w:pPr>
              <w:spacing w:line="360" w:lineRule="auto"/>
              <w:jc w:val="center"/>
              <w:rPr>
                <w:b/>
                <w:color w:val="000000"/>
              </w:rPr>
            </w:pPr>
            <w:r>
              <w:rPr>
                <w:rFonts w:hint="eastAsia"/>
                <w:b/>
                <w:color w:val="000000"/>
              </w:rPr>
              <w:t>数量</w:t>
            </w:r>
          </w:p>
        </w:tc>
        <w:tc>
          <w:tcPr>
            <w:tcW w:w="1134" w:type="dxa"/>
          </w:tcPr>
          <w:p w14:paraId="391702F6">
            <w:pPr>
              <w:spacing w:line="360" w:lineRule="auto"/>
              <w:jc w:val="center"/>
              <w:rPr>
                <w:b/>
                <w:color w:val="000000"/>
              </w:rPr>
            </w:pPr>
            <w:r>
              <w:rPr>
                <w:rFonts w:hint="eastAsia"/>
                <w:b/>
                <w:color w:val="000000"/>
              </w:rPr>
              <w:t>含税小计</w:t>
            </w:r>
          </w:p>
          <w:p w14:paraId="2313D65F">
            <w:pPr>
              <w:spacing w:line="360" w:lineRule="auto"/>
              <w:jc w:val="center"/>
              <w:rPr>
                <w:b/>
                <w:color w:val="000000"/>
              </w:rPr>
            </w:pPr>
            <w:r>
              <w:rPr>
                <w:b/>
                <w:color w:val="000000"/>
              </w:rPr>
              <w:t>(</w:t>
            </w:r>
            <w:r>
              <w:rPr>
                <w:rFonts w:hint="eastAsia"/>
                <w:b/>
                <w:color w:val="000000"/>
              </w:rPr>
              <w:t>元</w:t>
            </w:r>
            <w:r>
              <w:rPr>
                <w:b/>
                <w:color w:val="000000"/>
              </w:rPr>
              <w:t>)</w:t>
            </w:r>
          </w:p>
        </w:tc>
      </w:tr>
      <w:tr w14:paraId="0721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13F092A1">
            <w:pPr>
              <w:spacing w:line="360" w:lineRule="auto"/>
              <w:jc w:val="center"/>
              <w:rPr>
                <w:color w:val="000000"/>
                <w:szCs w:val="21"/>
              </w:rPr>
            </w:pPr>
            <w:r>
              <w:rPr>
                <w:rFonts w:hint="eastAsia"/>
                <w:color w:val="000000"/>
                <w:szCs w:val="21"/>
              </w:rPr>
              <w:t>1</w:t>
            </w:r>
          </w:p>
        </w:tc>
        <w:tc>
          <w:tcPr>
            <w:tcW w:w="1524" w:type="dxa"/>
            <w:vAlign w:val="center"/>
          </w:tcPr>
          <w:p w14:paraId="10C24D9B">
            <w:pPr>
              <w:spacing w:line="360" w:lineRule="auto"/>
              <w:jc w:val="center"/>
              <w:rPr>
                <w:color w:val="000000"/>
                <w:szCs w:val="21"/>
              </w:rPr>
            </w:pPr>
          </w:p>
        </w:tc>
        <w:tc>
          <w:tcPr>
            <w:tcW w:w="1985" w:type="dxa"/>
          </w:tcPr>
          <w:p w14:paraId="2BDA6B15">
            <w:pPr>
              <w:spacing w:line="360" w:lineRule="auto"/>
              <w:jc w:val="center"/>
              <w:rPr>
                <w:rFonts w:ascii="宋体" w:hAnsi="宋体"/>
                <w:color w:val="000000"/>
                <w:sz w:val="18"/>
                <w:szCs w:val="18"/>
              </w:rPr>
            </w:pPr>
          </w:p>
        </w:tc>
        <w:tc>
          <w:tcPr>
            <w:tcW w:w="1701" w:type="dxa"/>
          </w:tcPr>
          <w:p w14:paraId="78F661AC">
            <w:pPr>
              <w:spacing w:line="360" w:lineRule="auto"/>
              <w:rPr>
                <w:b/>
                <w:color w:val="000000"/>
                <w:szCs w:val="21"/>
              </w:rPr>
            </w:pPr>
          </w:p>
        </w:tc>
        <w:tc>
          <w:tcPr>
            <w:tcW w:w="1134" w:type="dxa"/>
            <w:vAlign w:val="center"/>
          </w:tcPr>
          <w:p w14:paraId="7CB2124E">
            <w:pPr>
              <w:spacing w:line="360" w:lineRule="auto"/>
              <w:rPr>
                <w:color w:val="000000"/>
              </w:rPr>
            </w:pPr>
          </w:p>
        </w:tc>
        <w:tc>
          <w:tcPr>
            <w:tcW w:w="992" w:type="dxa"/>
          </w:tcPr>
          <w:p w14:paraId="3E3231DC">
            <w:pPr>
              <w:spacing w:line="360" w:lineRule="auto"/>
              <w:jc w:val="right"/>
              <w:rPr>
                <w:color w:val="000000"/>
              </w:rPr>
            </w:pPr>
          </w:p>
        </w:tc>
        <w:tc>
          <w:tcPr>
            <w:tcW w:w="992" w:type="dxa"/>
            <w:vAlign w:val="center"/>
          </w:tcPr>
          <w:p w14:paraId="6B3D5CF9">
            <w:pPr>
              <w:spacing w:line="360" w:lineRule="auto"/>
              <w:jc w:val="right"/>
              <w:rPr>
                <w:color w:val="000000"/>
              </w:rPr>
            </w:pPr>
          </w:p>
        </w:tc>
        <w:tc>
          <w:tcPr>
            <w:tcW w:w="1134" w:type="dxa"/>
          </w:tcPr>
          <w:p w14:paraId="1E6D65A1">
            <w:pPr>
              <w:spacing w:line="360" w:lineRule="auto"/>
              <w:jc w:val="right"/>
              <w:rPr>
                <w:color w:val="000000"/>
              </w:rPr>
            </w:pPr>
          </w:p>
        </w:tc>
      </w:tr>
      <w:tr w14:paraId="154A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24C35A2B">
            <w:pPr>
              <w:spacing w:line="360" w:lineRule="auto"/>
              <w:jc w:val="center"/>
              <w:rPr>
                <w:color w:val="000000"/>
                <w:szCs w:val="21"/>
              </w:rPr>
            </w:pPr>
            <w:r>
              <w:rPr>
                <w:rFonts w:hint="eastAsia"/>
                <w:color w:val="000000"/>
                <w:szCs w:val="21"/>
              </w:rPr>
              <w:t>2</w:t>
            </w:r>
          </w:p>
        </w:tc>
        <w:tc>
          <w:tcPr>
            <w:tcW w:w="1524" w:type="dxa"/>
            <w:vAlign w:val="center"/>
          </w:tcPr>
          <w:p w14:paraId="13AEE88F">
            <w:pPr>
              <w:spacing w:line="360" w:lineRule="auto"/>
              <w:jc w:val="center"/>
              <w:rPr>
                <w:color w:val="000000"/>
                <w:szCs w:val="21"/>
              </w:rPr>
            </w:pPr>
          </w:p>
        </w:tc>
        <w:tc>
          <w:tcPr>
            <w:tcW w:w="1985" w:type="dxa"/>
          </w:tcPr>
          <w:p w14:paraId="008CA82F">
            <w:pPr>
              <w:spacing w:line="360" w:lineRule="auto"/>
              <w:jc w:val="center"/>
              <w:rPr>
                <w:rFonts w:ascii="宋体" w:hAnsi="宋体"/>
                <w:color w:val="000000"/>
                <w:sz w:val="18"/>
                <w:szCs w:val="18"/>
              </w:rPr>
            </w:pPr>
          </w:p>
        </w:tc>
        <w:tc>
          <w:tcPr>
            <w:tcW w:w="1701" w:type="dxa"/>
          </w:tcPr>
          <w:p w14:paraId="44971892">
            <w:pPr>
              <w:spacing w:line="360" w:lineRule="auto"/>
              <w:rPr>
                <w:color w:val="000000"/>
                <w:szCs w:val="21"/>
              </w:rPr>
            </w:pPr>
          </w:p>
        </w:tc>
        <w:tc>
          <w:tcPr>
            <w:tcW w:w="1134" w:type="dxa"/>
            <w:vAlign w:val="center"/>
          </w:tcPr>
          <w:p w14:paraId="438F4543">
            <w:pPr>
              <w:spacing w:line="360" w:lineRule="auto"/>
              <w:rPr>
                <w:color w:val="000000"/>
              </w:rPr>
            </w:pPr>
          </w:p>
        </w:tc>
        <w:tc>
          <w:tcPr>
            <w:tcW w:w="992" w:type="dxa"/>
          </w:tcPr>
          <w:p w14:paraId="6649A56F">
            <w:pPr>
              <w:spacing w:line="360" w:lineRule="auto"/>
              <w:jc w:val="right"/>
              <w:rPr>
                <w:color w:val="000000"/>
              </w:rPr>
            </w:pPr>
          </w:p>
        </w:tc>
        <w:tc>
          <w:tcPr>
            <w:tcW w:w="992" w:type="dxa"/>
            <w:vAlign w:val="center"/>
          </w:tcPr>
          <w:p w14:paraId="19AD9A7F">
            <w:pPr>
              <w:spacing w:line="360" w:lineRule="auto"/>
              <w:jc w:val="right"/>
              <w:rPr>
                <w:color w:val="000000"/>
              </w:rPr>
            </w:pPr>
          </w:p>
        </w:tc>
        <w:tc>
          <w:tcPr>
            <w:tcW w:w="1134" w:type="dxa"/>
          </w:tcPr>
          <w:p w14:paraId="6A4DD060">
            <w:pPr>
              <w:spacing w:line="360" w:lineRule="auto"/>
              <w:jc w:val="right"/>
              <w:rPr>
                <w:color w:val="000000"/>
              </w:rPr>
            </w:pPr>
          </w:p>
        </w:tc>
      </w:tr>
      <w:tr w14:paraId="26B9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74BC00FD">
            <w:pPr>
              <w:spacing w:line="360" w:lineRule="auto"/>
              <w:jc w:val="center"/>
              <w:rPr>
                <w:bCs/>
                <w:szCs w:val="21"/>
              </w:rPr>
            </w:pPr>
            <w:r>
              <w:rPr>
                <w:rFonts w:hint="eastAsia"/>
                <w:bCs/>
                <w:szCs w:val="21"/>
              </w:rPr>
              <w:t>3</w:t>
            </w:r>
          </w:p>
        </w:tc>
        <w:tc>
          <w:tcPr>
            <w:tcW w:w="1524" w:type="dxa"/>
            <w:vAlign w:val="center"/>
          </w:tcPr>
          <w:p w14:paraId="795E5BEB">
            <w:pPr>
              <w:spacing w:line="360" w:lineRule="auto"/>
              <w:jc w:val="center"/>
              <w:rPr>
                <w:bCs/>
                <w:szCs w:val="21"/>
              </w:rPr>
            </w:pPr>
          </w:p>
        </w:tc>
        <w:tc>
          <w:tcPr>
            <w:tcW w:w="1985" w:type="dxa"/>
            <w:vAlign w:val="center"/>
          </w:tcPr>
          <w:p w14:paraId="42FCF20B">
            <w:pPr>
              <w:spacing w:line="360" w:lineRule="auto"/>
              <w:jc w:val="center"/>
              <w:rPr>
                <w:rFonts w:ascii="宋体" w:hAnsi="宋体"/>
                <w:bCs/>
                <w:color w:val="000000"/>
                <w:sz w:val="18"/>
                <w:szCs w:val="18"/>
              </w:rPr>
            </w:pPr>
          </w:p>
        </w:tc>
        <w:tc>
          <w:tcPr>
            <w:tcW w:w="1701" w:type="dxa"/>
          </w:tcPr>
          <w:p w14:paraId="6C65BB91">
            <w:pPr>
              <w:spacing w:line="360" w:lineRule="auto"/>
              <w:rPr>
                <w:color w:val="000000"/>
                <w:szCs w:val="21"/>
              </w:rPr>
            </w:pPr>
          </w:p>
        </w:tc>
        <w:tc>
          <w:tcPr>
            <w:tcW w:w="1134" w:type="dxa"/>
            <w:vAlign w:val="center"/>
          </w:tcPr>
          <w:p w14:paraId="0EF40C6B">
            <w:pPr>
              <w:spacing w:line="360" w:lineRule="auto"/>
              <w:rPr>
                <w:color w:val="000000"/>
              </w:rPr>
            </w:pPr>
          </w:p>
        </w:tc>
        <w:tc>
          <w:tcPr>
            <w:tcW w:w="992" w:type="dxa"/>
          </w:tcPr>
          <w:p w14:paraId="5711C16B">
            <w:pPr>
              <w:spacing w:line="360" w:lineRule="auto"/>
              <w:jc w:val="right"/>
              <w:rPr>
                <w:color w:val="000000"/>
              </w:rPr>
            </w:pPr>
          </w:p>
        </w:tc>
        <w:tc>
          <w:tcPr>
            <w:tcW w:w="992" w:type="dxa"/>
            <w:vAlign w:val="center"/>
          </w:tcPr>
          <w:p w14:paraId="4F0542CC">
            <w:pPr>
              <w:spacing w:line="360" w:lineRule="auto"/>
              <w:jc w:val="right"/>
              <w:rPr>
                <w:color w:val="000000"/>
              </w:rPr>
            </w:pPr>
          </w:p>
        </w:tc>
        <w:tc>
          <w:tcPr>
            <w:tcW w:w="1134" w:type="dxa"/>
          </w:tcPr>
          <w:p w14:paraId="737BD7A2">
            <w:pPr>
              <w:spacing w:line="360" w:lineRule="auto"/>
              <w:jc w:val="right"/>
              <w:rPr>
                <w:color w:val="000000"/>
              </w:rPr>
            </w:pPr>
          </w:p>
        </w:tc>
      </w:tr>
      <w:tr w14:paraId="71C2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72FD13A3">
            <w:pPr>
              <w:spacing w:line="360" w:lineRule="auto"/>
              <w:jc w:val="center"/>
              <w:rPr>
                <w:bCs/>
                <w:szCs w:val="21"/>
              </w:rPr>
            </w:pPr>
            <w:r>
              <w:rPr>
                <w:rFonts w:hint="eastAsia"/>
                <w:bCs/>
                <w:szCs w:val="21"/>
              </w:rPr>
              <w:t>4</w:t>
            </w:r>
          </w:p>
        </w:tc>
        <w:tc>
          <w:tcPr>
            <w:tcW w:w="1524" w:type="dxa"/>
            <w:vAlign w:val="center"/>
          </w:tcPr>
          <w:p w14:paraId="7030EF3A">
            <w:pPr>
              <w:spacing w:line="360" w:lineRule="auto"/>
              <w:jc w:val="center"/>
              <w:rPr>
                <w:bCs/>
                <w:szCs w:val="21"/>
              </w:rPr>
            </w:pPr>
          </w:p>
        </w:tc>
        <w:tc>
          <w:tcPr>
            <w:tcW w:w="1985" w:type="dxa"/>
            <w:vAlign w:val="center"/>
          </w:tcPr>
          <w:p w14:paraId="745A3DF4">
            <w:pPr>
              <w:spacing w:line="360" w:lineRule="auto"/>
              <w:jc w:val="center"/>
              <w:rPr>
                <w:rFonts w:ascii="宋体" w:hAnsi="宋体"/>
                <w:bCs/>
                <w:color w:val="000000"/>
                <w:sz w:val="18"/>
                <w:szCs w:val="18"/>
              </w:rPr>
            </w:pPr>
          </w:p>
        </w:tc>
        <w:tc>
          <w:tcPr>
            <w:tcW w:w="1701" w:type="dxa"/>
          </w:tcPr>
          <w:p w14:paraId="315DEFE4">
            <w:pPr>
              <w:spacing w:line="360" w:lineRule="auto"/>
              <w:rPr>
                <w:color w:val="000000"/>
                <w:szCs w:val="21"/>
              </w:rPr>
            </w:pPr>
          </w:p>
        </w:tc>
        <w:tc>
          <w:tcPr>
            <w:tcW w:w="1134" w:type="dxa"/>
            <w:vAlign w:val="center"/>
          </w:tcPr>
          <w:p w14:paraId="12291567">
            <w:pPr>
              <w:spacing w:line="360" w:lineRule="auto"/>
              <w:rPr>
                <w:color w:val="000000"/>
              </w:rPr>
            </w:pPr>
          </w:p>
        </w:tc>
        <w:tc>
          <w:tcPr>
            <w:tcW w:w="992" w:type="dxa"/>
          </w:tcPr>
          <w:p w14:paraId="3D40EB48">
            <w:pPr>
              <w:spacing w:line="360" w:lineRule="auto"/>
              <w:jc w:val="right"/>
              <w:rPr>
                <w:color w:val="000000"/>
              </w:rPr>
            </w:pPr>
          </w:p>
        </w:tc>
        <w:tc>
          <w:tcPr>
            <w:tcW w:w="992" w:type="dxa"/>
            <w:vAlign w:val="center"/>
          </w:tcPr>
          <w:p w14:paraId="5C5C7ED7">
            <w:pPr>
              <w:spacing w:line="360" w:lineRule="auto"/>
              <w:jc w:val="right"/>
              <w:rPr>
                <w:color w:val="000000"/>
              </w:rPr>
            </w:pPr>
          </w:p>
        </w:tc>
        <w:tc>
          <w:tcPr>
            <w:tcW w:w="1134" w:type="dxa"/>
          </w:tcPr>
          <w:p w14:paraId="41BAFF9E">
            <w:pPr>
              <w:spacing w:line="360" w:lineRule="auto"/>
              <w:jc w:val="right"/>
              <w:rPr>
                <w:color w:val="000000"/>
              </w:rPr>
            </w:pPr>
          </w:p>
        </w:tc>
      </w:tr>
      <w:tr w14:paraId="3228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04744E4F">
            <w:pPr>
              <w:spacing w:line="360" w:lineRule="auto"/>
              <w:jc w:val="center"/>
              <w:rPr>
                <w:color w:val="000000"/>
                <w:szCs w:val="21"/>
              </w:rPr>
            </w:pPr>
            <w:r>
              <w:rPr>
                <w:color w:val="000000"/>
                <w:szCs w:val="21"/>
              </w:rPr>
              <w:t>5</w:t>
            </w:r>
          </w:p>
        </w:tc>
        <w:tc>
          <w:tcPr>
            <w:tcW w:w="1524" w:type="dxa"/>
            <w:vAlign w:val="center"/>
          </w:tcPr>
          <w:p w14:paraId="5544946F">
            <w:pPr>
              <w:spacing w:line="360" w:lineRule="auto"/>
              <w:jc w:val="center"/>
              <w:rPr>
                <w:color w:val="000000"/>
                <w:szCs w:val="21"/>
              </w:rPr>
            </w:pPr>
          </w:p>
        </w:tc>
        <w:tc>
          <w:tcPr>
            <w:tcW w:w="1985" w:type="dxa"/>
            <w:vAlign w:val="center"/>
          </w:tcPr>
          <w:p w14:paraId="7319C224">
            <w:pPr>
              <w:spacing w:line="360" w:lineRule="auto"/>
              <w:jc w:val="center"/>
              <w:rPr>
                <w:rFonts w:ascii="宋体" w:hAnsi="宋体"/>
                <w:bCs/>
                <w:color w:val="000000"/>
                <w:sz w:val="18"/>
                <w:szCs w:val="18"/>
              </w:rPr>
            </w:pPr>
          </w:p>
        </w:tc>
        <w:tc>
          <w:tcPr>
            <w:tcW w:w="1701" w:type="dxa"/>
          </w:tcPr>
          <w:p w14:paraId="51486795">
            <w:pPr>
              <w:spacing w:line="360" w:lineRule="auto"/>
              <w:rPr>
                <w:color w:val="000000"/>
                <w:szCs w:val="21"/>
              </w:rPr>
            </w:pPr>
          </w:p>
        </w:tc>
        <w:tc>
          <w:tcPr>
            <w:tcW w:w="1134" w:type="dxa"/>
            <w:vAlign w:val="center"/>
          </w:tcPr>
          <w:p w14:paraId="505000E5">
            <w:pPr>
              <w:spacing w:line="360" w:lineRule="auto"/>
              <w:rPr>
                <w:color w:val="000000"/>
              </w:rPr>
            </w:pPr>
          </w:p>
        </w:tc>
        <w:tc>
          <w:tcPr>
            <w:tcW w:w="992" w:type="dxa"/>
          </w:tcPr>
          <w:p w14:paraId="0D38F3F8">
            <w:pPr>
              <w:spacing w:line="360" w:lineRule="auto"/>
              <w:jc w:val="right"/>
              <w:rPr>
                <w:color w:val="000000"/>
              </w:rPr>
            </w:pPr>
          </w:p>
        </w:tc>
        <w:tc>
          <w:tcPr>
            <w:tcW w:w="992" w:type="dxa"/>
            <w:vAlign w:val="center"/>
          </w:tcPr>
          <w:p w14:paraId="6B016A32">
            <w:pPr>
              <w:spacing w:line="360" w:lineRule="auto"/>
              <w:jc w:val="right"/>
              <w:rPr>
                <w:color w:val="000000"/>
              </w:rPr>
            </w:pPr>
          </w:p>
        </w:tc>
        <w:tc>
          <w:tcPr>
            <w:tcW w:w="1134" w:type="dxa"/>
          </w:tcPr>
          <w:p w14:paraId="4DAA1059">
            <w:pPr>
              <w:spacing w:line="360" w:lineRule="auto"/>
              <w:jc w:val="right"/>
              <w:rPr>
                <w:color w:val="000000"/>
              </w:rPr>
            </w:pPr>
          </w:p>
        </w:tc>
      </w:tr>
      <w:tr w14:paraId="7291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6E3C2CED">
            <w:pPr>
              <w:spacing w:line="360" w:lineRule="auto"/>
              <w:jc w:val="center"/>
              <w:rPr>
                <w:color w:val="000000"/>
                <w:szCs w:val="21"/>
              </w:rPr>
            </w:pPr>
            <w:r>
              <w:rPr>
                <w:color w:val="000000"/>
                <w:szCs w:val="21"/>
              </w:rPr>
              <w:t>6</w:t>
            </w:r>
          </w:p>
        </w:tc>
        <w:tc>
          <w:tcPr>
            <w:tcW w:w="1524" w:type="dxa"/>
            <w:vAlign w:val="center"/>
          </w:tcPr>
          <w:p w14:paraId="1C78591B">
            <w:pPr>
              <w:spacing w:line="360" w:lineRule="auto"/>
              <w:jc w:val="center"/>
              <w:rPr>
                <w:color w:val="000000"/>
                <w:szCs w:val="21"/>
              </w:rPr>
            </w:pPr>
          </w:p>
        </w:tc>
        <w:tc>
          <w:tcPr>
            <w:tcW w:w="1985" w:type="dxa"/>
            <w:vAlign w:val="center"/>
          </w:tcPr>
          <w:p w14:paraId="3A2E2CE5">
            <w:pPr>
              <w:spacing w:line="360" w:lineRule="auto"/>
              <w:jc w:val="center"/>
              <w:rPr>
                <w:rFonts w:ascii="宋体" w:hAnsi="宋体"/>
                <w:bCs/>
                <w:color w:val="000000"/>
                <w:sz w:val="18"/>
                <w:szCs w:val="18"/>
              </w:rPr>
            </w:pPr>
          </w:p>
        </w:tc>
        <w:tc>
          <w:tcPr>
            <w:tcW w:w="1701" w:type="dxa"/>
          </w:tcPr>
          <w:p w14:paraId="6C3818D8">
            <w:pPr>
              <w:spacing w:line="360" w:lineRule="auto"/>
              <w:rPr>
                <w:color w:val="000000"/>
                <w:szCs w:val="21"/>
              </w:rPr>
            </w:pPr>
          </w:p>
        </w:tc>
        <w:tc>
          <w:tcPr>
            <w:tcW w:w="1134" w:type="dxa"/>
            <w:vAlign w:val="center"/>
          </w:tcPr>
          <w:p w14:paraId="04EECC1A">
            <w:pPr>
              <w:spacing w:line="360" w:lineRule="auto"/>
              <w:rPr>
                <w:color w:val="000000"/>
              </w:rPr>
            </w:pPr>
          </w:p>
        </w:tc>
        <w:tc>
          <w:tcPr>
            <w:tcW w:w="992" w:type="dxa"/>
          </w:tcPr>
          <w:p w14:paraId="60B37DD2">
            <w:pPr>
              <w:spacing w:line="360" w:lineRule="auto"/>
              <w:jc w:val="right"/>
              <w:rPr>
                <w:color w:val="000000"/>
              </w:rPr>
            </w:pPr>
          </w:p>
        </w:tc>
        <w:tc>
          <w:tcPr>
            <w:tcW w:w="992" w:type="dxa"/>
            <w:vAlign w:val="center"/>
          </w:tcPr>
          <w:p w14:paraId="7D5E1E52">
            <w:pPr>
              <w:spacing w:line="360" w:lineRule="auto"/>
              <w:jc w:val="right"/>
              <w:rPr>
                <w:color w:val="000000"/>
              </w:rPr>
            </w:pPr>
          </w:p>
        </w:tc>
        <w:tc>
          <w:tcPr>
            <w:tcW w:w="1134" w:type="dxa"/>
          </w:tcPr>
          <w:p w14:paraId="39C42CCA">
            <w:pPr>
              <w:spacing w:line="360" w:lineRule="auto"/>
              <w:jc w:val="right"/>
              <w:rPr>
                <w:color w:val="000000"/>
              </w:rPr>
            </w:pPr>
          </w:p>
        </w:tc>
      </w:tr>
      <w:tr w14:paraId="345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3F932121">
            <w:pPr>
              <w:spacing w:line="360" w:lineRule="auto"/>
              <w:jc w:val="center"/>
              <w:rPr>
                <w:color w:val="000000"/>
                <w:szCs w:val="21"/>
              </w:rPr>
            </w:pPr>
            <w:r>
              <w:rPr>
                <w:color w:val="000000"/>
                <w:szCs w:val="21"/>
              </w:rPr>
              <w:t>7</w:t>
            </w:r>
          </w:p>
        </w:tc>
        <w:tc>
          <w:tcPr>
            <w:tcW w:w="1524" w:type="dxa"/>
            <w:vAlign w:val="center"/>
          </w:tcPr>
          <w:p w14:paraId="75016362">
            <w:pPr>
              <w:spacing w:line="360" w:lineRule="auto"/>
              <w:jc w:val="center"/>
              <w:rPr>
                <w:rFonts w:ascii="宋体" w:hAnsi="宋体"/>
                <w:bCs/>
                <w:color w:val="000000"/>
                <w:sz w:val="18"/>
                <w:szCs w:val="18"/>
              </w:rPr>
            </w:pPr>
          </w:p>
        </w:tc>
        <w:tc>
          <w:tcPr>
            <w:tcW w:w="1985" w:type="dxa"/>
            <w:vAlign w:val="center"/>
          </w:tcPr>
          <w:p w14:paraId="155971C8">
            <w:pPr>
              <w:spacing w:line="360" w:lineRule="auto"/>
              <w:jc w:val="center"/>
              <w:rPr>
                <w:rFonts w:ascii="宋体" w:hAnsi="宋体"/>
                <w:bCs/>
                <w:color w:val="000000"/>
                <w:sz w:val="18"/>
                <w:szCs w:val="18"/>
              </w:rPr>
            </w:pPr>
          </w:p>
        </w:tc>
        <w:tc>
          <w:tcPr>
            <w:tcW w:w="1701" w:type="dxa"/>
          </w:tcPr>
          <w:p w14:paraId="74002C29">
            <w:pPr>
              <w:spacing w:line="360" w:lineRule="auto"/>
              <w:rPr>
                <w:color w:val="000000"/>
                <w:szCs w:val="21"/>
              </w:rPr>
            </w:pPr>
          </w:p>
        </w:tc>
        <w:tc>
          <w:tcPr>
            <w:tcW w:w="1134" w:type="dxa"/>
            <w:vAlign w:val="center"/>
          </w:tcPr>
          <w:p w14:paraId="7D68A566">
            <w:pPr>
              <w:spacing w:line="360" w:lineRule="auto"/>
              <w:rPr>
                <w:color w:val="000000"/>
              </w:rPr>
            </w:pPr>
          </w:p>
        </w:tc>
        <w:tc>
          <w:tcPr>
            <w:tcW w:w="992" w:type="dxa"/>
          </w:tcPr>
          <w:p w14:paraId="52E37AB9">
            <w:pPr>
              <w:spacing w:line="360" w:lineRule="auto"/>
              <w:jc w:val="right"/>
              <w:rPr>
                <w:color w:val="000000"/>
              </w:rPr>
            </w:pPr>
          </w:p>
        </w:tc>
        <w:tc>
          <w:tcPr>
            <w:tcW w:w="992" w:type="dxa"/>
            <w:vAlign w:val="center"/>
          </w:tcPr>
          <w:p w14:paraId="0ABE820A">
            <w:pPr>
              <w:spacing w:line="360" w:lineRule="auto"/>
              <w:jc w:val="right"/>
              <w:rPr>
                <w:color w:val="000000"/>
              </w:rPr>
            </w:pPr>
          </w:p>
        </w:tc>
        <w:tc>
          <w:tcPr>
            <w:tcW w:w="1134" w:type="dxa"/>
          </w:tcPr>
          <w:p w14:paraId="5944C981">
            <w:pPr>
              <w:spacing w:line="360" w:lineRule="auto"/>
              <w:jc w:val="right"/>
              <w:rPr>
                <w:color w:val="000000"/>
              </w:rPr>
            </w:pPr>
          </w:p>
        </w:tc>
      </w:tr>
      <w:tr w14:paraId="652E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315EE6E0">
            <w:pPr>
              <w:spacing w:line="360" w:lineRule="auto"/>
              <w:jc w:val="center"/>
              <w:rPr>
                <w:color w:val="000000"/>
                <w:szCs w:val="21"/>
              </w:rPr>
            </w:pPr>
            <w:r>
              <w:rPr>
                <w:color w:val="000000"/>
                <w:szCs w:val="21"/>
              </w:rPr>
              <w:t>8</w:t>
            </w:r>
          </w:p>
        </w:tc>
        <w:tc>
          <w:tcPr>
            <w:tcW w:w="1524" w:type="dxa"/>
            <w:vAlign w:val="center"/>
          </w:tcPr>
          <w:p w14:paraId="4ECDDF4C">
            <w:pPr>
              <w:spacing w:line="360" w:lineRule="auto"/>
              <w:jc w:val="center"/>
              <w:rPr>
                <w:rFonts w:ascii="宋体" w:hAnsi="宋体"/>
                <w:bCs/>
                <w:color w:val="000000"/>
                <w:sz w:val="18"/>
                <w:szCs w:val="18"/>
              </w:rPr>
            </w:pPr>
          </w:p>
        </w:tc>
        <w:tc>
          <w:tcPr>
            <w:tcW w:w="1985" w:type="dxa"/>
            <w:vAlign w:val="center"/>
          </w:tcPr>
          <w:p w14:paraId="3418F8A7">
            <w:pPr>
              <w:spacing w:line="360" w:lineRule="auto"/>
              <w:jc w:val="center"/>
              <w:rPr>
                <w:rFonts w:ascii="宋体" w:hAnsi="宋体"/>
                <w:bCs/>
                <w:color w:val="000000"/>
                <w:sz w:val="18"/>
                <w:szCs w:val="18"/>
              </w:rPr>
            </w:pPr>
          </w:p>
        </w:tc>
        <w:tc>
          <w:tcPr>
            <w:tcW w:w="1701" w:type="dxa"/>
          </w:tcPr>
          <w:p w14:paraId="61591E6F">
            <w:pPr>
              <w:spacing w:line="360" w:lineRule="auto"/>
              <w:rPr>
                <w:color w:val="000000"/>
                <w:szCs w:val="21"/>
              </w:rPr>
            </w:pPr>
          </w:p>
        </w:tc>
        <w:tc>
          <w:tcPr>
            <w:tcW w:w="1134" w:type="dxa"/>
            <w:vAlign w:val="center"/>
          </w:tcPr>
          <w:p w14:paraId="46487CE4">
            <w:pPr>
              <w:spacing w:line="360" w:lineRule="auto"/>
              <w:rPr>
                <w:color w:val="000000"/>
              </w:rPr>
            </w:pPr>
          </w:p>
        </w:tc>
        <w:tc>
          <w:tcPr>
            <w:tcW w:w="992" w:type="dxa"/>
          </w:tcPr>
          <w:p w14:paraId="467E1447">
            <w:pPr>
              <w:spacing w:line="360" w:lineRule="auto"/>
              <w:jc w:val="right"/>
              <w:rPr>
                <w:color w:val="000000"/>
              </w:rPr>
            </w:pPr>
          </w:p>
        </w:tc>
        <w:tc>
          <w:tcPr>
            <w:tcW w:w="992" w:type="dxa"/>
            <w:vAlign w:val="center"/>
          </w:tcPr>
          <w:p w14:paraId="7972943E">
            <w:pPr>
              <w:spacing w:line="360" w:lineRule="auto"/>
              <w:jc w:val="right"/>
              <w:rPr>
                <w:color w:val="000000"/>
              </w:rPr>
            </w:pPr>
          </w:p>
        </w:tc>
        <w:tc>
          <w:tcPr>
            <w:tcW w:w="1134" w:type="dxa"/>
          </w:tcPr>
          <w:p w14:paraId="35A4F698">
            <w:pPr>
              <w:spacing w:line="360" w:lineRule="auto"/>
              <w:jc w:val="right"/>
              <w:rPr>
                <w:color w:val="000000"/>
              </w:rPr>
            </w:pPr>
          </w:p>
        </w:tc>
      </w:tr>
      <w:tr w14:paraId="04B3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30" w:type="dxa"/>
            <w:vAlign w:val="center"/>
          </w:tcPr>
          <w:p w14:paraId="5F20E33D">
            <w:pPr>
              <w:spacing w:line="360" w:lineRule="auto"/>
              <w:jc w:val="center"/>
              <w:rPr>
                <w:color w:val="000000"/>
                <w:szCs w:val="21"/>
              </w:rPr>
            </w:pPr>
            <w:r>
              <w:rPr>
                <w:color w:val="000000"/>
                <w:szCs w:val="21"/>
              </w:rPr>
              <w:t>9</w:t>
            </w:r>
          </w:p>
        </w:tc>
        <w:tc>
          <w:tcPr>
            <w:tcW w:w="1524" w:type="dxa"/>
            <w:vAlign w:val="center"/>
          </w:tcPr>
          <w:p w14:paraId="014C0122">
            <w:pPr>
              <w:spacing w:line="360" w:lineRule="auto"/>
              <w:jc w:val="center"/>
              <w:rPr>
                <w:rFonts w:ascii="宋体" w:hAnsi="宋体"/>
                <w:bCs/>
                <w:color w:val="000000"/>
                <w:sz w:val="18"/>
                <w:szCs w:val="18"/>
              </w:rPr>
            </w:pPr>
          </w:p>
        </w:tc>
        <w:tc>
          <w:tcPr>
            <w:tcW w:w="1985" w:type="dxa"/>
            <w:vAlign w:val="center"/>
          </w:tcPr>
          <w:p w14:paraId="4BB34ED9">
            <w:pPr>
              <w:spacing w:line="360" w:lineRule="auto"/>
              <w:jc w:val="center"/>
              <w:rPr>
                <w:rFonts w:ascii="宋体" w:hAnsi="宋体"/>
                <w:bCs/>
                <w:color w:val="000000"/>
                <w:sz w:val="18"/>
                <w:szCs w:val="18"/>
              </w:rPr>
            </w:pPr>
          </w:p>
        </w:tc>
        <w:tc>
          <w:tcPr>
            <w:tcW w:w="1701" w:type="dxa"/>
          </w:tcPr>
          <w:p w14:paraId="405C8E91">
            <w:pPr>
              <w:spacing w:line="360" w:lineRule="auto"/>
              <w:rPr>
                <w:color w:val="000000"/>
                <w:szCs w:val="21"/>
              </w:rPr>
            </w:pPr>
          </w:p>
        </w:tc>
        <w:tc>
          <w:tcPr>
            <w:tcW w:w="1134" w:type="dxa"/>
            <w:vAlign w:val="center"/>
          </w:tcPr>
          <w:p w14:paraId="22A5BA12">
            <w:pPr>
              <w:spacing w:line="360" w:lineRule="auto"/>
              <w:rPr>
                <w:color w:val="000000"/>
              </w:rPr>
            </w:pPr>
          </w:p>
        </w:tc>
        <w:tc>
          <w:tcPr>
            <w:tcW w:w="992" w:type="dxa"/>
          </w:tcPr>
          <w:p w14:paraId="17FD8AB0">
            <w:pPr>
              <w:spacing w:line="360" w:lineRule="auto"/>
              <w:jc w:val="right"/>
              <w:rPr>
                <w:color w:val="000000"/>
              </w:rPr>
            </w:pPr>
          </w:p>
        </w:tc>
        <w:tc>
          <w:tcPr>
            <w:tcW w:w="992" w:type="dxa"/>
            <w:vAlign w:val="center"/>
          </w:tcPr>
          <w:p w14:paraId="026699C8">
            <w:pPr>
              <w:spacing w:line="360" w:lineRule="auto"/>
              <w:jc w:val="right"/>
              <w:rPr>
                <w:color w:val="000000"/>
              </w:rPr>
            </w:pPr>
          </w:p>
        </w:tc>
        <w:tc>
          <w:tcPr>
            <w:tcW w:w="1134" w:type="dxa"/>
          </w:tcPr>
          <w:p w14:paraId="54E363B7">
            <w:pPr>
              <w:spacing w:line="360" w:lineRule="auto"/>
              <w:jc w:val="right"/>
              <w:rPr>
                <w:color w:val="000000"/>
              </w:rPr>
            </w:pPr>
          </w:p>
        </w:tc>
      </w:tr>
      <w:tr w14:paraId="1FEA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039" w:type="dxa"/>
            <w:gridSpan w:val="3"/>
          </w:tcPr>
          <w:p w14:paraId="4CD58D75">
            <w:pPr>
              <w:spacing w:line="360" w:lineRule="auto"/>
              <w:rPr>
                <w:color w:val="000000"/>
              </w:rPr>
            </w:pPr>
            <w:r>
              <w:rPr>
                <w:color w:val="000000"/>
              </w:rPr>
              <w:t>货物总价（单位：人民币）</w:t>
            </w:r>
          </w:p>
          <w:p w14:paraId="611A92E2">
            <w:pPr>
              <w:spacing w:line="360" w:lineRule="auto"/>
              <w:rPr>
                <w:color w:val="000000"/>
              </w:rPr>
            </w:pPr>
            <w:r>
              <w:rPr>
                <w:color w:val="000000"/>
              </w:rPr>
              <w:t>本总价必须与附件2：开标一览表中相同货物的投标</w:t>
            </w:r>
            <w:r>
              <w:rPr>
                <w:rFonts w:hint="eastAsia"/>
                <w:color w:val="000000"/>
              </w:rPr>
              <w:t>总价</w:t>
            </w:r>
            <w:r>
              <w:rPr>
                <w:color w:val="000000"/>
              </w:rPr>
              <w:t>相一致。</w:t>
            </w:r>
          </w:p>
        </w:tc>
        <w:tc>
          <w:tcPr>
            <w:tcW w:w="5953" w:type="dxa"/>
            <w:gridSpan w:val="5"/>
          </w:tcPr>
          <w:p w14:paraId="7E16EF66">
            <w:pPr>
              <w:widowControl/>
              <w:jc w:val="left"/>
              <w:rPr>
                <w:color w:val="000000"/>
              </w:rPr>
            </w:pPr>
          </w:p>
          <w:p w14:paraId="53F3CDEA">
            <w:pPr>
              <w:spacing w:line="360" w:lineRule="auto"/>
              <w:jc w:val="right"/>
              <w:rPr>
                <w:color w:val="000000"/>
              </w:rPr>
            </w:pPr>
          </w:p>
        </w:tc>
      </w:tr>
    </w:tbl>
    <w:p w14:paraId="054E8340">
      <w:pPr>
        <w:snapToGrid w:val="0"/>
        <w:spacing w:line="360" w:lineRule="auto"/>
        <w:ind w:firstLine="440"/>
        <w:rPr>
          <w:color w:val="000000" w:themeColor="text1"/>
        </w:rPr>
      </w:pPr>
      <w:r>
        <w:rPr>
          <w:rFonts w:hint="eastAsia"/>
          <w:color w:val="000000" w:themeColor="text1"/>
        </w:rPr>
        <w:t>注：</w:t>
      </w:r>
      <w:r>
        <w:rPr>
          <w:color w:val="000000" w:themeColor="text1"/>
        </w:rPr>
        <w:t xml:space="preserve">1. </w:t>
      </w:r>
      <w:r>
        <w:rPr>
          <w:rFonts w:hint="eastAsia"/>
          <w:color w:val="000000" w:themeColor="text1"/>
        </w:rPr>
        <w:t>报价表中的每种货物及</w:t>
      </w:r>
      <w:r>
        <w:rPr>
          <w:color w:val="000000" w:themeColor="text1"/>
        </w:rPr>
        <w:t>/</w:t>
      </w:r>
      <w:r>
        <w:rPr>
          <w:rFonts w:hint="eastAsia"/>
          <w:color w:val="000000" w:themeColor="text1"/>
        </w:rPr>
        <w:t>或服务均单独列表，货物须按照主要部件进行报价（如有</w:t>
      </w:r>
      <w:r>
        <w:rPr>
          <w:color w:val="000000" w:themeColor="text1"/>
        </w:rPr>
        <w:t>License</w:t>
      </w:r>
      <w:r>
        <w:rPr>
          <w:rFonts w:hint="eastAsia"/>
          <w:color w:val="000000" w:themeColor="text1"/>
        </w:rPr>
        <w:t>许可费用须单独列出）；服务须按照人力资源配置计划进行报价。</w:t>
      </w:r>
    </w:p>
    <w:p w14:paraId="7A2922C7">
      <w:pPr>
        <w:snapToGrid w:val="0"/>
        <w:spacing w:line="360" w:lineRule="auto"/>
        <w:ind w:firstLine="440"/>
        <w:rPr>
          <w:color w:val="000000" w:themeColor="text1"/>
        </w:rPr>
      </w:pPr>
      <w:r>
        <w:rPr>
          <w:color w:val="000000" w:themeColor="text1"/>
        </w:rPr>
        <w:t xml:space="preserve">2. </w:t>
      </w:r>
      <w:r>
        <w:rPr>
          <w:rFonts w:hint="eastAsia"/>
          <w:color w:val="000000" w:themeColor="text1"/>
        </w:rPr>
        <w:t>供应商须按照谈判文件要求，提供货到用户指定现场（到楼层）并提供全部服务的含税价。</w:t>
      </w:r>
    </w:p>
    <w:p w14:paraId="7922227D">
      <w:pPr>
        <w:snapToGrid w:val="0"/>
        <w:spacing w:beforeLines="100" w:afterLines="100"/>
        <w:ind w:left="210" w:leftChars="100" w:right="210" w:rightChars="100" w:firstLine="420" w:firstLineChars="200"/>
        <w:rPr>
          <w:rFonts w:ascii="宋体" w:hAnsi="宋体"/>
          <w:color w:val="000000" w:themeColor="text1"/>
          <w:szCs w:val="21"/>
        </w:rPr>
      </w:pPr>
      <w:r>
        <w:rPr>
          <w:rFonts w:hint="eastAsia" w:ascii="宋体" w:hAnsi="宋体"/>
          <w:color w:val="000000" w:themeColor="text1"/>
          <w:szCs w:val="21"/>
        </w:rPr>
        <w:t>供应商</w:t>
      </w:r>
      <w:r>
        <w:rPr>
          <w:rFonts w:ascii="宋体" w:hAnsi="宋体"/>
          <w:color w:val="000000" w:themeColor="text1"/>
          <w:szCs w:val="21"/>
        </w:rPr>
        <w:t>名称（公章）：</w:t>
      </w:r>
    </w:p>
    <w:p w14:paraId="2CD83003">
      <w:pPr>
        <w:snapToGrid w:val="0"/>
        <w:spacing w:beforeLines="100" w:afterLines="100"/>
        <w:ind w:left="210" w:leftChars="100" w:right="210" w:rightChars="100" w:firstLine="420" w:firstLineChars="200"/>
        <w:rPr>
          <w:rFonts w:ascii="宋体" w:hAnsi="宋体"/>
          <w:color w:val="000000" w:themeColor="text1"/>
          <w:szCs w:val="21"/>
          <w:u w:val="single"/>
        </w:rPr>
      </w:pPr>
      <w:r>
        <w:rPr>
          <w:rFonts w:hint="eastAsia" w:ascii="宋体" w:hAnsi="宋体"/>
          <w:color w:val="000000" w:themeColor="text1"/>
          <w:szCs w:val="21"/>
        </w:rPr>
        <w:t>供应商</w:t>
      </w:r>
      <w:r>
        <w:rPr>
          <w:rFonts w:ascii="宋体" w:hAnsi="宋体"/>
          <w:color w:val="000000" w:themeColor="text1"/>
          <w:szCs w:val="21"/>
        </w:rPr>
        <w:t>代表签字</w:t>
      </w:r>
      <w:r>
        <w:rPr>
          <w:rFonts w:ascii="宋体" w:hAnsi="宋体"/>
          <w:color w:val="000000" w:themeColor="text1"/>
          <w:szCs w:val="21"/>
          <w:u w:val="single"/>
        </w:rPr>
        <w:t>：</w:t>
      </w:r>
    </w:p>
    <w:p w14:paraId="3F177FFF">
      <w:pPr>
        <w:ind w:firstLine="630" w:firstLineChars="300"/>
      </w:pPr>
      <w:r>
        <w:rPr>
          <w:rFonts w:hint="eastAsia"/>
          <w:color w:val="000000" w:themeColor="text1"/>
        </w:rPr>
        <w:t>日期：</w:t>
      </w:r>
    </w:p>
    <w:p w14:paraId="51F9B910">
      <w:pPr>
        <w:snapToGrid w:val="0"/>
        <w:spacing w:beforeLines="100" w:afterLines="100"/>
        <w:ind w:left="210" w:leftChars="100" w:right="210" w:rightChars="100" w:firstLine="420" w:firstLineChars="200"/>
      </w:pPr>
    </w:p>
    <w:p w14:paraId="682F02AF">
      <w:pPr>
        <w:snapToGrid w:val="0"/>
        <w:spacing w:beforeLines="100" w:afterLines="100"/>
        <w:ind w:left="210" w:leftChars="100" w:right="210" w:rightChars="100" w:firstLine="420" w:firstLineChars="200"/>
        <w:sectPr>
          <w:pgSz w:w="12240" w:h="15840"/>
          <w:pgMar w:top="1440" w:right="1800" w:bottom="1440" w:left="1800" w:header="720" w:footer="720" w:gutter="0"/>
          <w:cols w:space="720" w:num="1"/>
        </w:sectPr>
      </w:pPr>
    </w:p>
    <w:p w14:paraId="0553E301">
      <w:pPr>
        <w:pStyle w:val="4"/>
        <w:spacing w:before="240" w:after="240"/>
        <w:ind w:firstLine="480"/>
        <w:rPr>
          <w:u w:val="single"/>
        </w:rPr>
      </w:pPr>
      <w:r>
        <w:rPr>
          <w:rStyle w:val="116"/>
          <w:rFonts w:hint="eastAsia" w:hAnsi="宋体"/>
          <w:b w:val="0"/>
          <w:bCs w:val="0"/>
          <w:sz w:val="24"/>
          <w:szCs w:val="24"/>
        </w:rPr>
        <w:t>附件</w:t>
      </w:r>
      <w:r>
        <w:rPr>
          <w:rStyle w:val="116"/>
          <w:rFonts w:hAnsi="宋体"/>
          <w:b w:val="0"/>
          <w:bCs w:val="0"/>
          <w:sz w:val="24"/>
          <w:szCs w:val="24"/>
        </w:rPr>
        <w:t>4</w:t>
      </w:r>
      <w:r>
        <w:rPr>
          <w:rStyle w:val="116"/>
          <w:rFonts w:hint="eastAsia" w:hAnsi="宋体"/>
          <w:b w:val="0"/>
          <w:bCs w:val="0"/>
          <w:sz w:val="24"/>
          <w:szCs w:val="24"/>
        </w:rPr>
        <w:t>：商务条款偏离表</w:t>
      </w:r>
      <w:bookmarkEnd w:id="68"/>
    </w:p>
    <w:p w14:paraId="23373162">
      <w:pPr>
        <w:snapToGrid w:val="0"/>
        <w:spacing w:beforeLines="100" w:afterLines="100"/>
        <w:ind w:left="210" w:leftChars="100" w:right="210" w:rightChars="100" w:firstLine="420" w:firstLineChars="200"/>
        <w:rPr>
          <w:rFonts w:ascii="宋体" w:hAnsi="宋体"/>
          <w:color w:val="000000" w:themeColor="text1"/>
          <w:szCs w:val="21"/>
          <w:u w:val="single"/>
        </w:rPr>
      </w:pPr>
      <w:r>
        <w:rPr>
          <w:rFonts w:hint="eastAsia" w:ascii="宋体" w:hAnsi="宋体"/>
          <w:color w:val="000000" w:themeColor="text1"/>
          <w:szCs w:val="21"/>
        </w:rPr>
        <w:t>供应商名称：</w:t>
      </w:r>
    </w:p>
    <w:tbl>
      <w:tblPr>
        <w:tblStyle w:val="5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845"/>
        <w:gridCol w:w="2307"/>
        <w:gridCol w:w="2082"/>
        <w:gridCol w:w="1632"/>
      </w:tblGrid>
      <w:tr w14:paraId="791E8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7" w:type="pct"/>
            <w:tcBorders>
              <w:top w:val="single" w:color="auto" w:sz="12" w:space="0"/>
            </w:tcBorders>
          </w:tcPr>
          <w:p w14:paraId="038CBBF2">
            <w:pPr>
              <w:snapToGrid w:val="0"/>
              <w:spacing w:beforeLines="100" w:afterLines="100"/>
              <w:ind w:right="210" w:rightChars="100"/>
              <w:jc w:val="center"/>
              <w:rPr>
                <w:rFonts w:ascii="宋体" w:hAnsi="宋体"/>
                <w:color w:val="000000" w:themeColor="text1"/>
                <w:szCs w:val="21"/>
              </w:rPr>
            </w:pPr>
            <w:r>
              <w:rPr>
                <w:rFonts w:hint="eastAsia" w:ascii="宋体" w:hAnsi="宋体"/>
                <w:color w:val="000000" w:themeColor="text1"/>
                <w:szCs w:val="21"/>
              </w:rPr>
              <w:t>序号</w:t>
            </w:r>
          </w:p>
        </w:tc>
        <w:tc>
          <w:tcPr>
            <w:tcW w:w="1042" w:type="pct"/>
            <w:tcBorders>
              <w:top w:val="single" w:color="auto" w:sz="12" w:space="0"/>
            </w:tcBorders>
          </w:tcPr>
          <w:p w14:paraId="5F1D4576">
            <w:pPr>
              <w:snapToGrid w:val="0"/>
              <w:spacing w:beforeLines="100" w:afterLines="100"/>
              <w:ind w:left="210" w:leftChars="100" w:right="210" w:rightChars="100"/>
              <w:jc w:val="center"/>
              <w:rPr>
                <w:rFonts w:ascii="宋体" w:hAnsi="宋体"/>
                <w:color w:val="000000" w:themeColor="text1"/>
                <w:szCs w:val="21"/>
              </w:rPr>
            </w:pPr>
            <w:r>
              <w:rPr>
                <w:rFonts w:hint="eastAsia" w:ascii="宋体" w:hAnsi="宋体"/>
                <w:color w:val="000000" w:themeColor="text1"/>
                <w:szCs w:val="21"/>
              </w:rPr>
              <w:t>竞争性谈判文件条目号</w:t>
            </w:r>
          </w:p>
        </w:tc>
        <w:tc>
          <w:tcPr>
            <w:tcW w:w="1303" w:type="pct"/>
            <w:tcBorders>
              <w:top w:val="single" w:color="auto" w:sz="12" w:space="0"/>
            </w:tcBorders>
          </w:tcPr>
          <w:p w14:paraId="7B112E51">
            <w:pPr>
              <w:snapToGrid w:val="0"/>
              <w:spacing w:beforeLines="100" w:afterLines="100"/>
              <w:ind w:left="210" w:leftChars="100" w:right="210" w:rightChars="100"/>
              <w:jc w:val="center"/>
              <w:rPr>
                <w:rFonts w:ascii="宋体" w:hAnsi="宋体"/>
                <w:color w:val="000000" w:themeColor="text1"/>
                <w:szCs w:val="21"/>
              </w:rPr>
            </w:pPr>
            <w:r>
              <w:rPr>
                <w:rFonts w:hint="eastAsia" w:ascii="宋体" w:hAnsi="宋体"/>
                <w:color w:val="000000" w:themeColor="text1"/>
                <w:szCs w:val="21"/>
              </w:rPr>
              <w:t>竞争性谈判文件的商务条款</w:t>
            </w:r>
          </w:p>
        </w:tc>
        <w:tc>
          <w:tcPr>
            <w:tcW w:w="1176" w:type="pct"/>
            <w:tcBorders>
              <w:top w:val="single" w:color="auto" w:sz="12" w:space="0"/>
            </w:tcBorders>
          </w:tcPr>
          <w:p w14:paraId="4E0DE2FA">
            <w:pPr>
              <w:snapToGrid w:val="0"/>
              <w:spacing w:beforeLines="100" w:afterLines="100"/>
              <w:ind w:left="210" w:leftChars="100" w:right="210" w:rightChars="100"/>
              <w:jc w:val="center"/>
              <w:rPr>
                <w:rFonts w:ascii="宋体" w:hAnsi="宋体"/>
                <w:color w:val="000000" w:themeColor="text1"/>
                <w:szCs w:val="21"/>
              </w:rPr>
            </w:pPr>
            <w:r>
              <w:rPr>
                <w:rFonts w:hint="eastAsia" w:ascii="宋体" w:hAnsi="宋体"/>
                <w:color w:val="000000" w:themeColor="text1"/>
                <w:szCs w:val="21"/>
              </w:rPr>
              <w:t>响应文件的商务条款</w:t>
            </w:r>
          </w:p>
        </w:tc>
        <w:tc>
          <w:tcPr>
            <w:tcW w:w="923" w:type="pct"/>
            <w:tcBorders>
              <w:top w:val="single" w:color="auto" w:sz="12" w:space="0"/>
            </w:tcBorders>
          </w:tcPr>
          <w:p w14:paraId="430F4836">
            <w:pPr>
              <w:snapToGrid w:val="0"/>
              <w:spacing w:beforeLines="100" w:afterLines="100"/>
              <w:ind w:left="210" w:leftChars="100" w:right="210" w:rightChars="100"/>
              <w:jc w:val="center"/>
              <w:rPr>
                <w:rFonts w:ascii="宋体" w:hAnsi="宋体"/>
                <w:color w:val="000000" w:themeColor="text1"/>
                <w:szCs w:val="21"/>
              </w:rPr>
            </w:pPr>
            <w:r>
              <w:rPr>
                <w:rFonts w:hint="eastAsia" w:ascii="宋体" w:hAnsi="宋体"/>
                <w:color w:val="000000" w:themeColor="text1"/>
                <w:szCs w:val="21"/>
              </w:rPr>
              <w:t>说明</w:t>
            </w:r>
          </w:p>
        </w:tc>
      </w:tr>
      <w:tr w14:paraId="0768C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7" w:type="pct"/>
          </w:tcPr>
          <w:p w14:paraId="48746B6B">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042" w:type="pct"/>
          </w:tcPr>
          <w:p w14:paraId="3DD76325">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303" w:type="pct"/>
          </w:tcPr>
          <w:p w14:paraId="4DEDEC40">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176" w:type="pct"/>
          </w:tcPr>
          <w:p w14:paraId="7C951005">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923" w:type="pct"/>
          </w:tcPr>
          <w:p w14:paraId="7CED7EFD">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27096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7" w:type="pct"/>
          </w:tcPr>
          <w:p w14:paraId="0ECB4FCB">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042" w:type="pct"/>
          </w:tcPr>
          <w:p w14:paraId="097B6F52">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303" w:type="pct"/>
          </w:tcPr>
          <w:p w14:paraId="0B8DAEE2">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176" w:type="pct"/>
          </w:tcPr>
          <w:p w14:paraId="031100E3">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923" w:type="pct"/>
          </w:tcPr>
          <w:p w14:paraId="3EFE9DFE">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5C19F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7" w:type="pct"/>
          </w:tcPr>
          <w:p w14:paraId="22A22A72">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042" w:type="pct"/>
          </w:tcPr>
          <w:p w14:paraId="19049D12">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303" w:type="pct"/>
          </w:tcPr>
          <w:p w14:paraId="15C7DE5F">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176" w:type="pct"/>
          </w:tcPr>
          <w:p w14:paraId="08DBD212">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923" w:type="pct"/>
          </w:tcPr>
          <w:p w14:paraId="5F326B20">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012B9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7" w:type="pct"/>
          </w:tcPr>
          <w:p w14:paraId="6A69C7C5">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042" w:type="pct"/>
          </w:tcPr>
          <w:p w14:paraId="1FD191D3">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303" w:type="pct"/>
          </w:tcPr>
          <w:p w14:paraId="5346A048">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176" w:type="pct"/>
          </w:tcPr>
          <w:p w14:paraId="191E3E28">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923" w:type="pct"/>
          </w:tcPr>
          <w:p w14:paraId="46E82565">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24914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7" w:type="pct"/>
          </w:tcPr>
          <w:p w14:paraId="06A8E881">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042" w:type="pct"/>
          </w:tcPr>
          <w:p w14:paraId="1DF3F36F">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303" w:type="pct"/>
          </w:tcPr>
          <w:p w14:paraId="43729A3D">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176" w:type="pct"/>
          </w:tcPr>
          <w:p w14:paraId="7787001B">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923" w:type="pct"/>
          </w:tcPr>
          <w:p w14:paraId="209B1987">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bl>
    <w:p w14:paraId="09ABA214">
      <w:pPr>
        <w:snapToGrid w:val="0"/>
        <w:spacing w:beforeLines="100" w:afterLines="100"/>
        <w:ind w:left="210" w:leftChars="100" w:right="210" w:rightChars="100" w:firstLine="420" w:firstLineChars="200"/>
        <w:rPr>
          <w:rFonts w:ascii="宋体" w:hAnsi="宋体"/>
          <w:color w:val="000000" w:themeColor="text1"/>
          <w:szCs w:val="21"/>
          <w:u w:val="single"/>
        </w:rPr>
      </w:pPr>
      <w:r>
        <w:rPr>
          <w:rFonts w:hint="eastAsia" w:ascii="宋体" w:hAnsi="宋体"/>
          <w:color w:val="000000" w:themeColor="text1"/>
          <w:szCs w:val="21"/>
        </w:rPr>
        <w:t>供应商名称（公章）：</w:t>
      </w:r>
    </w:p>
    <w:p w14:paraId="52597B3B">
      <w:pPr>
        <w:snapToGrid w:val="0"/>
        <w:spacing w:beforeLines="100" w:afterLines="100"/>
        <w:ind w:left="210" w:leftChars="100" w:right="210" w:rightChars="100" w:firstLine="420" w:firstLineChars="200"/>
        <w:rPr>
          <w:rFonts w:ascii="宋体" w:hAnsi="宋体"/>
          <w:color w:val="000000" w:themeColor="text1"/>
          <w:szCs w:val="21"/>
          <w:u w:val="single"/>
        </w:rPr>
      </w:pPr>
      <w:r>
        <w:rPr>
          <w:rFonts w:hint="eastAsia" w:ascii="宋体" w:hAnsi="宋体"/>
          <w:color w:val="000000" w:themeColor="text1"/>
          <w:szCs w:val="21"/>
        </w:rPr>
        <w:t>供应商代表签字：</w:t>
      </w:r>
    </w:p>
    <w:p w14:paraId="58B3A35B">
      <w:pPr>
        <w:spacing w:line="360" w:lineRule="auto"/>
        <w:rPr>
          <w:color w:val="000000" w:themeColor="text1"/>
        </w:rPr>
      </w:pPr>
      <w:r>
        <w:rPr>
          <w:rFonts w:hint="eastAsia"/>
          <w:color w:val="000000" w:themeColor="text1"/>
        </w:rPr>
        <w:t>注：</w:t>
      </w:r>
      <w:r>
        <w:rPr>
          <w:color w:val="000000" w:themeColor="text1"/>
        </w:rPr>
        <w:t xml:space="preserve">1. </w:t>
      </w:r>
      <w:r>
        <w:rPr>
          <w:rFonts w:hint="eastAsia"/>
          <w:color w:val="000000" w:themeColor="text1"/>
        </w:rPr>
        <w:t>如供应商无任何偏离，也需在响应表中注明并在响应文件中递交此表。</w:t>
      </w:r>
    </w:p>
    <w:p w14:paraId="29A377FC">
      <w:pPr>
        <w:spacing w:line="360" w:lineRule="auto"/>
        <w:ind w:firstLine="420" w:firstLineChars="200"/>
        <w:rPr>
          <w:color w:val="000000" w:themeColor="text1"/>
        </w:rPr>
      </w:pPr>
      <w:r>
        <w:rPr>
          <w:color w:val="000000" w:themeColor="text1"/>
        </w:rPr>
        <w:t xml:space="preserve">2. </w:t>
      </w:r>
      <w:r>
        <w:rPr>
          <w:rFonts w:hint="eastAsia"/>
          <w:color w:val="000000" w:themeColor="text1"/>
        </w:rPr>
        <w:t>偏离包括正、负偏离，正偏离指供应商的响应高于竞争性谈判文件要求，负偏离指供应商的响应低于竞争性谈判文件要求。</w:t>
      </w:r>
    </w:p>
    <w:p w14:paraId="309B359A">
      <w:pPr>
        <w:widowControl/>
        <w:spacing w:after="240"/>
        <w:ind w:firstLine="480"/>
        <w:jc w:val="left"/>
        <w:rPr>
          <w:rStyle w:val="116"/>
          <w:rFonts w:hAnsi="宋体"/>
          <w:b w:val="0"/>
          <w:bCs w:val="0"/>
          <w:color w:val="000000" w:themeColor="text1"/>
          <w:sz w:val="24"/>
        </w:rPr>
      </w:pPr>
      <w:r>
        <w:rPr>
          <w:rStyle w:val="116"/>
          <w:rFonts w:hAnsi="宋体"/>
          <w:b w:val="0"/>
          <w:color w:val="000000" w:themeColor="text1"/>
          <w:sz w:val="24"/>
        </w:rPr>
        <w:br w:type="page"/>
      </w:r>
    </w:p>
    <w:p w14:paraId="7DD91FB2">
      <w:pPr>
        <w:topLinePunct/>
        <w:spacing w:line="360" w:lineRule="auto"/>
        <w:ind w:firstLine="480"/>
        <w:outlineLvl w:val="1"/>
        <w:rPr>
          <w:rStyle w:val="116"/>
          <w:rFonts w:hAnsi="宋体"/>
          <w:b w:val="0"/>
          <w:bCs w:val="0"/>
          <w:color w:val="000000" w:themeColor="text1"/>
          <w:sz w:val="24"/>
        </w:rPr>
      </w:pPr>
      <w:bookmarkStart w:id="69" w:name="_Toc22836"/>
      <w:r>
        <w:rPr>
          <w:rStyle w:val="116"/>
          <w:rFonts w:hint="eastAsia" w:hAnsi="宋体"/>
          <w:b w:val="0"/>
          <w:bCs w:val="0"/>
          <w:color w:val="000000" w:themeColor="text1"/>
          <w:sz w:val="24"/>
        </w:rPr>
        <w:t>附件</w:t>
      </w:r>
      <w:r>
        <w:rPr>
          <w:rStyle w:val="116"/>
          <w:rFonts w:hAnsi="宋体"/>
          <w:b w:val="0"/>
          <w:bCs w:val="0"/>
          <w:color w:val="000000" w:themeColor="text1"/>
          <w:sz w:val="24"/>
        </w:rPr>
        <w:t>5</w:t>
      </w:r>
      <w:r>
        <w:rPr>
          <w:rStyle w:val="116"/>
          <w:rFonts w:hint="eastAsia" w:hAnsi="宋体"/>
          <w:b w:val="0"/>
          <w:bCs w:val="0"/>
          <w:color w:val="000000" w:themeColor="text1"/>
          <w:sz w:val="24"/>
        </w:rPr>
        <w:t>：法定代表人身份证明及授权委托书</w:t>
      </w:r>
      <w:bookmarkEnd w:id="69"/>
    </w:p>
    <w:p w14:paraId="1D48085F">
      <w:pPr>
        <w:topLinePunct/>
        <w:spacing w:line="360" w:lineRule="auto"/>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（姓名）</w:t>
      </w:r>
      <w:r>
        <w:rPr>
          <w:rFonts w:hint="eastAsia" w:ascii="宋体" w:hAnsi="宋体" w:cs="宋体"/>
          <w:szCs w:val="21"/>
        </w:rPr>
        <w:t>系</w:t>
      </w:r>
      <w:r>
        <w:rPr>
          <w:rFonts w:hint="eastAsia" w:ascii="宋体" w:hAnsi="宋体" w:cs="宋体"/>
          <w:szCs w:val="21"/>
          <w:u w:val="single"/>
        </w:rPr>
        <w:t xml:space="preserve"> （供应商名称）</w:t>
      </w:r>
      <w:r>
        <w:rPr>
          <w:rFonts w:hint="eastAsia" w:ascii="宋体" w:hAnsi="宋体" w:cs="宋体"/>
          <w:szCs w:val="21"/>
        </w:rPr>
        <w:t>的法定代表人，现委托</w:t>
      </w:r>
      <w:r>
        <w:rPr>
          <w:rFonts w:hint="eastAsia" w:ascii="宋体" w:hAnsi="宋体" w:cs="宋体"/>
          <w:szCs w:val="21"/>
          <w:u w:val="single"/>
        </w:rPr>
        <w:t xml:space="preserve"> （姓名）</w:t>
      </w:r>
      <w:r>
        <w:rPr>
          <w:rFonts w:hint="eastAsia" w:ascii="宋体" w:hAnsi="宋体" w:cs="宋体"/>
          <w:szCs w:val="21"/>
        </w:rPr>
        <w:t>为我方授权代表。授权代表根据授权，以我方名义全权处理</w:t>
      </w:r>
      <w:r>
        <w:rPr>
          <w:rFonts w:hint="eastAsia" w:ascii="宋体" w:hAnsi="宋体" w:cs="宋体"/>
          <w:color w:val="000000"/>
          <w:szCs w:val="21"/>
          <w:u w:val="single"/>
        </w:rPr>
        <w:t xml:space="preserve">            项目</w:t>
      </w:r>
      <w:r>
        <w:rPr>
          <w:rFonts w:hint="eastAsia" w:ascii="宋体" w:hAnsi="宋体" w:cs="宋体"/>
          <w:szCs w:val="21"/>
        </w:rPr>
        <w:t>（签署、澄清、说明、补正、递交、撤回、修改响应文件、参与谈判、签订合同和处理一切有关事宜），其法律后果由我方承担。</w:t>
      </w:r>
    </w:p>
    <w:p w14:paraId="4F0FAFB3">
      <w:pPr>
        <w:spacing w:line="360" w:lineRule="auto"/>
        <w:ind w:firstLine="420" w:firstLineChars="200"/>
        <w:rPr>
          <w:rFonts w:ascii="宋体" w:hAnsi="宋体" w:cs="宋体"/>
          <w:szCs w:val="21"/>
        </w:rPr>
      </w:pPr>
      <w:r>
        <w:rPr>
          <w:rFonts w:hint="eastAsia" w:ascii="宋体" w:hAnsi="宋体" w:cs="宋体"/>
          <w:szCs w:val="21"/>
        </w:rPr>
        <w:t>委托期限：。</w:t>
      </w:r>
    </w:p>
    <w:p w14:paraId="61BB8D54">
      <w:pPr>
        <w:spacing w:line="360" w:lineRule="auto"/>
        <w:ind w:firstLine="420" w:firstLineChars="200"/>
        <w:rPr>
          <w:rFonts w:ascii="宋体" w:hAnsi="宋体" w:cs="宋体"/>
          <w:szCs w:val="21"/>
        </w:rPr>
      </w:pPr>
      <w:r>
        <w:rPr>
          <w:rFonts w:hint="eastAsia" w:ascii="宋体" w:hAnsi="宋体" w:cs="宋体"/>
          <w:szCs w:val="21"/>
        </w:rPr>
        <w:t>授权代表无转委托权。</w:t>
      </w:r>
    </w:p>
    <w:p w14:paraId="5AE2B9EB">
      <w:pPr>
        <w:spacing w:line="360" w:lineRule="auto"/>
        <w:ind w:firstLine="420" w:firstLineChars="200"/>
        <w:rPr>
          <w:rFonts w:ascii="宋体" w:hAnsi="宋体" w:cs="宋体"/>
          <w:szCs w:val="21"/>
        </w:rPr>
      </w:pPr>
      <w:r>
        <w:rPr>
          <w:rFonts w:hint="eastAsia" w:ascii="宋体" w:hAnsi="宋体" w:cs="宋体"/>
          <w:szCs w:val="21"/>
        </w:rPr>
        <w:t>附：法定代表人和授权代表身份证复印件(需同时提供正面及背面)</w:t>
      </w:r>
    </w:p>
    <w:p w14:paraId="22E314BF">
      <w:pPr>
        <w:spacing w:after="240" w:line="360" w:lineRule="auto"/>
        <w:ind w:firstLine="420" w:firstLineChars="200"/>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-702945</wp:posOffset>
                </wp:positionH>
                <wp:positionV relativeFrom="paragraph">
                  <wp:posOffset>121920</wp:posOffset>
                </wp:positionV>
                <wp:extent cx="3297555" cy="2113915"/>
                <wp:effectExtent l="4445" t="4445" r="12700" b="15240"/>
                <wp:wrapNone/>
                <wp:docPr id="7"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0286A2E">
                            <w:pPr>
                              <w:ind w:firstLine="420"/>
                              <w:jc w:val="center"/>
                              <w:rPr>
                                <w:szCs w:val="21"/>
                              </w:rPr>
                            </w:pPr>
                            <w:r>
                              <w:rPr>
                                <w:rFonts w:hint="eastAsia"/>
                                <w:szCs w:val="21"/>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8" o:spid="_x0000_s1026" o:spt="176" type="#_x0000_t176" style="position:absolute;left:0pt;margin-left:-55.35pt;margin-top:9.6pt;height:166.45pt;width:259.65pt;z-index:251660288;mso-width-relative:page;mso-height-relative:page;" fillcolor="#FFFFFF" filled="t" stroked="t" coordsize="21600,21600" o:gfxdata="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0CazR2QAAAAsBAAAPAAAAAAAAAAEAIAAAACIAAABkcnMvZG93bnJldi54bWxQSwEC&#10;FAAUAAAACACHTuJAtJq5RGUCAACvBAAADgAAAAAAAAABACAAAAAoAQAAZHJzL2Uyb0RvYy54bWxQ&#10;SwUGAAAAAAYABgBZAQAA/wUAAAAA&#10;">
                <v:fill on="t" focussize="0,0"/>
                <v:stroke color="#000000" miterlimit="8" joinstyle="miter"/>
                <v:imagedata o:title=""/>
                <o:lock v:ext="edit" aspectratio="f"/>
                <v:textbox>
                  <w:txbxContent>
                    <w:p w14:paraId="60286A2E">
                      <w:pPr>
                        <w:ind w:firstLine="420"/>
                        <w:jc w:val="center"/>
                        <w:rPr>
                          <w:szCs w:val="21"/>
                        </w:rPr>
                      </w:pPr>
                      <w:r>
                        <w:rPr>
                          <w:rFonts w:hint="eastAsia"/>
                          <w:szCs w:val="21"/>
                        </w:rPr>
                        <w:t>法定代表人身份证正面复印件</w:t>
                      </w:r>
                    </w:p>
                  </w:txbxContent>
                </v:textbox>
              </v:shape>
            </w:pict>
          </mc:Fallback>
        </mc:AlternateContent>
      </w:r>
      <w:r>
        <w:rPr>
          <w:rFonts w:ascii="宋体" w:hAnsi="宋体" w:cs="宋体"/>
          <w:szCs w:val="21"/>
        </w:rPr>
        <mc:AlternateContent>
          <mc:Choice Requires="wps">
            <w:drawing>
              <wp:anchor distT="0" distB="0" distL="114300" distR="114300" simplePos="0" relativeHeight="251659264" behindDoc="0" locked="0" layoutInCell="1" allowOverlap="1">
                <wp:simplePos x="0" y="0"/>
                <wp:positionH relativeFrom="column">
                  <wp:posOffset>2600960</wp:posOffset>
                </wp:positionH>
                <wp:positionV relativeFrom="paragraph">
                  <wp:posOffset>109220</wp:posOffset>
                </wp:positionV>
                <wp:extent cx="3297555" cy="2113915"/>
                <wp:effectExtent l="4445" t="4445" r="12700" b="15240"/>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212F222F">
                            <w:pPr>
                              <w:ind w:firstLine="420"/>
                              <w:jc w:val="center"/>
                              <w:rPr>
                                <w:szCs w:val="21"/>
                              </w:rPr>
                            </w:pPr>
                            <w:r>
                              <w:rPr>
                                <w:rFonts w:hint="eastAsia"/>
                                <w:szCs w:val="21"/>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204.8pt;margin-top:8.6pt;height:166.45pt;width:259.65pt;z-index:251659264;mso-width-relative:page;mso-height-relative:page;" fillcolor="#FFFFFF" filled="t" stroked="t" coordsize="21600,21600" o:gfxdata="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rNxyXYAAAACgEAAA8AAAAAAAAAAQAgAAAAIgAAAGRycy9kb3ducmV2LnhtbFBLAQIU&#10;ABQAAAAIAIdO4kCkm/+/ZQIAAK8EAAAOAAAAAAAAAAEAIAAAACcBAABkcnMvZTJvRG9jLnhtbFBL&#10;BQYAAAAABgAGAFkBAAD+BQAAAAA=&#10;">
                <v:fill on="t" focussize="0,0"/>
                <v:stroke color="#000000" miterlimit="8" joinstyle="miter"/>
                <v:imagedata o:title=""/>
                <o:lock v:ext="edit" aspectratio="f"/>
                <v:textbox>
                  <w:txbxContent>
                    <w:p w14:paraId="212F222F">
                      <w:pPr>
                        <w:ind w:firstLine="420"/>
                        <w:jc w:val="center"/>
                        <w:rPr>
                          <w:szCs w:val="21"/>
                        </w:rPr>
                      </w:pPr>
                      <w:r>
                        <w:rPr>
                          <w:rFonts w:hint="eastAsia"/>
                          <w:szCs w:val="21"/>
                        </w:rPr>
                        <w:t>法定代表人身份证背面复印件</w:t>
                      </w:r>
                    </w:p>
                  </w:txbxContent>
                </v:textbox>
              </v:shape>
            </w:pict>
          </mc:Fallback>
        </mc:AlternateContent>
      </w:r>
    </w:p>
    <w:p w14:paraId="4E79A0E2">
      <w:pPr>
        <w:spacing w:after="240" w:line="360" w:lineRule="auto"/>
        <w:ind w:firstLine="420" w:firstLineChars="200"/>
        <w:rPr>
          <w:rFonts w:ascii="宋体" w:hAnsi="宋体" w:cs="宋体"/>
          <w:szCs w:val="21"/>
        </w:rPr>
      </w:pPr>
    </w:p>
    <w:p w14:paraId="0E68FDDB">
      <w:pPr>
        <w:spacing w:after="240" w:line="360" w:lineRule="auto"/>
        <w:ind w:firstLine="420" w:firstLineChars="200"/>
        <w:rPr>
          <w:rFonts w:ascii="宋体" w:hAnsi="宋体" w:cs="宋体"/>
          <w:szCs w:val="21"/>
        </w:rPr>
      </w:pPr>
    </w:p>
    <w:p w14:paraId="66B6F207">
      <w:pPr>
        <w:spacing w:after="240" w:line="360" w:lineRule="auto"/>
        <w:ind w:firstLine="420" w:firstLineChars="200"/>
        <w:rPr>
          <w:rFonts w:ascii="宋体" w:hAnsi="宋体" w:cs="宋体"/>
          <w:szCs w:val="21"/>
        </w:rPr>
      </w:pPr>
    </w:p>
    <w:p w14:paraId="48C170A0">
      <w:pPr>
        <w:spacing w:after="240" w:line="360" w:lineRule="auto"/>
        <w:ind w:firstLine="420" w:firstLineChars="200"/>
        <w:rPr>
          <w:rFonts w:ascii="宋体" w:hAnsi="宋体" w:cs="宋体"/>
          <w:szCs w:val="21"/>
        </w:rPr>
      </w:pPr>
    </w:p>
    <w:p w14:paraId="44CE8909">
      <w:pPr>
        <w:spacing w:after="240" w:line="360" w:lineRule="auto"/>
        <w:ind w:firstLine="420" w:firstLineChars="200"/>
        <w:rPr>
          <w:rFonts w:ascii="宋体" w:hAnsi="宋体" w:cs="宋体"/>
          <w:szCs w:val="21"/>
        </w:rPr>
      </w:pP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2575560</wp:posOffset>
                </wp:positionH>
                <wp:positionV relativeFrom="paragraph">
                  <wp:posOffset>224790</wp:posOffset>
                </wp:positionV>
                <wp:extent cx="3297555" cy="2113915"/>
                <wp:effectExtent l="4445" t="4445" r="12700" b="15240"/>
                <wp:wrapNone/>
                <wp:docPr id="2"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2BDB3D29">
                            <w:pPr>
                              <w:ind w:firstLine="420"/>
                              <w:jc w:val="center"/>
                              <w:rPr>
                                <w:szCs w:val="21"/>
                              </w:rPr>
                            </w:pPr>
                            <w:r>
                              <w:rPr>
                                <w:rFonts w:hint="eastAsia"/>
                                <w:szCs w:val="21"/>
                              </w:rPr>
                              <w:t>授权代表身份证背面复印件</w:t>
                            </w:r>
                          </w:p>
                        </w:txbxContent>
                      </wps:txbx>
                      <wps:bodyPr rot="0" vert="horz" wrap="square" lIns="91440" tIns="45720" rIns="91440" bIns="45720" anchor="t" anchorCtr="0" upright="1">
                        <a:noAutofit/>
                      </wps:bodyPr>
                    </wps:wsp>
                  </a:graphicData>
                </a:graphic>
              </wp:anchor>
            </w:drawing>
          </mc:Choice>
          <mc:Fallback>
            <w:pict>
              <v:shape id="流程图: 可选过程 4" o:spid="_x0000_s1026" o:spt="176" type="#_x0000_t176" style="position:absolute;left:0pt;margin-left:202.8pt;margin-top:17.7pt;height:166.45pt;width:259.65pt;z-index:251661312;mso-width-relative:page;mso-height-relative:page;" fillcolor="#FFFFFF" filled="t" stroked="t" coordsize="21600,21600" o:gfxdata="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kUTcvYAAAACgEAAA8AAAAAAAAAAQAgAAAAIgAAAGRycy9kb3ducmV2LnhtbFBLAQIU&#10;ABQAAAAIAIdO4kAd+mgSZQIAAK8EAAAOAAAAAAAAAAEAIAAAACcBAABkcnMvZTJvRG9jLnhtbFBL&#10;BQYAAAAABgAGAFkBAAD+BQAAAAA=&#10;">
                <v:fill on="t" focussize="0,0"/>
                <v:stroke color="#000000" miterlimit="8" joinstyle="miter"/>
                <v:imagedata o:title=""/>
                <o:lock v:ext="edit" aspectratio="f"/>
                <v:textbox>
                  <w:txbxContent>
                    <w:p w14:paraId="2BDB3D29">
                      <w:pPr>
                        <w:ind w:firstLine="420"/>
                        <w:jc w:val="center"/>
                        <w:rPr>
                          <w:szCs w:val="21"/>
                        </w:rPr>
                      </w:pPr>
                      <w:r>
                        <w:rPr>
                          <w:rFonts w:hint="eastAsia"/>
                          <w:szCs w:val="21"/>
                        </w:rPr>
                        <w:t>授权代表身份证背面复印件</w:t>
                      </w:r>
                    </w:p>
                  </w:txbxContent>
                </v:textbox>
              </v:shape>
            </w:pict>
          </mc:Fallback>
        </mc:AlternateContent>
      </w: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-728345</wp:posOffset>
                </wp:positionH>
                <wp:positionV relativeFrom="paragraph">
                  <wp:posOffset>250190</wp:posOffset>
                </wp:positionV>
                <wp:extent cx="3297555" cy="2113915"/>
                <wp:effectExtent l="4445" t="4445" r="12700" b="15240"/>
                <wp:wrapNone/>
                <wp:docPr id="3"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CAA4BEF">
                            <w:pPr>
                              <w:ind w:firstLine="420"/>
                              <w:jc w:val="center"/>
                              <w:rPr>
                                <w:szCs w:val="21"/>
                              </w:rPr>
                            </w:pPr>
                            <w:r>
                              <w:rPr>
                                <w:rFonts w:hint="eastAsia"/>
                                <w:szCs w:val="21"/>
                              </w:rPr>
                              <w:t>授权代表身份证正面复印件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2" o:spid="_x0000_s1026" o:spt="176" type="#_x0000_t176" style="position:absolute;left:0pt;margin-left:-57.35pt;margin-top:19.7pt;height:166.45pt;width:259.65pt;z-index:251662336;mso-width-relative:page;mso-height-relative:page;" fillcolor="#FFFFFF" filled="t" stroked="t" coordsize="21600,21600" o:gfxdata="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FKjptdoAAAALAQAADwAAAAAAAAABACAAAAAiAAAAZHJzL2Rvd25yZXYueG1sUEsB&#10;AhQAFAAAAAgAh07iQJJx+sVlAgAArwQAAA4AAAAAAAAAAQAgAAAAKQEAAGRycy9lMm9Eb2MueG1s&#10;UEsFBgAAAAAGAAYAWQEAAAAGAAAAAA==&#10;">
                <v:fill on="t" focussize="0,0"/>
                <v:stroke color="#000000" miterlimit="8" joinstyle="miter"/>
                <v:imagedata o:title=""/>
                <o:lock v:ext="edit" aspectratio="f"/>
                <v:textbox>
                  <w:txbxContent>
                    <w:p w14:paraId="7CAA4BEF">
                      <w:pPr>
                        <w:ind w:firstLine="420"/>
                        <w:jc w:val="center"/>
                        <w:rPr>
                          <w:szCs w:val="21"/>
                        </w:rPr>
                      </w:pPr>
                      <w:r>
                        <w:rPr>
                          <w:rFonts w:hint="eastAsia"/>
                          <w:szCs w:val="21"/>
                        </w:rPr>
                        <w:t>授权代表身份证正面复印件</w:t>
                      </w:r>
                    </w:p>
                  </w:txbxContent>
                </v:textbox>
              </v:shape>
            </w:pict>
          </mc:Fallback>
        </mc:AlternateContent>
      </w:r>
    </w:p>
    <w:p w14:paraId="11A8D78D">
      <w:pPr>
        <w:spacing w:after="240" w:line="360" w:lineRule="auto"/>
        <w:ind w:firstLine="420" w:firstLineChars="200"/>
        <w:rPr>
          <w:rFonts w:ascii="宋体" w:hAnsi="宋体" w:cs="宋体"/>
          <w:szCs w:val="21"/>
        </w:rPr>
      </w:pPr>
    </w:p>
    <w:p w14:paraId="782F2ABD">
      <w:pPr>
        <w:spacing w:after="240" w:line="360" w:lineRule="auto"/>
        <w:ind w:firstLine="420" w:firstLineChars="200"/>
        <w:rPr>
          <w:rFonts w:ascii="宋体" w:hAnsi="宋体" w:cs="宋体"/>
          <w:szCs w:val="21"/>
        </w:rPr>
      </w:pPr>
    </w:p>
    <w:p w14:paraId="1D258B6C">
      <w:pPr>
        <w:spacing w:after="240" w:line="360" w:lineRule="auto"/>
        <w:ind w:firstLine="420" w:firstLineChars="200"/>
        <w:rPr>
          <w:rFonts w:ascii="宋体" w:hAnsi="宋体" w:cs="宋体"/>
          <w:szCs w:val="21"/>
        </w:rPr>
      </w:pPr>
    </w:p>
    <w:p w14:paraId="06168A15">
      <w:pPr>
        <w:spacing w:after="240" w:line="360" w:lineRule="auto"/>
        <w:ind w:firstLine="420" w:firstLineChars="200"/>
        <w:rPr>
          <w:rFonts w:ascii="宋体" w:hAnsi="宋体" w:cs="宋体"/>
          <w:szCs w:val="21"/>
        </w:rPr>
      </w:pPr>
    </w:p>
    <w:p w14:paraId="1ADED483">
      <w:pPr>
        <w:spacing w:after="240" w:line="360" w:lineRule="auto"/>
        <w:ind w:firstLine="420" w:firstLineChars="200"/>
        <w:rPr>
          <w:rFonts w:ascii="宋体" w:hAnsi="宋体" w:cs="宋体"/>
          <w:szCs w:val="21"/>
        </w:rPr>
      </w:pPr>
    </w:p>
    <w:p w14:paraId="5F55146C">
      <w:pPr>
        <w:spacing w:line="360" w:lineRule="auto"/>
        <w:ind w:right="210" w:firstLine="420" w:firstLineChars="200"/>
        <w:jc w:val="right"/>
        <w:rPr>
          <w:rFonts w:ascii="宋体" w:hAnsi="宋体" w:cs="宋体"/>
          <w:szCs w:val="21"/>
        </w:rPr>
      </w:pPr>
      <w:r>
        <w:rPr>
          <w:rFonts w:hint="eastAsia" w:ascii="宋体" w:hAnsi="宋体" w:cs="宋体"/>
          <w:szCs w:val="21"/>
        </w:rPr>
        <w:t>供应商名称：（盖单位公章）</w:t>
      </w:r>
    </w:p>
    <w:p w14:paraId="64A4F9EE">
      <w:pPr>
        <w:spacing w:line="360" w:lineRule="auto"/>
        <w:ind w:right="210" w:firstLine="420" w:firstLineChars="200"/>
        <w:jc w:val="right"/>
        <w:rPr>
          <w:rFonts w:ascii="宋体" w:hAnsi="宋体" w:cs="宋体"/>
          <w:szCs w:val="21"/>
        </w:rPr>
      </w:pPr>
      <w:r>
        <w:rPr>
          <w:rFonts w:hint="eastAsia" w:ascii="宋体" w:hAnsi="宋体" w:cs="宋体"/>
          <w:szCs w:val="21"/>
        </w:rPr>
        <w:t>法定代表人：（签字）</w:t>
      </w:r>
    </w:p>
    <w:p w14:paraId="085BC874">
      <w:pPr>
        <w:spacing w:line="360" w:lineRule="auto"/>
        <w:ind w:left="2520" w:right="210" w:firstLine="525" w:firstLineChars="250"/>
        <w:rPr>
          <w:rFonts w:ascii="宋体" w:hAnsi="宋体" w:cs="宋体"/>
          <w:szCs w:val="21"/>
        </w:rPr>
      </w:pPr>
      <w:r>
        <w:rPr>
          <w:rFonts w:hint="eastAsia" w:ascii="宋体" w:hAnsi="宋体" w:cs="宋体"/>
          <w:szCs w:val="21"/>
        </w:rPr>
        <w:t>身份证号码：</w:t>
      </w:r>
    </w:p>
    <w:p w14:paraId="3825FFD4">
      <w:pPr>
        <w:spacing w:line="360" w:lineRule="auto"/>
        <w:ind w:right="315" w:firstLine="420" w:firstLineChars="200"/>
        <w:jc w:val="right"/>
        <w:rPr>
          <w:rFonts w:ascii="宋体" w:hAnsi="宋体" w:cs="宋体"/>
          <w:szCs w:val="21"/>
        </w:rPr>
      </w:pPr>
      <w:r>
        <w:rPr>
          <w:rFonts w:hint="eastAsia" w:ascii="宋体" w:hAnsi="宋体" w:cs="宋体"/>
          <w:szCs w:val="21"/>
        </w:rPr>
        <w:t>委托授权代表：（签字）</w:t>
      </w:r>
    </w:p>
    <w:p w14:paraId="318367C0">
      <w:pPr>
        <w:spacing w:line="360" w:lineRule="auto"/>
        <w:ind w:right="210" w:firstLine="3045" w:firstLineChars="1450"/>
        <w:rPr>
          <w:rFonts w:ascii="宋体" w:hAnsi="宋体" w:cs="宋体"/>
          <w:szCs w:val="21"/>
        </w:rPr>
      </w:pPr>
      <w:r>
        <w:rPr>
          <w:rFonts w:hint="eastAsia" w:ascii="宋体" w:hAnsi="宋体" w:cs="宋体"/>
          <w:szCs w:val="21"/>
        </w:rPr>
        <w:t>身份证号码：</w:t>
      </w:r>
    </w:p>
    <w:p w14:paraId="2767FCA9">
      <w:pPr>
        <w:spacing w:line="360" w:lineRule="auto"/>
        <w:ind w:right="210" w:firstLine="2310" w:firstLineChars="1100"/>
        <w:jc w:val="right"/>
        <w:rPr>
          <w:rFonts w:ascii="宋体" w:hAnsi="宋体" w:cs="宋体"/>
          <w:szCs w:val="21"/>
        </w:rPr>
      </w:pPr>
      <w:r>
        <w:rPr>
          <w:rFonts w:hint="eastAsia" w:ascii="宋体" w:hAnsi="宋体" w:cs="宋体"/>
          <w:szCs w:val="21"/>
        </w:rPr>
        <w:t>年月日</w:t>
      </w:r>
    </w:p>
    <w:p w14:paraId="5CCD613B">
      <w:pPr>
        <w:pStyle w:val="4"/>
        <w:spacing w:before="240" w:after="240"/>
        <w:ind w:firstLine="480"/>
        <w:rPr>
          <w:rStyle w:val="116"/>
          <w:bCs/>
          <w:color w:val="auto"/>
          <w:sz w:val="24"/>
          <w:szCs w:val="24"/>
        </w:rPr>
      </w:pPr>
      <w:bookmarkStart w:id="70" w:name="_Toc14322"/>
      <w:r>
        <w:rPr>
          <w:rStyle w:val="116"/>
          <w:rFonts w:hint="eastAsia" w:hAnsi="宋体"/>
          <w:b w:val="0"/>
          <w:bCs w:val="0"/>
          <w:sz w:val="24"/>
          <w:szCs w:val="24"/>
        </w:rPr>
        <w:t>附件</w:t>
      </w:r>
      <w:r>
        <w:rPr>
          <w:rStyle w:val="116"/>
          <w:rFonts w:hAnsi="宋体"/>
          <w:b w:val="0"/>
          <w:bCs w:val="0"/>
          <w:sz w:val="24"/>
          <w:szCs w:val="24"/>
        </w:rPr>
        <w:t>6</w:t>
      </w:r>
      <w:r>
        <w:rPr>
          <w:rStyle w:val="116"/>
          <w:rFonts w:hint="eastAsia" w:hAnsi="宋体"/>
          <w:b w:val="0"/>
          <w:bCs w:val="0"/>
          <w:sz w:val="24"/>
          <w:szCs w:val="24"/>
        </w:rPr>
        <w:t>：技术规范偏离表</w:t>
      </w:r>
      <w:bookmarkEnd w:id="70"/>
    </w:p>
    <w:p w14:paraId="288FC844">
      <w:pPr>
        <w:snapToGrid w:val="0"/>
        <w:spacing w:beforeLines="100" w:afterLines="100"/>
        <w:ind w:left="210" w:leftChars="100" w:right="210" w:rightChars="100" w:firstLine="420" w:firstLineChars="200"/>
        <w:rPr>
          <w:rFonts w:ascii="宋体" w:hAnsi="宋体"/>
          <w:color w:val="000000" w:themeColor="text1"/>
          <w:szCs w:val="21"/>
          <w:u w:val="single"/>
        </w:rPr>
      </w:pPr>
      <w:r>
        <w:rPr>
          <w:rFonts w:hint="eastAsia" w:ascii="宋体" w:hAnsi="宋体"/>
          <w:color w:val="000000" w:themeColor="text1"/>
          <w:szCs w:val="21"/>
        </w:rPr>
        <w:t>供应商名称：</w:t>
      </w:r>
    </w:p>
    <w:tbl>
      <w:tblPr>
        <w:tblStyle w:val="5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2963"/>
        <w:gridCol w:w="2750"/>
        <w:gridCol w:w="2192"/>
      </w:tblGrid>
      <w:tr w14:paraId="4097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36" w:type="pct"/>
            <w:vAlign w:val="center"/>
          </w:tcPr>
          <w:p w14:paraId="340B2B1B">
            <w:pPr>
              <w:snapToGrid w:val="0"/>
              <w:spacing w:beforeLines="100" w:afterLines="100"/>
              <w:ind w:right="210" w:rightChars="100"/>
              <w:jc w:val="center"/>
              <w:rPr>
                <w:rFonts w:ascii="宋体" w:hAnsi="宋体"/>
                <w:color w:val="000000" w:themeColor="text1"/>
                <w:szCs w:val="21"/>
              </w:rPr>
            </w:pPr>
            <w:r>
              <w:rPr>
                <w:rFonts w:hint="eastAsia" w:ascii="宋体" w:hAnsi="宋体"/>
                <w:color w:val="000000" w:themeColor="text1"/>
                <w:szCs w:val="21"/>
              </w:rPr>
              <w:t>序号</w:t>
            </w:r>
          </w:p>
        </w:tc>
        <w:tc>
          <w:tcPr>
            <w:tcW w:w="1672" w:type="pct"/>
            <w:vAlign w:val="center"/>
          </w:tcPr>
          <w:p w14:paraId="4F62847F">
            <w:pPr>
              <w:snapToGrid w:val="0"/>
              <w:spacing w:beforeLines="100" w:afterLines="100"/>
              <w:ind w:right="210" w:rightChars="100"/>
              <w:jc w:val="center"/>
              <w:rPr>
                <w:rFonts w:ascii="宋体" w:hAnsi="宋体"/>
                <w:color w:val="000000" w:themeColor="text1"/>
                <w:szCs w:val="21"/>
              </w:rPr>
            </w:pPr>
            <w:r>
              <w:rPr>
                <w:rFonts w:hint="eastAsia" w:ascii="宋体" w:hAnsi="宋体"/>
                <w:color w:val="000000" w:themeColor="text1"/>
                <w:szCs w:val="21"/>
              </w:rPr>
              <w:t>竞争性谈判文件技术需求书要求</w:t>
            </w:r>
          </w:p>
        </w:tc>
        <w:tc>
          <w:tcPr>
            <w:tcW w:w="1552" w:type="pct"/>
            <w:vAlign w:val="center"/>
          </w:tcPr>
          <w:p w14:paraId="227D2008">
            <w:pPr>
              <w:snapToGrid w:val="0"/>
              <w:spacing w:beforeLines="100" w:afterLines="100"/>
              <w:ind w:right="210" w:rightChars="100"/>
              <w:jc w:val="center"/>
              <w:rPr>
                <w:rFonts w:ascii="宋体" w:hAnsi="宋体"/>
                <w:color w:val="000000" w:themeColor="text1"/>
                <w:szCs w:val="21"/>
              </w:rPr>
            </w:pPr>
            <w:r>
              <w:rPr>
                <w:rFonts w:hint="eastAsia" w:ascii="宋体" w:hAnsi="宋体"/>
                <w:color w:val="000000" w:themeColor="text1"/>
                <w:szCs w:val="21"/>
              </w:rPr>
              <w:t>响应文件技术指标情况</w:t>
            </w:r>
          </w:p>
        </w:tc>
        <w:tc>
          <w:tcPr>
            <w:tcW w:w="1238" w:type="pct"/>
            <w:vAlign w:val="center"/>
          </w:tcPr>
          <w:p w14:paraId="5DFB51AC">
            <w:pPr>
              <w:snapToGrid w:val="0"/>
              <w:spacing w:beforeLines="100" w:afterLines="100"/>
              <w:ind w:right="210" w:rightChars="100"/>
              <w:jc w:val="center"/>
              <w:rPr>
                <w:rFonts w:ascii="宋体" w:hAnsi="宋体"/>
                <w:color w:val="000000" w:themeColor="text1"/>
                <w:szCs w:val="21"/>
              </w:rPr>
            </w:pPr>
            <w:r>
              <w:rPr>
                <w:rFonts w:hint="eastAsia" w:ascii="宋体" w:hAnsi="宋体"/>
                <w:color w:val="000000" w:themeColor="text1"/>
                <w:szCs w:val="21"/>
              </w:rPr>
              <w:t>具体说明</w:t>
            </w:r>
          </w:p>
        </w:tc>
      </w:tr>
      <w:tr w14:paraId="3DB8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36" w:type="pct"/>
          </w:tcPr>
          <w:p w14:paraId="1A9BB97A">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7876FB08">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7D2B8F38">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090DD63F">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3E24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6D46FBAE">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38AF2189">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78E0DB70">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33077C01">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312C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66E46BB1">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4530DB0C">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71A43DC2">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78DB803C">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2502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7F53D9C2">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61C4D61D">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23C7F93F">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36822042">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6E15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73DD7925">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526E4DBE">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73B14A73">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32111905">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7D73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5EE82773">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4941A187">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74F25B1D">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45FFE19C">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685B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3B90CFC8">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4C2D87DF">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56D10F99">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51F0476B">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3819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0B0547B3">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6982EB79">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587EE726">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75CCC6E3">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r w14:paraId="3D20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36" w:type="pct"/>
          </w:tcPr>
          <w:p w14:paraId="3907EC96">
            <w:pPr>
              <w:snapToGrid w:val="0"/>
              <w:spacing w:beforeLines="100" w:afterLines="100"/>
              <w:ind w:left="210" w:leftChars="100" w:right="210" w:rightChars="100" w:firstLine="600" w:firstLineChars="200"/>
              <w:rPr>
                <w:rFonts w:ascii="宋体" w:hAnsi="宋体" w:eastAsia="黑体"/>
                <w:bCs/>
                <w:color w:val="000000" w:themeColor="text1"/>
                <w:sz w:val="30"/>
                <w:szCs w:val="21"/>
              </w:rPr>
            </w:pPr>
          </w:p>
        </w:tc>
        <w:tc>
          <w:tcPr>
            <w:tcW w:w="1672" w:type="pct"/>
          </w:tcPr>
          <w:p w14:paraId="6A84D43A">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552" w:type="pct"/>
          </w:tcPr>
          <w:p w14:paraId="0137FC87">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c>
          <w:tcPr>
            <w:tcW w:w="1238" w:type="pct"/>
          </w:tcPr>
          <w:p w14:paraId="2FB4D000">
            <w:pPr>
              <w:snapToGrid w:val="0"/>
              <w:spacing w:beforeLines="100" w:afterLines="100"/>
              <w:ind w:left="210" w:leftChars="100" w:right="210" w:rightChars="100" w:firstLine="600" w:firstLineChars="200"/>
              <w:rPr>
                <w:rFonts w:ascii="宋体" w:hAnsi="宋体" w:eastAsia="黑体"/>
                <w:bCs/>
                <w:color w:val="000000" w:themeColor="text1"/>
                <w:kern w:val="44"/>
                <w:sz w:val="30"/>
                <w:szCs w:val="21"/>
              </w:rPr>
            </w:pPr>
          </w:p>
        </w:tc>
      </w:tr>
    </w:tbl>
    <w:p w14:paraId="50874F49">
      <w:pPr>
        <w:snapToGrid w:val="0"/>
        <w:spacing w:beforeLines="100" w:afterLines="100"/>
        <w:ind w:left="210" w:leftChars="100" w:right="210" w:rightChars="100" w:firstLine="420" w:firstLineChars="200"/>
        <w:rPr>
          <w:rFonts w:ascii="宋体" w:hAnsi="宋体"/>
          <w:color w:val="000000" w:themeColor="text1"/>
          <w:szCs w:val="21"/>
          <w:u w:val="single"/>
        </w:rPr>
      </w:pPr>
      <w:r>
        <w:rPr>
          <w:rFonts w:hint="eastAsia" w:ascii="宋体" w:hAnsi="宋体"/>
          <w:color w:val="000000" w:themeColor="text1"/>
          <w:szCs w:val="21"/>
        </w:rPr>
        <w:t>供应商名称（公章）：</w:t>
      </w:r>
    </w:p>
    <w:p w14:paraId="5A03665C">
      <w:pPr>
        <w:snapToGrid w:val="0"/>
        <w:spacing w:beforeLines="100" w:afterLines="100"/>
        <w:ind w:left="210" w:leftChars="100" w:right="210" w:rightChars="100" w:firstLine="420" w:firstLineChars="200"/>
        <w:rPr>
          <w:rFonts w:ascii="宋体" w:hAnsi="宋体"/>
          <w:i/>
          <w:color w:val="000000" w:themeColor="text1"/>
          <w:szCs w:val="21"/>
        </w:rPr>
      </w:pPr>
      <w:r>
        <w:rPr>
          <w:rFonts w:hint="eastAsia" w:ascii="宋体" w:hAnsi="宋体"/>
          <w:color w:val="000000" w:themeColor="text1"/>
          <w:szCs w:val="21"/>
        </w:rPr>
        <w:t>供应商代表签字</w:t>
      </w:r>
      <w:r>
        <w:rPr>
          <w:rFonts w:hint="eastAsia" w:ascii="宋体" w:hAnsi="宋体"/>
          <w:color w:val="000000" w:themeColor="text1"/>
          <w:szCs w:val="21"/>
          <w:u w:val="single"/>
        </w:rPr>
        <w:t>：</w:t>
      </w:r>
    </w:p>
    <w:p w14:paraId="6F9D5E02">
      <w:pPr>
        <w:spacing w:line="360" w:lineRule="auto"/>
        <w:ind w:firstLine="440"/>
        <w:rPr>
          <w:color w:val="000000" w:themeColor="text1"/>
        </w:rPr>
      </w:pPr>
      <w:r>
        <w:rPr>
          <w:rFonts w:hint="eastAsia"/>
          <w:color w:val="000000" w:themeColor="text1"/>
        </w:rPr>
        <w:t>注：</w:t>
      </w:r>
      <w:r>
        <w:rPr>
          <w:color w:val="000000" w:themeColor="text1"/>
        </w:rPr>
        <w:t>1.</w:t>
      </w:r>
      <w:r>
        <w:rPr>
          <w:rFonts w:hint="eastAsia"/>
          <w:color w:val="000000" w:themeColor="text1"/>
        </w:rPr>
        <w:t>本表应依据供应商实际情况逐项逐条填写。</w:t>
      </w:r>
    </w:p>
    <w:p w14:paraId="2D86B30D">
      <w:pPr>
        <w:spacing w:line="360" w:lineRule="auto"/>
        <w:ind w:firstLine="420" w:firstLineChars="200"/>
        <w:rPr>
          <w:color w:val="000000" w:themeColor="text1"/>
        </w:rPr>
      </w:pPr>
      <w:r>
        <w:rPr>
          <w:color w:val="000000" w:themeColor="text1"/>
        </w:rPr>
        <w:t>2.</w:t>
      </w:r>
      <w:r>
        <w:rPr>
          <w:rFonts w:hint="eastAsia"/>
          <w:color w:val="000000" w:themeColor="text1"/>
        </w:rPr>
        <w:t>对于某项指标的数据存在证明文件内容不一致的情况，取指标较低的为准，对于可以用量化形式表示的条款，供应商必须明确回答，或以功能描述回答。说明中有“详见”、“参见”的，应指明参见响应文件中的具体的章节或页码。</w:t>
      </w:r>
    </w:p>
    <w:p w14:paraId="175D4DA0">
      <w:pPr>
        <w:spacing w:line="360" w:lineRule="auto"/>
        <w:ind w:firstLine="420" w:firstLineChars="200"/>
        <w:rPr>
          <w:color w:val="000000" w:themeColor="text1"/>
        </w:rPr>
      </w:pPr>
      <w:r>
        <w:rPr>
          <w:color w:val="000000" w:themeColor="text1"/>
        </w:rPr>
        <w:t>3.</w:t>
      </w:r>
      <w:r>
        <w:rPr>
          <w:rFonts w:hint="eastAsia"/>
          <w:color w:val="000000" w:themeColor="text1"/>
        </w:rPr>
        <w:t>作为响应文件重要的组成部分，任何通过简单拷贝竞争性谈判文件技术要求或简单标注“符合”“满足”或使用“明白”、“理解”、“部分满足”等含混词语的响应文件将被视为实质性不符合。</w:t>
      </w:r>
    </w:p>
    <w:p w14:paraId="4D494F4F">
      <w:pPr>
        <w:spacing w:line="360" w:lineRule="auto"/>
        <w:ind w:firstLine="420" w:firstLineChars="200"/>
        <w:rPr>
          <w:color w:val="000000" w:themeColor="text1"/>
        </w:rPr>
      </w:pPr>
      <w:r>
        <w:rPr>
          <w:color w:val="000000" w:themeColor="text1"/>
        </w:rPr>
        <w:t>4.</w:t>
      </w:r>
      <w:r>
        <w:rPr>
          <w:rFonts w:hint="eastAsia"/>
          <w:color w:val="000000" w:themeColor="text1"/>
        </w:rPr>
        <w:t>偏离包括正、负偏离，正偏离指供应商的响应高于竞争性谈判文件要求，负偏离指供应商的响应低于竞争性谈判文件要求。</w:t>
      </w:r>
    </w:p>
    <w:p w14:paraId="1BF3FEBA">
      <w:pPr>
        <w:pStyle w:val="4"/>
        <w:spacing w:before="240" w:after="240"/>
        <w:ind w:firstLine="480"/>
        <w:rPr>
          <w:rStyle w:val="116"/>
          <w:b w:val="0"/>
          <w:bCs/>
          <w:color w:val="auto"/>
          <w:sz w:val="24"/>
        </w:rPr>
      </w:pPr>
      <w:r>
        <w:br w:type="page"/>
      </w:r>
      <w:bookmarkStart w:id="71" w:name="_Toc16305"/>
      <w:r>
        <w:rPr>
          <w:rStyle w:val="116"/>
          <w:rFonts w:hint="eastAsia"/>
          <w:b w:val="0"/>
          <w:bCs/>
          <w:sz w:val="24"/>
        </w:rPr>
        <w:t>附件</w:t>
      </w:r>
      <w:r>
        <w:rPr>
          <w:rStyle w:val="116"/>
          <w:b w:val="0"/>
          <w:bCs/>
          <w:sz w:val="24"/>
        </w:rPr>
        <w:t>7</w:t>
      </w:r>
      <w:r>
        <w:rPr>
          <w:rStyle w:val="116"/>
          <w:rFonts w:hint="eastAsia"/>
          <w:b w:val="0"/>
          <w:bCs/>
          <w:sz w:val="24"/>
        </w:rPr>
        <w:t>：资格证明文件</w:t>
      </w:r>
    </w:p>
    <w:p w14:paraId="04E7ACC5">
      <w:pPr>
        <w:snapToGrid w:val="0"/>
        <w:spacing w:beforeLines="100" w:afterLines="100"/>
        <w:ind w:left="210" w:leftChars="100" w:right="210" w:rightChars="100" w:firstLine="420" w:firstLineChars="200"/>
        <w:rPr>
          <w:rFonts w:ascii="宋体"/>
          <w:color w:val="000000" w:themeColor="text1"/>
        </w:rPr>
      </w:pPr>
    </w:p>
    <w:p w14:paraId="20369319">
      <w:pPr>
        <w:rPr>
          <w:color w:val="000000" w:themeColor="text1"/>
        </w:rPr>
      </w:pPr>
      <w:r>
        <w:rPr>
          <w:rFonts w:hint="eastAsia"/>
          <w:color w:val="000000" w:themeColor="text1"/>
        </w:rPr>
        <w:t>填写须知</w:t>
      </w:r>
    </w:p>
    <w:p w14:paraId="76957E45">
      <w:pPr>
        <w:numPr>
          <w:ilvl w:val="0"/>
          <w:numId w:val="19"/>
        </w:numPr>
        <w:spacing w:line="360" w:lineRule="auto"/>
        <w:ind w:firstLine="440"/>
        <w:rPr>
          <w:rFonts w:ascii="宋体"/>
          <w:color w:val="000000" w:themeColor="text1"/>
          <w:szCs w:val="21"/>
        </w:rPr>
      </w:pPr>
      <w:r>
        <w:rPr>
          <w:rFonts w:hint="eastAsia" w:ascii="宋体"/>
          <w:color w:val="000000" w:themeColor="text1"/>
          <w:szCs w:val="21"/>
        </w:rPr>
        <w:t>供应商应填写和提交下述规定的全部格式以及其它有关资料。</w:t>
      </w:r>
    </w:p>
    <w:p w14:paraId="48B776F7">
      <w:pPr>
        <w:numPr>
          <w:ilvl w:val="0"/>
          <w:numId w:val="19"/>
        </w:numPr>
        <w:spacing w:line="360" w:lineRule="auto"/>
        <w:ind w:firstLine="440"/>
        <w:rPr>
          <w:rFonts w:ascii="宋体"/>
          <w:color w:val="000000" w:themeColor="text1"/>
          <w:szCs w:val="21"/>
        </w:rPr>
      </w:pPr>
      <w:r>
        <w:rPr>
          <w:rFonts w:hint="eastAsia" w:ascii="宋体"/>
          <w:color w:val="000000" w:themeColor="text1"/>
          <w:szCs w:val="21"/>
        </w:rPr>
        <w:t>所附格式中要求填写的全部问题和</w:t>
      </w:r>
      <w:r>
        <w:rPr>
          <w:rFonts w:ascii="宋体"/>
          <w:color w:val="000000" w:themeColor="text1"/>
          <w:szCs w:val="21"/>
        </w:rPr>
        <w:t>/</w:t>
      </w:r>
      <w:r>
        <w:rPr>
          <w:rFonts w:hint="eastAsia" w:ascii="宋体"/>
          <w:color w:val="000000" w:themeColor="text1"/>
          <w:szCs w:val="21"/>
        </w:rPr>
        <w:t>或信息都必须填写。</w:t>
      </w:r>
    </w:p>
    <w:p w14:paraId="11A602DB">
      <w:pPr>
        <w:numPr>
          <w:ilvl w:val="0"/>
          <w:numId w:val="19"/>
        </w:numPr>
        <w:spacing w:line="360" w:lineRule="auto"/>
        <w:ind w:firstLine="440"/>
        <w:rPr>
          <w:rFonts w:ascii="宋体"/>
          <w:color w:val="000000" w:themeColor="text1"/>
          <w:szCs w:val="21"/>
        </w:rPr>
      </w:pPr>
      <w:r>
        <w:rPr>
          <w:rFonts w:hint="eastAsia" w:ascii="宋体"/>
          <w:color w:val="000000" w:themeColor="text1"/>
          <w:szCs w:val="21"/>
        </w:rPr>
        <w:t>本资格声明的签字人应保证全部声明和填写的内容是真实的和正确的。</w:t>
      </w:r>
    </w:p>
    <w:p w14:paraId="056E6F08">
      <w:pPr>
        <w:numPr>
          <w:ilvl w:val="0"/>
          <w:numId w:val="19"/>
        </w:numPr>
        <w:spacing w:line="360" w:lineRule="auto"/>
        <w:ind w:firstLine="440"/>
        <w:rPr>
          <w:rFonts w:ascii="宋体"/>
          <w:color w:val="000000" w:themeColor="text1"/>
          <w:szCs w:val="21"/>
        </w:rPr>
      </w:pPr>
      <w:r>
        <w:rPr>
          <w:rFonts w:hint="eastAsia" w:ascii="宋体"/>
          <w:color w:val="000000" w:themeColor="text1"/>
          <w:szCs w:val="21"/>
        </w:rPr>
        <w:t>采购人将应用供应商提交的资料根据自己的判断和考虑决定供应商履行合同的合格性及能力。</w:t>
      </w:r>
    </w:p>
    <w:p w14:paraId="4DE578DD">
      <w:pPr>
        <w:numPr>
          <w:ilvl w:val="0"/>
          <w:numId w:val="19"/>
        </w:numPr>
        <w:spacing w:line="360" w:lineRule="auto"/>
        <w:ind w:firstLine="440"/>
        <w:rPr>
          <w:rFonts w:ascii="宋体"/>
          <w:color w:val="000000" w:themeColor="text1"/>
          <w:szCs w:val="21"/>
        </w:rPr>
      </w:pPr>
      <w:r>
        <w:rPr>
          <w:rFonts w:hint="eastAsia" w:ascii="宋体"/>
          <w:color w:val="000000" w:themeColor="text1"/>
          <w:szCs w:val="21"/>
        </w:rPr>
        <w:t>供应商提交的材料将被保密，但不退还。</w:t>
      </w:r>
    </w:p>
    <w:p w14:paraId="7AB92BD7">
      <w:pPr>
        <w:numPr>
          <w:ilvl w:val="0"/>
          <w:numId w:val="19"/>
        </w:numPr>
        <w:spacing w:line="360" w:lineRule="auto"/>
        <w:ind w:firstLine="440"/>
        <w:rPr>
          <w:rFonts w:ascii="宋体"/>
          <w:color w:val="000000" w:themeColor="text1"/>
          <w:szCs w:val="21"/>
        </w:rPr>
      </w:pPr>
      <w:r>
        <w:rPr>
          <w:rFonts w:hint="eastAsia" w:ascii="宋体"/>
          <w:color w:val="000000" w:themeColor="text1"/>
          <w:szCs w:val="21"/>
        </w:rPr>
        <w:t>全部文件应按规定的语言和份数提交。</w:t>
      </w:r>
    </w:p>
    <w:bookmarkEnd w:id="71"/>
    <w:p w14:paraId="5FCA1F44">
      <w:pPr>
        <w:snapToGrid w:val="0"/>
        <w:spacing w:beforeLines="100" w:afterLines="100"/>
        <w:ind w:right="210" w:rightChars="100"/>
        <w:outlineLvl w:val="3"/>
        <w:rPr>
          <w:rFonts w:ascii="黑体" w:eastAsia="黑体"/>
          <w:b/>
          <w:color w:val="000000" w:themeColor="text1"/>
        </w:rPr>
      </w:pPr>
      <w:r>
        <w:rPr>
          <w:rFonts w:ascii="宋体"/>
          <w:color w:val="000000" w:themeColor="text1"/>
        </w:rPr>
        <w:br w:type="page"/>
      </w:r>
      <w:r>
        <w:rPr>
          <w:rFonts w:ascii="黑体" w:eastAsia="黑体"/>
          <w:b/>
        </w:rPr>
        <w:t xml:space="preserve">7-1  </w:t>
      </w:r>
      <w:r>
        <w:rPr>
          <w:rFonts w:hint="eastAsia" w:ascii="黑体" w:eastAsia="黑体"/>
          <w:b/>
        </w:rPr>
        <w:t>资格声明</w:t>
      </w:r>
    </w:p>
    <w:p w14:paraId="33D0811A">
      <w:pPr>
        <w:snapToGrid w:val="0"/>
        <w:spacing w:beforeLines="100" w:afterLines="100"/>
        <w:ind w:right="210" w:rightChars="100"/>
        <w:rPr>
          <w:rFonts w:ascii="宋体" w:hAnsi="宋体"/>
          <w:color w:val="000000" w:themeColor="text1"/>
          <w:szCs w:val="21"/>
        </w:rPr>
      </w:pPr>
      <w:r>
        <w:rPr>
          <w:rFonts w:hint="eastAsia" w:ascii="宋体" w:hAnsi="宋体"/>
          <w:color w:val="000000" w:themeColor="text1"/>
          <w:szCs w:val="21"/>
        </w:rPr>
        <w:t>致：江苏省广电有线信息网络股份有限公司：</w:t>
      </w:r>
    </w:p>
    <w:p w14:paraId="4EE06499">
      <w:pPr>
        <w:snapToGrid w:val="0"/>
        <w:spacing w:beforeLines="100" w:afterLines="100"/>
        <w:ind w:left="210" w:leftChars="100" w:right="210" w:rightChars="100" w:firstLine="422" w:firstLineChars="200"/>
        <w:jc w:val="center"/>
        <w:rPr>
          <w:rFonts w:ascii="宋体" w:hAnsi="宋体"/>
          <w:b/>
          <w:color w:val="000000" w:themeColor="text1"/>
          <w:szCs w:val="21"/>
        </w:rPr>
      </w:pPr>
      <w:r>
        <w:rPr>
          <w:rFonts w:hint="eastAsia" w:ascii="宋体" w:hAnsi="宋体"/>
          <w:b/>
          <w:color w:val="000000" w:themeColor="text1"/>
          <w:szCs w:val="21"/>
        </w:rPr>
        <w:t>资格声明</w:t>
      </w:r>
    </w:p>
    <w:p w14:paraId="05C922E0">
      <w:pPr>
        <w:snapToGrid w:val="0"/>
        <w:spacing w:beforeLines="100" w:afterLines="100"/>
        <w:ind w:right="210" w:rightChars="100"/>
        <w:jc w:val="left"/>
        <w:rPr>
          <w:rFonts w:ascii="宋体" w:hAnsi="宋体"/>
          <w:b/>
          <w:szCs w:val="21"/>
        </w:rPr>
      </w:pPr>
      <w:r>
        <w:rPr>
          <w:rFonts w:hint="eastAsia" w:ascii="宋体" w:hAnsi="宋体"/>
          <w:szCs w:val="21"/>
        </w:rPr>
        <w:t>尊敬的女士</w:t>
      </w:r>
      <w:r>
        <w:rPr>
          <w:rFonts w:ascii="宋体" w:hAnsi="宋体"/>
          <w:szCs w:val="21"/>
        </w:rPr>
        <w:t>/</w:t>
      </w:r>
      <w:r>
        <w:rPr>
          <w:rFonts w:hint="eastAsia" w:ascii="宋体" w:hAnsi="宋体"/>
          <w:szCs w:val="21"/>
        </w:rPr>
        <w:t>先生：</w:t>
      </w:r>
    </w:p>
    <w:p w14:paraId="42BBD853">
      <w:pPr>
        <w:spacing w:line="360" w:lineRule="auto"/>
        <w:ind w:firstLine="630"/>
        <w:rPr>
          <w:rFonts w:ascii="宋体" w:hAnsi="宋体"/>
          <w:szCs w:val="21"/>
        </w:rPr>
      </w:pPr>
      <w:r>
        <w:rPr>
          <w:rFonts w:hint="eastAsia" w:ascii="宋体" w:hAnsi="宋体"/>
          <w:szCs w:val="21"/>
        </w:rPr>
        <w:t>为响应你方</w:t>
      </w:r>
      <w:r>
        <w:rPr>
          <w:rFonts w:ascii="宋体" w:hAnsi="宋体"/>
          <w:szCs w:val="21"/>
        </w:rPr>
        <w:t>[]</w:t>
      </w:r>
      <w:r>
        <w:rPr>
          <w:rFonts w:hint="eastAsia" w:ascii="宋体" w:hAnsi="宋体"/>
          <w:szCs w:val="21"/>
        </w:rPr>
        <w:t>年</w:t>
      </w:r>
      <w:r>
        <w:rPr>
          <w:rFonts w:ascii="宋体" w:hAnsi="宋体"/>
          <w:szCs w:val="21"/>
        </w:rPr>
        <w:t>[]</w:t>
      </w:r>
      <w:r>
        <w:rPr>
          <w:rFonts w:hint="eastAsia" w:ascii="宋体" w:hAnsi="宋体"/>
          <w:szCs w:val="21"/>
        </w:rPr>
        <w:t>月</w:t>
      </w:r>
      <w:r>
        <w:rPr>
          <w:rFonts w:ascii="宋体" w:hAnsi="宋体"/>
          <w:szCs w:val="21"/>
        </w:rPr>
        <w:t>[]</w:t>
      </w:r>
      <w:r>
        <w:rPr>
          <w:rFonts w:hint="eastAsia" w:ascii="宋体" w:hAnsi="宋体"/>
          <w:szCs w:val="21"/>
        </w:rPr>
        <w:t>日的</w:t>
      </w:r>
      <w:r>
        <w:rPr>
          <w:rFonts w:ascii="宋体" w:hAnsi="宋体"/>
          <w:szCs w:val="21"/>
        </w:rPr>
        <w:t>[</w:t>
      </w:r>
      <w:r>
        <w:rPr>
          <w:rFonts w:hint="eastAsia" w:ascii="宋体" w:hAnsi="宋体"/>
          <w:szCs w:val="21"/>
          <w:u w:val="single"/>
        </w:rPr>
        <w:t>采购名称</w:t>
      </w:r>
      <w:r>
        <w:rPr>
          <w:rFonts w:ascii="宋体" w:hAnsi="宋体"/>
          <w:szCs w:val="21"/>
          <w:u w:val="single"/>
        </w:rPr>
        <w:t>]</w:t>
      </w:r>
      <w:r>
        <w:rPr>
          <w:rFonts w:ascii="宋体" w:hAnsi="宋体"/>
          <w:szCs w:val="21"/>
        </w:rPr>
        <w:t>采购公告</w:t>
      </w:r>
      <w:r>
        <w:rPr>
          <w:rFonts w:hint="eastAsia" w:ascii="宋体" w:hAnsi="宋体"/>
          <w:szCs w:val="21"/>
        </w:rPr>
        <w:t>，下述签字人自愿参与谈判，提供竞争性谈判文件技术需求书中规定的</w:t>
      </w:r>
      <w:r>
        <w:rPr>
          <w:rFonts w:ascii="宋体" w:hAnsi="宋体"/>
          <w:szCs w:val="21"/>
        </w:rPr>
        <w:t>[</w:t>
      </w:r>
      <w:r>
        <w:rPr>
          <w:rFonts w:hint="eastAsia" w:ascii="宋体" w:hAnsi="宋体"/>
          <w:szCs w:val="21"/>
          <w:u w:val="single"/>
        </w:rPr>
        <w:t>服务名称</w:t>
      </w:r>
      <w:r>
        <w:rPr>
          <w:rFonts w:ascii="宋体" w:hAnsi="宋体"/>
          <w:szCs w:val="21"/>
          <w:u w:val="single"/>
        </w:rPr>
        <w:t>]</w:t>
      </w:r>
      <w:r>
        <w:rPr>
          <w:rFonts w:hint="eastAsia" w:ascii="宋体" w:hAnsi="宋体"/>
          <w:szCs w:val="21"/>
        </w:rPr>
        <w:t>，提交下述文件并声明全部说明是真实的和正确的。下述签字人将就下述文件中存在的虚假或不真实内容对代理机构和采购人承担法律责任。</w:t>
      </w:r>
    </w:p>
    <w:p w14:paraId="1457FCA1">
      <w:pPr>
        <w:numPr>
          <w:ilvl w:val="0"/>
          <w:numId w:val="20"/>
        </w:numPr>
        <w:spacing w:line="360" w:lineRule="auto"/>
        <w:ind w:left="420" w:hanging="420"/>
        <w:rPr>
          <w:rFonts w:ascii="宋体" w:hAnsi="宋体"/>
          <w:szCs w:val="21"/>
        </w:rPr>
      </w:pPr>
      <w:r>
        <w:rPr>
          <w:rFonts w:hint="eastAsia" w:ascii="宋体" w:hAnsi="宋体"/>
          <w:szCs w:val="21"/>
        </w:rPr>
        <w:t>我方的资格声明，各有</w:t>
      </w:r>
      <w:r>
        <w:rPr>
          <w:rFonts w:ascii="宋体" w:hAnsi="宋体"/>
          <w:szCs w:val="21"/>
        </w:rPr>
        <w:t>[]</w:t>
      </w:r>
      <w:r>
        <w:rPr>
          <w:rFonts w:hint="eastAsia" w:ascii="宋体" w:hAnsi="宋体"/>
          <w:szCs w:val="21"/>
        </w:rPr>
        <w:t>份正本，</w:t>
      </w:r>
      <w:r>
        <w:rPr>
          <w:rFonts w:ascii="宋体" w:hAnsi="宋体"/>
          <w:szCs w:val="21"/>
        </w:rPr>
        <w:t>[]</w:t>
      </w:r>
      <w:r>
        <w:rPr>
          <w:rFonts w:hint="eastAsia" w:ascii="宋体" w:hAnsi="宋体"/>
          <w:szCs w:val="21"/>
        </w:rPr>
        <w:t>份副本。</w:t>
      </w:r>
    </w:p>
    <w:p w14:paraId="1E0C5418">
      <w:pPr>
        <w:numPr>
          <w:ilvl w:val="0"/>
          <w:numId w:val="20"/>
        </w:numPr>
        <w:spacing w:line="360" w:lineRule="auto"/>
        <w:ind w:left="420" w:hanging="420"/>
        <w:rPr>
          <w:rFonts w:ascii="宋体" w:hAnsi="宋体"/>
          <w:szCs w:val="21"/>
        </w:rPr>
      </w:pPr>
      <w:r>
        <w:rPr>
          <w:rFonts w:hint="eastAsia" w:ascii="宋体" w:hAnsi="宋体"/>
          <w:szCs w:val="21"/>
        </w:rPr>
        <w:t>下述签字人证明本资格文件中的内容是真实的和正确的。</w:t>
      </w:r>
    </w:p>
    <w:p w14:paraId="214EFF77">
      <w:pPr>
        <w:numPr>
          <w:ilvl w:val="0"/>
          <w:numId w:val="20"/>
        </w:numPr>
        <w:spacing w:line="360" w:lineRule="auto"/>
        <w:ind w:left="420" w:hanging="420"/>
        <w:rPr>
          <w:rFonts w:ascii="宋体" w:hAnsi="宋体"/>
          <w:szCs w:val="21"/>
        </w:rPr>
      </w:pPr>
      <w:r>
        <w:rPr>
          <w:rFonts w:hint="eastAsia" w:ascii="宋体" w:hAnsi="宋体"/>
          <w:szCs w:val="21"/>
        </w:rPr>
        <w:t>下述签字人知道，采购人可能要求其提供进一步的资格材料并同意按采购人的要求提交。</w:t>
      </w:r>
    </w:p>
    <w:p w14:paraId="7B4D4119">
      <w:pPr>
        <w:spacing w:line="360" w:lineRule="auto"/>
        <w:rPr>
          <w:color w:val="000000"/>
        </w:rPr>
      </w:pPr>
      <w:r>
        <w:rPr>
          <w:rFonts w:hint="eastAsia"/>
          <w:b/>
          <w:color w:val="000000"/>
        </w:rPr>
        <w:t>供应商</w:t>
      </w:r>
      <w:r>
        <w:rPr>
          <w:color w:val="000000"/>
        </w:rPr>
        <w:t xml:space="preserve">                                授权签署本资格文件</w:t>
      </w:r>
    </w:p>
    <w:p w14:paraId="328AB8D1">
      <w:pPr>
        <w:spacing w:line="360" w:lineRule="auto"/>
        <w:rPr>
          <w:color w:val="000000"/>
        </w:rPr>
      </w:pPr>
      <w:r>
        <w:rPr>
          <w:color w:val="000000"/>
        </w:rPr>
        <w:t>名称（盖章）      签字人姓名、职务（印刷字体）</w:t>
      </w:r>
    </w:p>
    <w:p w14:paraId="025CE8F3">
      <w:pPr>
        <w:spacing w:line="360" w:lineRule="auto"/>
        <w:rPr>
          <w:color w:val="000000"/>
        </w:rPr>
      </w:pPr>
      <w:r>
        <w:rPr>
          <w:color w:val="000000"/>
        </w:rPr>
        <w:t>地址</w:t>
      </w:r>
    </w:p>
    <w:p w14:paraId="3F6BC92F">
      <w:pPr>
        <w:spacing w:line="360" w:lineRule="auto"/>
        <w:rPr>
          <w:color w:val="000000"/>
          <w:u w:val="single"/>
        </w:rPr>
      </w:pPr>
      <w:r>
        <w:rPr>
          <w:color w:val="000000"/>
        </w:rPr>
        <w:t>传真      签字</w:t>
      </w:r>
    </w:p>
    <w:p w14:paraId="53FB1D14">
      <w:pPr>
        <w:snapToGrid w:val="0"/>
        <w:spacing w:beforeLines="100" w:afterLines="100"/>
        <w:ind w:right="210" w:rightChars="100"/>
        <w:rPr>
          <w:rFonts w:ascii="宋体"/>
          <w:color w:val="000000" w:themeColor="text1"/>
          <w:u w:val="single"/>
        </w:rPr>
      </w:pPr>
      <w:r>
        <w:rPr>
          <w:color w:val="000000"/>
        </w:rPr>
        <w:t>邮编      电话</w:t>
      </w:r>
    </w:p>
    <w:p w14:paraId="6D57B7A2">
      <w:pPr>
        <w:snapToGrid w:val="0"/>
        <w:spacing w:beforeLines="100" w:afterLines="100"/>
        <w:ind w:right="210" w:rightChars="100"/>
        <w:outlineLvl w:val="3"/>
        <w:rPr>
          <w:rFonts w:ascii="黑体" w:eastAsia="黑体"/>
          <w:b/>
          <w:color w:val="000000" w:themeColor="text1"/>
        </w:rPr>
      </w:pPr>
      <w:r>
        <w:rPr>
          <w:rFonts w:ascii="宋体"/>
          <w:color w:val="000000" w:themeColor="text1"/>
          <w:u w:val="single"/>
        </w:rPr>
        <w:br w:type="page"/>
      </w:r>
      <w:r>
        <w:rPr>
          <w:rFonts w:ascii="黑体" w:eastAsia="黑体"/>
          <w:b/>
        </w:rPr>
        <w:t xml:space="preserve">7-2  </w:t>
      </w:r>
      <w:r>
        <w:rPr>
          <w:rFonts w:hint="eastAsia" w:ascii="黑体" w:eastAsia="黑体"/>
          <w:b/>
        </w:rPr>
        <w:t>供应商的资格声明</w:t>
      </w:r>
    </w:p>
    <w:p w14:paraId="494E3E5B">
      <w:pPr>
        <w:spacing w:line="360" w:lineRule="auto"/>
        <w:rPr>
          <w:rFonts w:ascii="宋体" w:hAnsi="宋体"/>
          <w:szCs w:val="21"/>
        </w:rPr>
      </w:pPr>
      <w:r>
        <w:rPr>
          <w:rFonts w:ascii="宋体" w:hAnsi="宋体"/>
          <w:szCs w:val="21"/>
        </w:rPr>
        <w:t>1</w:t>
      </w:r>
      <w:r>
        <w:rPr>
          <w:rFonts w:hint="eastAsia" w:ascii="宋体" w:hAnsi="宋体"/>
          <w:szCs w:val="21"/>
        </w:rPr>
        <w:t>、名称及概况：</w:t>
      </w:r>
    </w:p>
    <w:p w14:paraId="281DEAB9">
      <w:pPr>
        <w:numPr>
          <w:ilvl w:val="0"/>
          <w:numId w:val="21"/>
        </w:numPr>
        <w:spacing w:line="360" w:lineRule="auto"/>
        <w:rPr>
          <w:rFonts w:ascii="宋体" w:hAnsi="宋体"/>
          <w:szCs w:val="21"/>
          <w:u w:val="single"/>
        </w:rPr>
      </w:pPr>
      <w:r>
        <w:rPr>
          <w:rFonts w:hint="eastAsia" w:ascii="宋体" w:hAnsi="宋体"/>
          <w:szCs w:val="21"/>
        </w:rPr>
        <w:t>供应商名称：</w:t>
      </w:r>
    </w:p>
    <w:p w14:paraId="28948DA9">
      <w:pPr>
        <w:numPr>
          <w:ilvl w:val="0"/>
          <w:numId w:val="21"/>
        </w:numPr>
        <w:spacing w:line="360" w:lineRule="auto"/>
        <w:rPr>
          <w:rFonts w:ascii="宋体" w:hAnsi="宋体"/>
          <w:szCs w:val="21"/>
        </w:rPr>
      </w:pPr>
      <w:r>
        <w:rPr>
          <w:rFonts w:hint="eastAsia" w:ascii="宋体" w:hAnsi="宋体"/>
          <w:szCs w:val="21"/>
        </w:rPr>
        <w:t>总部地址：</w:t>
      </w:r>
    </w:p>
    <w:p w14:paraId="78CA46B4">
      <w:pPr>
        <w:spacing w:line="360" w:lineRule="auto"/>
        <w:ind w:left="425"/>
        <w:rPr>
          <w:rFonts w:ascii="宋体" w:hAnsi="宋体"/>
          <w:szCs w:val="21"/>
        </w:rPr>
      </w:pPr>
      <w:r>
        <w:rPr>
          <w:rFonts w:ascii="宋体" w:hAnsi="宋体"/>
          <w:szCs w:val="21"/>
        </w:rPr>
        <w:tab/>
      </w:r>
      <w:r>
        <w:rPr>
          <w:rFonts w:hint="eastAsia" w:ascii="宋体" w:hAnsi="宋体"/>
          <w:szCs w:val="21"/>
        </w:rPr>
        <w:t>电传</w:t>
      </w:r>
      <w:r>
        <w:rPr>
          <w:rFonts w:ascii="宋体" w:hAnsi="宋体"/>
          <w:szCs w:val="21"/>
        </w:rPr>
        <w:t>/</w:t>
      </w:r>
      <w:r>
        <w:rPr>
          <w:rFonts w:hint="eastAsia" w:ascii="宋体" w:hAnsi="宋体"/>
          <w:szCs w:val="21"/>
        </w:rPr>
        <w:t>传真</w:t>
      </w:r>
      <w:r>
        <w:rPr>
          <w:rFonts w:ascii="宋体" w:hAnsi="宋体"/>
          <w:szCs w:val="21"/>
        </w:rPr>
        <w:t>/</w:t>
      </w:r>
      <w:r>
        <w:rPr>
          <w:rFonts w:hint="eastAsia" w:ascii="宋体" w:hAnsi="宋体"/>
          <w:szCs w:val="21"/>
        </w:rPr>
        <w:t>电话号码：</w:t>
      </w:r>
    </w:p>
    <w:p w14:paraId="0C26462C">
      <w:pPr>
        <w:numPr>
          <w:ilvl w:val="0"/>
          <w:numId w:val="21"/>
        </w:numPr>
        <w:spacing w:line="360" w:lineRule="auto"/>
        <w:rPr>
          <w:rFonts w:ascii="宋体" w:hAnsi="宋体"/>
          <w:szCs w:val="21"/>
          <w:u w:val="single"/>
        </w:rPr>
      </w:pPr>
      <w:r>
        <w:rPr>
          <w:rFonts w:hint="eastAsia" w:ascii="宋体" w:hAnsi="宋体"/>
          <w:szCs w:val="21"/>
        </w:rPr>
        <w:t>成立和</w:t>
      </w:r>
      <w:r>
        <w:rPr>
          <w:rFonts w:ascii="宋体" w:hAnsi="宋体"/>
          <w:szCs w:val="21"/>
        </w:rPr>
        <w:t>/</w:t>
      </w:r>
      <w:r>
        <w:rPr>
          <w:rFonts w:hint="eastAsia" w:ascii="宋体" w:hAnsi="宋体"/>
          <w:szCs w:val="21"/>
        </w:rPr>
        <w:t>或注册日期：</w:t>
      </w:r>
    </w:p>
    <w:p w14:paraId="79670873">
      <w:pPr>
        <w:numPr>
          <w:ilvl w:val="0"/>
          <w:numId w:val="21"/>
        </w:numPr>
        <w:spacing w:line="360" w:lineRule="auto"/>
        <w:rPr>
          <w:rFonts w:ascii="宋体" w:hAnsi="宋体"/>
          <w:szCs w:val="21"/>
        </w:rPr>
      </w:pPr>
      <w:r>
        <w:rPr>
          <w:rFonts w:hint="eastAsia" w:ascii="宋体" w:hAnsi="宋体"/>
          <w:szCs w:val="21"/>
        </w:rPr>
        <w:t>实收资本：</w:t>
      </w:r>
    </w:p>
    <w:p w14:paraId="18F598EF">
      <w:pPr>
        <w:numPr>
          <w:ilvl w:val="0"/>
          <w:numId w:val="21"/>
        </w:numPr>
        <w:spacing w:line="360" w:lineRule="auto"/>
        <w:rPr>
          <w:rFonts w:ascii="宋体" w:hAnsi="宋体"/>
          <w:szCs w:val="21"/>
        </w:rPr>
      </w:pPr>
      <w:r>
        <w:rPr>
          <w:rFonts w:hint="eastAsia" w:ascii="宋体" w:hAnsi="宋体"/>
          <w:szCs w:val="21"/>
        </w:rPr>
        <w:t>近期资产负债表（到年月日止）</w:t>
      </w:r>
    </w:p>
    <w:p w14:paraId="5635F361">
      <w:pPr>
        <w:spacing w:line="360" w:lineRule="auto"/>
        <w:ind w:firstLine="420" w:firstLineChars="200"/>
        <w:rPr>
          <w:rFonts w:ascii="宋体" w:hAnsi="宋体"/>
          <w:szCs w:val="21"/>
        </w:rPr>
      </w:pPr>
      <w:r>
        <w:rPr>
          <w:rFonts w:ascii="宋体" w:hAnsi="宋体"/>
          <w:szCs w:val="21"/>
        </w:rPr>
        <w:tab/>
      </w:r>
      <w:r>
        <w:rPr>
          <w:rFonts w:ascii="宋体" w:hAnsi="宋体"/>
          <w:szCs w:val="21"/>
        </w:rPr>
        <w:tab/>
      </w:r>
      <w:r>
        <w:rPr>
          <w:rFonts w:ascii="宋体" w:hAnsi="宋体"/>
          <w:szCs w:val="21"/>
        </w:rPr>
        <w:t>1</w:t>
      </w:r>
      <w:r>
        <w:rPr>
          <w:rFonts w:hint="eastAsia" w:ascii="宋体" w:hAnsi="宋体"/>
          <w:szCs w:val="21"/>
        </w:rPr>
        <w:t>）固定资产：</w:t>
      </w:r>
    </w:p>
    <w:p w14:paraId="56EEDCF6">
      <w:pPr>
        <w:spacing w:line="360" w:lineRule="auto"/>
        <w:ind w:firstLine="420" w:firstLineChars="200"/>
        <w:rPr>
          <w:rFonts w:ascii="宋体" w:hAnsi="宋体"/>
          <w:szCs w:val="21"/>
        </w:rPr>
      </w:pPr>
      <w:r>
        <w:rPr>
          <w:rFonts w:ascii="宋体" w:hAnsi="宋体"/>
          <w:szCs w:val="21"/>
        </w:rPr>
        <w:tab/>
      </w:r>
      <w:r>
        <w:rPr>
          <w:rFonts w:ascii="宋体" w:hAnsi="宋体"/>
          <w:szCs w:val="21"/>
        </w:rPr>
        <w:tab/>
      </w:r>
      <w:r>
        <w:rPr>
          <w:rFonts w:ascii="宋体" w:hAnsi="宋体"/>
          <w:szCs w:val="21"/>
        </w:rPr>
        <w:t>2</w:t>
      </w:r>
      <w:r>
        <w:rPr>
          <w:rFonts w:hint="eastAsia" w:ascii="宋体" w:hAnsi="宋体"/>
          <w:szCs w:val="21"/>
        </w:rPr>
        <w:t>）流动资产：</w:t>
      </w:r>
    </w:p>
    <w:p w14:paraId="45BE413A">
      <w:pPr>
        <w:spacing w:line="360" w:lineRule="auto"/>
        <w:ind w:firstLine="420" w:firstLineChars="200"/>
        <w:rPr>
          <w:rFonts w:ascii="宋体" w:hAnsi="宋体"/>
          <w:szCs w:val="21"/>
        </w:rPr>
      </w:pPr>
      <w:r>
        <w:rPr>
          <w:rFonts w:ascii="宋体" w:hAnsi="宋体"/>
          <w:szCs w:val="21"/>
        </w:rPr>
        <w:tab/>
      </w:r>
      <w:r>
        <w:rPr>
          <w:rFonts w:ascii="宋体" w:hAnsi="宋体"/>
          <w:szCs w:val="21"/>
        </w:rPr>
        <w:tab/>
      </w:r>
      <w:r>
        <w:rPr>
          <w:rFonts w:ascii="宋体" w:hAnsi="宋体"/>
          <w:szCs w:val="21"/>
        </w:rPr>
        <w:t>3</w:t>
      </w:r>
      <w:r>
        <w:rPr>
          <w:rFonts w:hint="eastAsia" w:ascii="宋体" w:hAnsi="宋体"/>
          <w:szCs w:val="21"/>
        </w:rPr>
        <w:t>）长期负债：</w:t>
      </w:r>
    </w:p>
    <w:p w14:paraId="5226C92E">
      <w:pPr>
        <w:spacing w:line="360" w:lineRule="auto"/>
        <w:ind w:firstLine="420" w:firstLineChars="200"/>
        <w:rPr>
          <w:rFonts w:ascii="宋体" w:hAnsi="宋体"/>
          <w:szCs w:val="21"/>
        </w:rPr>
      </w:pPr>
      <w:r>
        <w:rPr>
          <w:rFonts w:ascii="宋体" w:hAnsi="宋体"/>
          <w:szCs w:val="21"/>
        </w:rPr>
        <w:tab/>
      </w:r>
      <w:r>
        <w:rPr>
          <w:rFonts w:ascii="宋体" w:hAnsi="宋体"/>
          <w:szCs w:val="21"/>
        </w:rPr>
        <w:tab/>
      </w:r>
      <w:r>
        <w:rPr>
          <w:rFonts w:ascii="宋体" w:hAnsi="宋体"/>
          <w:szCs w:val="21"/>
        </w:rPr>
        <w:t>4</w:t>
      </w:r>
      <w:r>
        <w:rPr>
          <w:rFonts w:hint="eastAsia" w:ascii="宋体" w:hAnsi="宋体"/>
          <w:szCs w:val="21"/>
        </w:rPr>
        <w:t>）流动负债：</w:t>
      </w:r>
    </w:p>
    <w:p w14:paraId="3FE4E0C7">
      <w:pPr>
        <w:spacing w:line="360" w:lineRule="auto"/>
        <w:ind w:firstLine="420" w:firstLineChars="200"/>
        <w:rPr>
          <w:rFonts w:ascii="宋体" w:hAnsi="宋体"/>
          <w:szCs w:val="21"/>
        </w:rPr>
      </w:pPr>
      <w:r>
        <w:rPr>
          <w:rFonts w:ascii="宋体" w:hAnsi="宋体"/>
          <w:szCs w:val="21"/>
        </w:rPr>
        <w:tab/>
      </w:r>
      <w:r>
        <w:rPr>
          <w:rFonts w:ascii="宋体" w:hAnsi="宋体"/>
          <w:szCs w:val="21"/>
        </w:rPr>
        <w:tab/>
      </w:r>
      <w:r>
        <w:rPr>
          <w:rFonts w:ascii="宋体" w:hAnsi="宋体"/>
          <w:szCs w:val="21"/>
        </w:rPr>
        <w:t>5</w:t>
      </w:r>
      <w:r>
        <w:rPr>
          <w:rFonts w:hint="eastAsia" w:ascii="宋体" w:hAnsi="宋体"/>
          <w:szCs w:val="21"/>
        </w:rPr>
        <w:t>）净值：</w:t>
      </w:r>
    </w:p>
    <w:p w14:paraId="691FF18D">
      <w:pPr>
        <w:numPr>
          <w:ilvl w:val="0"/>
          <w:numId w:val="21"/>
        </w:numPr>
        <w:spacing w:line="360" w:lineRule="auto"/>
        <w:rPr>
          <w:rFonts w:ascii="宋体" w:hAnsi="宋体"/>
          <w:szCs w:val="21"/>
          <w:u w:val="single"/>
        </w:rPr>
      </w:pPr>
      <w:r>
        <w:rPr>
          <w:rFonts w:hint="eastAsia" w:ascii="宋体" w:hAnsi="宋体"/>
          <w:szCs w:val="21"/>
        </w:rPr>
        <w:t>主要负责人名称：（可选填）</w:t>
      </w:r>
    </w:p>
    <w:p w14:paraId="0BB86F65">
      <w:pPr>
        <w:numPr>
          <w:ilvl w:val="0"/>
          <w:numId w:val="21"/>
        </w:numPr>
        <w:spacing w:line="360" w:lineRule="auto"/>
        <w:rPr>
          <w:rFonts w:ascii="宋体" w:hAnsi="宋体"/>
          <w:szCs w:val="21"/>
        </w:rPr>
      </w:pPr>
      <w:r>
        <w:rPr>
          <w:rFonts w:hint="eastAsia" w:ascii="宋体" w:hAnsi="宋体"/>
          <w:szCs w:val="21"/>
        </w:rPr>
        <w:t>供应商在中国的代表的姓名和地址：（可选填）</w:t>
      </w:r>
    </w:p>
    <w:p w14:paraId="492186FF">
      <w:pPr>
        <w:numPr>
          <w:ilvl w:val="0"/>
          <w:numId w:val="21"/>
        </w:numPr>
        <w:spacing w:line="360" w:lineRule="auto"/>
        <w:rPr>
          <w:rFonts w:ascii="宋体" w:hAnsi="宋体"/>
          <w:szCs w:val="21"/>
        </w:rPr>
      </w:pPr>
      <w:r>
        <w:rPr>
          <w:rFonts w:hint="eastAsia" w:ascii="宋体" w:hAnsi="宋体"/>
          <w:szCs w:val="21"/>
        </w:rPr>
        <w:t>供应商简介（包括但不限于业务范围、注册资金、所有权状况、组织机构及职能、人员构成、公司的场地环境和软硬件设施等）：</w:t>
      </w:r>
    </w:p>
    <w:p w14:paraId="66900780">
      <w:pPr>
        <w:numPr>
          <w:ilvl w:val="0"/>
          <w:numId w:val="21"/>
        </w:numPr>
        <w:spacing w:line="360" w:lineRule="auto"/>
        <w:rPr>
          <w:rFonts w:ascii="宋体" w:hAnsi="宋体"/>
          <w:szCs w:val="21"/>
        </w:rPr>
      </w:pPr>
      <w:r>
        <w:rPr>
          <w:rFonts w:hint="eastAsia" w:ascii="宋体" w:hAnsi="宋体"/>
          <w:szCs w:val="21"/>
        </w:rPr>
        <w:t>供应商</w:t>
      </w:r>
      <w:r>
        <w:rPr>
          <w:rFonts w:hint="eastAsia" w:ascii="宋体" w:hAnsi="宋体" w:cs="MS Gothic"/>
          <w:szCs w:val="21"/>
        </w:rPr>
        <w:t>在中国大</w:t>
      </w:r>
      <w:r>
        <w:rPr>
          <w:rFonts w:hint="eastAsia" w:ascii="宋体" w:hAnsi="宋体" w:cs="宋体"/>
          <w:szCs w:val="21"/>
        </w:rPr>
        <w:t>陆</w:t>
      </w:r>
      <w:r>
        <w:rPr>
          <w:rFonts w:hint="eastAsia" w:ascii="宋体" w:hAnsi="宋体" w:cs="MS Gothic"/>
          <w:szCs w:val="21"/>
        </w:rPr>
        <w:t>的分公司及</w:t>
      </w:r>
      <w:r>
        <w:rPr>
          <w:rFonts w:hint="eastAsia" w:ascii="宋体" w:hAnsi="宋体" w:cs="宋体"/>
          <w:szCs w:val="21"/>
        </w:rPr>
        <w:t>办</w:t>
      </w:r>
      <w:r>
        <w:rPr>
          <w:rFonts w:hint="eastAsia" w:ascii="宋体" w:hAnsi="宋体" w:cs="MS Gothic"/>
          <w:szCs w:val="21"/>
        </w:rPr>
        <w:t>事</w:t>
      </w:r>
      <w:r>
        <w:rPr>
          <w:rFonts w:hint="eastAsia" w:ascii="宋体" w:hAnsi="宋体" w:cs="宋体"/>
          <w:szCs w:val="21"/>
        </w:rPr>
        <w:t>处</w:t>
      </w:r>
      <w:r>
        <w:rPr>
          <w:rFonts w:hint="eastAsia" w:ascii="宋体" w:hAnsi="宋体" w:cs="MS Gothic"/>
          <w:szCs w:val="21"/>
        </w:rPr>
        <w:t>信息</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088"/>
        <w:gridCol w:w="3978"/>
        <w:gridCol w:w="1155"/>
        <w:gridCol w:w="1072"/>
        <w:gridCol w:w="1066"/>
      </w:tblGrid>
      <w:tr w14:paraId="0C03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23BAB289">
            <w:pPr>
              <w:tabs>
                <w:tab w:val="left" w:pos="930"/>
                <w:tab w:val="left" w:pos="8364"/>
              </w:tabs>
              <w:ind w:right="-58"/>
              <w:jc w:val="center"/>
              <w:rPr>
                <w:rFonts w:ascii="宋体" w:hAnsi="宋体"/>
                <w:spacing w:val="20"/>
                <w:szCs w:val="21"/>
              </w:rPr>
            </w:pPr>
            <w:r>
              <w:rPr>
                <w:rFonts w:hint="eastAsia" w:ascii="宋体" w:hAnsi="宋体"/>
                <w:spacing w:val="20"/>
                <w:szCs w:val="21"/>
              </w:rPr>
              <w:t>序号</w:t>
            </w:r>
          </w:p>
        </w:tc>
        <w:tc>
          <w:tcPr>
            <w:tcW w:w="1088" w:type="dxa"/>
          </w:tcPr>
          <w:p w14:paraId="006A5B53">
            <w:pPr>
              <w:tabs>
                <w:tab w:val="left" w:pos="930"/>
                <w:tab w:val="left" w:pos="8364"/>
              </w:tabs>
              <w:ind w:right="-58"/>
              <w:rPr>
                <w:rFonts w:ascii="宋体" w:hAnsi="宋体"/>
                <w:spacing w:val="20"/>
                <w:szCs w:val="21"/>
              </w:rPr>
            </w:pPr>
            <w:r>
              <w:rPr>
                <w:rFonts w:hint="eastAsia" w:ascii="宋体" w:hAnsi="宋体"/>
                <w:spacing w:val="20"/>
                <w:szCs w:val="21"/>
              </w:rPr>
              <w:t>地区</w:t>
            </w:r>
          </w:p>
        </w:tc>
        <w:tc>
          <w:tcPr>
            <w:tcW w:w="3978" w:type="dxa"/>
          </w:tcPr>
          <w:p w14:paraId="754DF97F">
            <w:pPr>
              <w:tabs>
                <w:tab w:val="left" w:pos="930"/>
                <w:tab w:val="left" w:pos="8364"/>
              </w:tabs>
              <w:ind w:right="-58"/>
              <w:rPr>
                <w:rFonts w:ascii="宋体" w:hAnsi="宋体"/>
                <w:spacing w:val="20"/>
                <w:szCs w:val="21"/>
              </w:rPr>
            </w:pPr>
            <w:r>
              <w:rPr>
                <w:rFonts w:hint="eastAsia" w:ascii="宋体" w:hAnsi="宋体"/>
                <w:spacing w:val="20"/>
                <w:szCs w:val="21"/>
              </w:rPr>
              <w:t>分公司</w:t>
            </w:r>
            <w:r>
              <w:rPr>
                <w:rFonts w:ascii="宋体" w:hAnsi="宋体"/>
                <w:spacing w:val="20"/>
                <w:szCs w:val="21"/>
              </w:rPr>
              <w:t>/</w:t>
            </w:r>
            <w:r>
              <w:rPr>
                <w:rFonts w:hint="eastAsia" w:ascii="宋体" w:hAnsi="宋体" w:cs="宋体"/>
                <w:spacing w:val="20"/>
                <w:szCs w:val="21"/>
              </w:rPr>
              <w:t>办</w:t>
            </w:r>
            <w:r>
              <w:rPr>
                <w:rFonts w:hint="eastAsia" w:ascii="宋体" w:hAnsi="宋体" w:cs="MS Gothic"/>
                <w:spacing w:val="20"/>
                <w:szCs w:val="21"/>
              </w:rPr>
              <w:t>事</w:t>
            </w:r>
            <w:r>
              <w:rPr>
                <w:rFonts w:hint="eastAsia" w:ascii="宋体" w:hAnsi="宋体" w:cs="宋体"/>
                <w:spacing w:val="20"/>
                <w:szCs w:val="21"/>
              </w:rPr>
              <w:t>处</w:t>
            </w:r>
            <w:r>
              <w:rPr>
                <w:rFonts w:hint="eastAsia" w:ascii="宋体" w:hAnsi="宋体" w:cs="MS Gothic"/>
                <w:spacing w:val="20"/>
                <w:szCs w:val="21"/>
              </w:rPr>
              <w:t>地址</w:t>
            </w:r>
            <w:r>
              <w:rPr>
                <w:rFonts w:ascii="宋体" w:hAnsi="宋体"/>
                <w:spacing w:val="20"/>
                <w:szCs w:val="21"/>
              </w:rPr>
              <w:t>/</w:t>
            </w:r>
            <w:r>
              <w:rPr>
                <w:rFonts w:hint="eastAsia" w:ascii="宋体" w:hAnsi="宋体" w:cs="宋体"/>
                <w:spacing w:val="20"/>
                <w:szCs w:val="21"/>
              </w:rPr>
              <w:t>联</w:t>
            </w:r>
            <w:r>
              <w:rPr>
                <w:rFonts w:hint="eastAsia" w:ascii="宋体" w:hAnsi="宋体" w:cs="MS Gothic"/>
                <w:spacing w:val="20"/>
                <w:szCs w:val="21"/>
              </w:rPr>
              <w:t>系</w:t>
            </w:r>
            <w:r>
              <w:rPr>
                <w:rFonts w:hint="eastAsia" w:ascii="宋体" w:hAnsi="宋体" w:cs="宋体"/>
                <w:spacing w:val="20"/>
                <w:szCs w:val="21"/>
              </w:rPr>
              <w:t>电话</w:t>
            </w:r>
          </w:p>
        </w:tc>
        <w:tc>
          <w:tcPr>
            <w:tcW w:w="1155" w:type="dxa"/>
          </w:tcPr>
          <w:p w14:paraId="6368A28A">
            <w:pPr>
              <w:tabs>
                <w:tab w:val="left" w:pos="930"/>
                <w:tab w:val="left" w:pos="8364"/>
              </w:tabs>
              <w:ind w:right="-58"/>
              <w:rPr>
                <w:rFonts w:ascii="宋体" w:hAnsi="宋体"/>
                <w:spacing w:val="20"/>
                <w:szCs w:val="21"/>
              </w:rPr>
            </w:pPr>
            <w:r>
              <w:rPr>
                <w:rFonts w:hint="eastAsia" w:ascii="宋体" w:hAnsi="宋体" w:cs="宋体"/>
                <w:spacing w:val="20"/>
                <w:szCs w:val="21"/>
              </w:rPr>
              <w:t>负责</w:t>
            </w:r>
            <w:r>
              <w:rPr>
                <w:rFonts w:hint="eastAsia" w:ascii="宋体" w:hAnsi="宋体" w:cs="MS Gothic"/>
                <w:spacing w:val="20"/>
                <w:szCs w:val="21"/>
              </w:rPr>
              <w:t>人</w:t>
            </w:r>
          </w:p>
        </w:tc>
        <w:tc>
          <w:tcPr>
            <w:tcW w:w="1072" w:type="dxa"/>
          </w:tcPr>
          <w:p w14:paraId="4CC8E539">
            <w:pPr>
              <w:tabs>
                <w:tab w:val="left" w:pos="930"/>
                <w:tab w:val="left" w:pos="8364"/>
              </w:tabs>
              <w:ind w:right="-58"/>
              <w:rPr>
                <w:rFonts w:ascii="宋体" w:hAnsi="宋体"/>
                <w:spacing w:val="20"/>
                <w:szCs w:val="21"/>
              </w:rPr>
            </w:pPr>
            <w:r>
              <w:rPr>
                <w:rFonts w:hint="eastAsia" w:ascii="宋体" w:hAnsi="宋体"/>
                <w:spacing w:val="20"/>
                <w:szCs w:val="21"/>
              </w:rPr>
              <w:t>技</w:t>
            </w:r>
            <w:r>
              <w:rPr>
                <w:rFonts w:hint="eastAsia" w:ascii="宋体" w:hAnsi="宋体" w:cs="宋体"/>
                <w:spacing w:val="20"/>
                <w:szCs w:val="21"/>
              </w:rPr>
              <w:t>术</w:t>
            </w:r>
            <w:r>
              <w:rPr>
                <w:rFonts w:hint="eastAsia" w:ascii="宋体" w:hAnsi="宋体" w:cs="MS Gothic"/>
                <w:spacing w:val="20"/>
                <w:szCs w:val="21"/>
              </w:rPr>
              <w:t>人</w:t>
            </w:r>
          </w:p>
          <w:p w14:paraId="228C0735">
            <w:pPr>
              <w:tabs>
                <w:tab w:val="left" w:pos="930"/>
                <w:tab w:val="left" w:pos="8364"/>
              </w:tabs>
              <w:ind w:right="-58"/>
              <w:rPr>
                <w:rFonts w:ascii="宋体" w:hAnsi="宋体"/>
                <w:spacing w:val="20"/>
                <w:szCs w:val="21"/>
              </w:rPr>
            </w:pPr>
            <w:r>
              <w:rPr>
                <w:rFonts w:hint="eastAsia" w:ascii="宋体" w:hAnsi="宋体" w:cs="宋体"/>
                <w:spacing w:val="20"/>
                <w:szCs w:val="21"/>
              </w:rPr>
              <w:t>员</w:t>
            </w:r>
            <w:r>
              <w:rPr>
                <w:rFonts w:hint="eastAsia" w:ascii="宋体" w:hAnsi="宋体" w:cs="MS Gothic"/>
                <w:spacing w:val="20"/>
                <w:szCs w:val="21"/>
              </w:rPr>
              <w:t>数量</w:t>
            </w:r>
          </w:p>
        </w:tc>
        <w:tc>
          <w:tcPr>
            <w:tcW w:w="1066" w:type="dxa"/>
          </w:tcPr>
          <w:p w14:paraId="77A7C188">
            <w:pPr>
              <w:tabs>
                <w:tab w:val="left" w:pos="930"/>
                <w:tab w:val="left" w:pos="8364"/>
              </w:tabs>
              <w:ind w:right="-58"/>
              <w:rPr>
                <w:rFonts w:ascii="宋体" w:hAnsi="宋体"/>
                <w:spacing w:val="20"/>
                <w:szCs w:val="21"/>
              </w:rPr>
            </w:pPr>
            <w:r>
              <w:rPr>
                <w:rFonts w:hint="eastAsia" w:ascii="宋体" w:hAnsi="宋体"/>
                <w:spacing w:val="20"/>
                <w:szCs w:val="21"/>
              </w:rPr>
              <w:t>商</w:t>
            </w:r>
            <w:r>
              <w:rPr>
                <w:rFonts w:hint="eastAsia" w:ascii="宋体" w:hAnsi="宋体" w:cs="宋体"/>
                <w:spacing w:val="20"/>
                <w:szCs w:val="21"/>
              </w:rPr>
              <w:t>务</w:t>
            </w:r>
            <w:r>
              <w:rPr>
                <w:rFonts w:hint="eastAsia" w:ascii="宋体" w:hAnsi="宋体" w:cs="MS Gothic"/>
                <w:spacing w:val="20"/>
                <w:szCs w:val="21"/>
              </w:rPr>
              <w:t>人</w:t>
            </w:r>
          </w:p>
          <w:p w14:paraId="7AA29A03">
            <w:pPr>
              <w:tabs>
                <w:tab w:val="left" w:pos="930"/>
                <w:tab w:val="left" w:pos="8364"/>
              </w:tabs>
              <w:ind w:right="-58"/>
              <w:rPr>
                <w:rFonts w:ascii="宋体" w:hAnsi="宋体"/>
                <w:spacing w:val="20"/>
                <w:szCs w:val="21"/>
              </w:rPr>
            </w:pPr>
            <w:r>
              <w:rPr>
                <w:rFonts w:hint="eastAsia" w:ascii="宋体" w:hAnsi="宋体" w:cs="宋体"/>
                <w:spacing w:val="20"/>
                <w:szCs w:val="21"/>
              </w:rPr>
              <w:t>员</w:t>
            </w:r>
            <w:r>
              <w:rPr>
                <w:rFonts w:hint="eastAsia" w:ascii="宋体" w:hAnsi="宋体" w:cs="MS Gothic"/>
                <w:spacing w:val="20"/>
                <w:szCs w:val="21"/>
              </w:rPr>
              <w:t>数量</w:t>
            </w:r>
          </w:p>
        </w:tc>
      </w:tr>
      <w:tr w14:paraId="51A4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44B9D2BF">
            <w:pPr>
              <w:tabs>
                <w:tab w:val="left" w:pos="930"/>
                <w:tab w:val="left" w:pos="8364"/>
              </w:tabs>
              <w:ind w:right="-58"/>
              <w:jc w:val="center"/>
              <w:rPr>
                <w:rFonts w:ascii="宋体" w:hAnsi="宋体"/>
                <w:spacing w:val="20"/>
                <w:szCs w:val="21"/>
              </w:rPr>
            </w:pPr>
          </w:p>
        </w:tc>
        <w:tc>
          <w:tcPr>
            <w:tcW w:w="1088" w:type="dxa"/>
          </w:tcPr>
          <w:p w14:paraId="40E08BB2">
            <w:pPr>
              <w:tabs>
                <w:tab w:val="left" w:pos="930"/>
                <w:tab w:val="left" w:pos="8364"/>
              </w:tabs>
              <w:ind w:right="-58"/>
              <w:rPr>
                <w:rFonts w:ascii="宋体" w:hAnsi="宋体"/>
                <w:spacing w:val="20"/>
                <w:szCs w:val="21"/>
              </w:rPr>
            </w:pPr>
          </w:p>
        </w:tc>
        <w:tc>
          <w:tcPr>
            <w:tcW w:w="3978" w:type="dxa"/>
          </w:tcPr>
          <w:p w14:paraId="714AC168">
            <w:pPr>
              <w:tabs>
                <w:tab w:val="left" w:pos="930"/>
                <w:tab w:val="left" w:pos="8364"/>
              </w:tabs>
              <w:ind w:right="-58"/>
              <w:rPr>
                <w:rFonts w:ascii="宋体" w:hAnsi="宋体"/>
                <w:spacing w:val="20"/>
                <w:szCs w:val="21"/>
              </w:rPr>
            </w:pPr>
          </w:p>
        </w:tc>
        <w:tc>
          <w:tcPr>
            <w:tcW w:w="1155" w:type="dxa"/>
          </w:tcPr>
          <w:p w14:paraId="04526513">
            <w:pPr>
              <w:tabs>
                <w:tab w:val="left" w:pos="930"/>
                <w:tab w:val="left" w:pos="8364"/>
              </w:tabs>
              <w:ind w:right="-58"/>
              <w:rPr>
                <w:rFonts w:ascii="宋体" w:hAnsi="宋体"/>
                <w:spacing w:val="20"/>
                <w:szCs w:val="21"/>
              </w:rPr>
            </w:pPr>
          </w:p>
        </w:tc>
        <w:tc>
          <w:tcPr>
            <w:tcW w:w="1072" w:type="dxa"/>
          </w:tcPr>
          <w:p w14:paraId="3382B00E">
            <w:pPr>
              <w:tabs>
                <w:tab w:val="left" w:pos="930"/>
                <w:tab w:val="left" w:pos="8364"/>
              </w:tabs>
              <w:ind w:right="-58"/>
              <w:rPr>
                <w:rFonts w:ascii="宋体" w:hAnsi="宋体"/>
                <w:spacing w:val="20"/>
                <w:szCs w:val="21"/>
              </w:rPr>
            </w:pPr>
          </w:p>
        </w:tc>
        <w:tc>
          <w:tcPr>
            <w:tcW w:w="1066" w:type="dxa"/>
          </w:tcPr>
          <w:p w14:paraId="30B7A736">
            <w:pPr>
              <w:tabs>
                <w:tab w:val="left" w:pos="930"/>
                <w:tab w:val="left" w:pos="8364"/>
              </w:tabs>
              <w:ind w:right="-58"/>
              <w:rPr>
                <w:rFonts w:ascii="宋体" w:hAnsi="宋体"/>
                <w:spacing w:val="20"/>
                <w:szCs w:val="21"/>
              </w:rPr>
            </w:pPr>
          </w:p>
        </w:tc>
      </w:tr>
      <w:tr w14:paraId="54D4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624247C8">
            <w:pPr>
              <w:tabs>
                <w:tab w:val="left" w:pos="930"/>
                <w:tab w:val="left" w:pos="8364"/>
              </w:tabs>
              <w:ind w:right="-58"/>
              <w:jc w:val="center"/>
              <w:rPr>
                <w:rFonts w:ascii="宋体" w:hAnsi="宋体"/>
                <w:spacing w:val="20"/>
                <w:szCs w:val="21"/>
              </w:rPr>
            </w:pPr>
          </w:p>
        </w:tc>
        <w:tc>
          <w:tcPr>
            <w:tcW w:w="1088" w:type="dxa"/>
          </w:tcPr>
          <w:p w14:paraId="37FA7F8E">
            <w:pPr>
              <w:tabs>
                <w:tab w:val="left" w:pos="930"/>
                <w:tab w:val="left" w:pos="8364"/>
              </w:tabs>
              <w:ind w:right="-58"/>
              <w:rPr>
                <w:rFonts w:ascii="宋体" w:hAnsi="宋体"/>
                <w:spacing w:val="20"/>
                <w:szCs w:val="21"/>
              </w:rPr>
            </w:pPr>
          </w:p>
        </w:tc>
        <w:tc>
          <w:tcPr>
            <w:tcW w:w="3978" w:type="dxa"/>
          </w:tcPr>
          <w:p w14:paraId="053520B7">
            <w:pPr>
              <w:tabs>
                <w:tab w:val="left" w:pos="930"/>
                <w:tab w:val="left" w:pos="8364"/>
              </w:tabs>
              <w:ind w:right="-58"/>
              <w:rPr>
                <w:rFonts w:ascii="宋体" w:hAnsi="宋体"/>
                <w:spacing w:val="20"/>
                <w:szCs w:val="21"/>
              </w:rPr>
            </w:pPr>
          </w:p>
        </w:tc>
        <w:tc>
          <w:tcPr>
            <w:tcW w:w="1155" w:type="dxa"/>
          </w:tcPr>
          <w:p w14:paraId="188C83F2">
            <w:pPr>
              <w:tabs>
                <w:tab w:val="left" w:pos="930"/>
                <w:tab w:val="left" w:pos="8364"/>
              </w:tabs>
              <w:ind w:right="-58"/>
              <w:rPr>
                <w:rFonts w:ascii="宋体" w:hAnsi="宋体"/>
                <w:spacing w:val="20"/>
                <w:szCs w:val="21"/>
              </w:rPr>
            </w:pPr>
          </w:p>
        </w:tc>
        <w:tc>
          <w:tcPr>
            <w:tcW w:w="1072" w:type="dxa"/>
          </w:tcPr>
          <w:p w14:paraId="158B22FA">
            <w:pPr>
              <w:tabs>
                <w:tab w:val="left" w:pos="930"/>
                <w:tab w:val="left" w:pos="8364"/>
              </w:tabs>
              <w:ind w:right="-58"/>
              <w:rPr>
                <w:rFonts w:ascii="宋体" w:hAnsi="宋体"/>
                <w:spacing w:val="20"/>
                <w:szCs w:val="21"/>
              </w:rPr>
            </w:pPr>
          </w:p>
        </w:tc>
        <w:tc>
          <w:tcPr>
            <w:tcW w:w="1066" w:type="dxa"/>
          </w:tcPr>
          <w:p w14:paraId="38169AFF">
            <w:pPr>
              <w:tabs>
                <w:tab w:val="left" w:pos="930"/>
                <w:tab w:val="left" w:pos="8364"/>
              </w:tabs>
              <w:ind w:right="-58"/>
              <w:rPr>
                <w:rFonts w:ascii="宋体" w:hAnsi="宋体"/>
                <w:spacing w:val="20"/>
                <w:szCs w:val="21"/>
              </w:rPr>
            </w:pPr>
          </w:p>
        </w:tc>
      </w:tr>
      <w:tr w14:paraId="7D66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dxa"/>
          </w:tcPr>
          <w:p w14:paraId="42ED47CD">
            <w:pPr>
              <w:tabs>
                <w:tab w:val="left" w:pos="930"/>
                <w:tab w:val="left" w:pos="8364"/>
              </w:tabs>
              <w:ind w:right="-58"/>
              <w:jc w:val="center"/>
              <w:rPr>
                <w:rFonts w:ascii="宋体" w:hAnsi="宋体"/>
                <w:spacing w:val="20"/>
                <w:szCs w:val="21"/>
              </w:rPr>
            </w:pPr>
          </w:p>
        </w:tc>
        <w:tc>
          <w:tcPr>
            <w:tcW w:w="1088" w:type="dxa"/>
          </w:tcPr>
          <w:p w14:paraId="1AF55E91">
            <w:pPr>
              <w:tabs>
                <w:tab w:val="left" w:pos="930"/>
                <w:tab w:val="left" w:pos="8364"/>
              </w:tabs>
              <w:ind w:right="-58"/>
              <w:rPr>
                <w:rFonts w:ascii="宋体" w:hAnsi="宋体"/>
                <w:spacing w:val="20"/>
                <w:szCs w:val="21"/>
              </w:rPr>
            </w:pPr>
          </w:p>
        </w:tc>
        <w:tc>
          <w:tcPr>
            <w:tcW w:w="3978" w:type="dxa"/>
          </w:tcPr>
          <w:p w14:paraId="3E4834FA">
            <w:pPr>
              <w:tabs>
                <w:tab w:val="left" w:pos="930"/>
                <w:tab w:val="left" w:pos="8364"/>
              </w:tabs>
              <w:ind w:right="-58"/>
              <w:rPr>
                <w:rFonts w:ascii="宋体" w:hAnsi="宋体"/>
                <w:spacing w:val="20"/>
                <w:szCs w:val="21"/>
              </w:rPr>
            </w:pPr>
          </w:p>
        </w:tc>
        <w:tc>
          <w:tcPr>
            <w:tcW w:w="1155" w:type="dxa"/>
          </w:tcPr>
          <w:p w14:paraId="71ED48AB">
            <w:pPr>
              <w:tabs>
                <w:tab w:val="left" w:pos="930"/>
                <w:tab w:val="left" w:pos="8364"/>
              </w:tabs>
              <w:ind w:right="-58"/>
              <w:rPr>
                <w:rFonts w:ascii="宋体" w:hAnsi="宋体"/>
                <w:spacing w:val="20"/>
                <w:szCs w:val="21"/>
              </w:rPr>
            </w:pPr>
          </w:p>
        </w:tc>
        <w:tc>
          <w:tcPr>
            <w:tcW w:w="1072" w:type="dxa"/>
          </w:tcPr>
          <w:p w14:paraId="3D2BCF7C">
            <w:pPr>
              <w:tabs>
                <w:tab w:val="left" w:pos="930"/>
                <w:tab w:val="left" w:pos="8364"/>
              </w:tabs>
              <w:ind w:right="-58"/>
              <w:rPr>
                <w:rFonts w:ascii="宋体" w:hAnsi="宋体"/>
                <w:spacing w:val="20"/>
                <w:szCs w:val="21"/>
              </w:rPr>
            </w:pPr>
          </w:p>
        </w:tc>
        <w:tc>
          <w:tcPr>
            <w:tcW w:w="1066" w:type="dxa"/>
          </w:tcPr>
          <w:p w14:paraId="28C91F9F">
            <w:pPr>
              <w:tabs>
                <w:tab w:val="left" w:pos="930"/>
                <w:tab w:val="left" w:pos="8364"/>
              </w:tabs>
              <w:ind w:right="-58"/>
              <w:rPr>
                <w:rFonts w:ascii="宋体" w:hAnsi="宋体"/>
                <w:spacing w:val="20"/>
                <w:szCs w:val="21"/>
              </w:rPr>
            </w:pPr>
          </w:p>
        </w:tc>
      </w:tr>
    </w:tbl>
    <w:p w14:paraId="40FB08C8">
      <w:pPr>
        <w:numPr>
          <w:ilvl w:val="0"/>
          <w:numId w:val="21"/>
        </w:numPr>
        <w:spacing w:line="360" w:lineRule="auto"/>
        <w:rPr>
          <w:rFonts w:ascii="宋体" w:hAnsi="宋体"/>
          <w:szCs w:val="21"/>
        </w:rPr>
      </w:pPr>
      <w:r>
        <w:rPr>
          <w:rFonts w:hint="eastAsia" w:ascii="宋体" w:hAnsi="宋体"/>
          <w:szCs w:val="21"/>
        </w:rPr>
        <w:t>研发能力及人员配备：</w:t>
      </w:r>
    </w:p>
    <w:p w14:paraId="57780731">
      <w:pPr>
        <w:spacing w:line="360" w:lineRule="auto"/>
        <w:ind w:left="425"/>
        <w:rPr>
          <w:rFonts w:ascii="宋体" w:hAnsi="宋体"/>
          <w:szCs w:val="21"/>
        </w:rPr>
      </w:pPr>
    </w:p>
    <w:p w14:paraId="463C85C1">
      <w:pPr>
        <w:spacing w:line="360" w:lineRule="auto"/>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有关开户银行的名称和地址：</w:t>
      </w:r>
    </w:p>
    <w:p w14:paraId="079BDE02">
      <w:pPr>
        <w:spacing w:line="360" w:lineRule="auto"/>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供应商所属的集团公司，如有的话：</w:t>
      </w:r>
    </w:p>
    <w:p w14:paraId="3DF562E0">
      <w:pPr>
        <w:spacing w:line="360"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其他情况：</w:t>
      </w:r>
    </w:p>
    <w:p w14:paraId="1AB93354">
      <w:pPr>
        <w:spacing w:line="360" w:lineRule="auto"/>
        <w:ind w:firstLine="420" w:firstLineChars="200"/>
        <w:rPr>
          <w:rFonts w:ascii="宋体" w:hAnsi="宋体"/>
          <w:szCs w:val="21"/>
        </w:rPr>
      </w:pPr>
      <w:r>
        <w:rPr>
          <w:rFonts w:hint="eastAsia" w:ascii="宋体" w:hAnsi="宋体"/>
          <w:szCs w:val="21"/>
        </w:rPr>
        <w:t>兹证明上述声明是真实、正确的，并提供了全部能提供的资料和数据，我们同意遵照贵方要求出示有关证明文件。</w:t>
      </w:r>
    </w:p>
    <w:p w14:paraId="2F387322">
      <w:pPr>
        <w:spacing w:line="360" w:lineRule="auto"/>
        <w:rPr>
          <w:rFonts w:ascii="宋体" w:hAnsi="宋体"/>
          <w:szCs w:val="21"/>
        </w:rPr>
      </w:pPr>
    </w:p>
    <w:p w14:paraId="129FACAA">
      <w:pPr>
        <w:spacing w:line="360" w:lineRule="auto"/>
        <w:rPr>
          <w:rFonts w:ascii="宋体" w:hAnsi="宋体"/>
          <w:szCs w:val="21"/>
        </w:rPr>
      </w:pPr>
      <w:r>
        <w:rPr>
          <w:rFonts w:hint="eastAsia" w:ascii="宋体" w:hAnsi="宋体"/>
          <w:szCs w:val="21"/>
        </w:rPr>
        <w:t>供应商名称（盖章）：</w:t>
      </w:r>
    </w:p>
    <w:p w14:paraId="0553B112">
      <w:pPr>
        <w:spacing w:line="360" w:lineRule="auto"/>
        <w:rPr>
          <w:rFonts w:ascii="宋体" w:hAnsi="宋体"/>
          <w:szCs w:val="21"/>
        </w:rPr>
      </w:pPr>
      <w:r>
        <w:rPr>
          <w:rFonts w:hint="eastAsia" w:ascii="宋体" w:hAnsi="宋体"/>
          <w:szCs w:val="21"/>
        </w:rPr>
        <w:t>签字人姓名和职务：</w:t>
      </w:r>
    </w:p>
    <w:p w14:paraId="67952030">
      <w:pPr>
        <w:spacing w:line="360" w:lineRule="auto"/>
        <w:rPr>
          <w:rFonts w:ascii="宋体" w:hAnsi="宋体"/>
          <w:szCs w:val="21"/>
        </w:rPr>
      </w:pPr>
      <w:r>
        <w:rPr>
          <w:rFonts w:hint="eastAsia" w:ascii="宋体" w:hAnsi="宋体"/>
          <w:szCs w:val="21"/>
        </w:rPr>
        <w:t>签字人签字：</w:t>
      </w:r>
    </w:p>
    <w:p w14:paraId="7BD237E5">
      <w:pPr>
        <w:spacing w:line="360" w:lineRule="auto"/>
        <w:rPr>
          <w:rFonts w:ascii="宋体" w:hAnsi="宋体"/>
          <w:szCs w:val="21"/>
        </w:rPr>
      </w:pPr>
      <w:r>
        <w:rPr>
          <w:rFonts w:hint="eastAsia" w:ascii="宋体" w:hAnsi="宋体"/>
          <w:szCs w:val="21"/>
        </w:rPr>
        <w:t>签字日期：</w:t>
      </w:r>
    </w:p>
    <w:p w14:paraId="4540853A">
      <w:pPr>
        <w:spacing w:line="360" w:lineRule="auto"/>
        <w:rPr>
          <w:rFonts w:ascii="宋体" w:hAnsi="宋体"/>
          <w:szCs w:val="21"/>
        </w:rPr>
      </w:pPr>
      <w:r>
        <w:rPr>
          <w:rFonts w:hint="eastAsia" w:ascii="宋体" w:hAnsi="宋体"/>
          <w:szCs w:val="21"/>
        </w:rPr>
        <w:t>传真：</w:t>
      </w:r>
    </w:p>
    <w:p w14:paraId="76389DFE">
      <w:pPr>
        <w:spacing w:line="360" w:lineRule="auto"/>
        <w:rPr>
          <w:rFonts w:ascii="宋体" w:hAnsi="宋体"/>
          <w:szCs w:val="21"/>
        </w:rPr>
      </w:pPr>
      <w:r>
        <w:rPr>
          <w:rFonts w:hint="eastAsia" w:ascii="宋体" w:hAnsi="宋体"/>
          <w:szCs w:val="21"/>
        </w:rPr>
        <w:t>电话：</w:t>
      </w:r>
    </w:p>
    <w:p w14:paraId="288DB715">
      <w:pPr>
        <w:spacing w:line="360" w:lineRule="auto"/>
      </w:pPr>
      <w:r>
        <w:rPr>
          <w:rFonts w:hint="eastAsia"/>
        </w:rPr>
        <w:t>电子</w:t>
      </w:r>
      <w:r>
        <w:t>函件：</w:t>
      </w:r>
    </w:p>
    <w:p w14:paraId="28EB2B00">
      <w:pPr>
        <w:snapToGrid w:val="0"/>
        <w:spacing w:beforeLines="100" w:afterLines="100"/>
        <w:ind w:right="210" w:rightChars="100" w:firstLine="440"/>
        <w:rPr>
          <w:rFonts w:ascii="宋体" w:hAnsi="宋体"/>
          <w:color w:val="000000" w:themeColor="text1"/>
          <w:szCs w:val="21"/>
        </w:rPr>
        <w:sectPr>
          <w:pgSz w:w="12240" w:h="15840"/>
          <w:pgMar w:top="1440" w:right="1800" w:bottom="1440" w:left="1800" w:header="720" w:footer="720" w:gutter="0"/>
          <w:cols w:space="720" w:num="1"/>
        </w:sectPr>
      </w:pPr>
    </w:p>
    <w:p w14:paraId="24B95577">
      <w:pPr>
        <w:snapToGrid w:val="0"/>
        <w:spacing w:beforeLines="100" w:afterLines="100"/>
        <w:ind w:right="210" w:rightChars="100"/>
        <w:outlineLvl w:val="3"/>
        <w:rPr>
          <w:rFonts w:ascii="黑体" w:eastAsia="黑体"/>
          <w:b/>
        </w:rPr>
      </w:pPr>
      <w:r>
        <w:rPr>
          <w:rFonts w:ascii="黑体" w:eastAsia="黑体"/>
          <w:b/>
        </w:rPr>
        <w:t xml:space="preserve">7-3  </w:t>
      </w:r>
      <w:r>
        <w:rPr>
          <w:rFonts w:hint="eastAsia" w:ascii="黑体" w:eastAsia="黑体"/>
          <w:b/>
        </w:rPr>
        <w:t>其它资格证明文件要求</w:t>
      </w:r>
    </w:p>
    <w:p w14:paraId="13412551">
      <w:pPr>
        <w:snapToGrid w:val="0"/>
        <w:spacing w:beforeLines="100" w:afterLines="100"/>
        <w:ind w:right="210" w:rightChars="100"/>
        <w:rPr>
          <w:color w:val="000000" w:themeColor="text1"/>
        </w:rPr>
      </w:pPr>
      <w:r>
        <w:rPr>
          <w:rFonts w:hint="eastAsia"/>
          <w:color w:val="000000" w:themeColor="text1"/>
        </w:rPr>
        <w:t>1</w:t>
      </w:r>
      <w:r>
        <w:rPr>
          <w:color w:val="000000" w:themeColor="text1"/>
        </w:rPr>
        <w:t>.</w:t>
      </w:r>
      <w:r>
        <w:rPr>
          <w:rFonts w:hint="eastAsia"/>
          <w:color w:val="000000" w:themeColor="text1"/>
        </w:rPr>
        <w:t>满足竞争性谈判文件要求的其他证明文件。</w:t>
      </w:r>
    </w:p>
    <w:p w14:paraId="5FACD22A">
      <w:pPr>
        <w:snapToGrid w:val="0"/>
        <w:spacing w:beforeLines="100" w:afterLines="100"/>
        <w:ind w:right="210" w:rightChars="100"/>
        <w:rPr>
          <w:color w:val="000000" w:themeColor="text1"/>
        </w:rPr>
      </w:pPr>
      <w:r>
        <w:rPr>
          <w:color w:val="000000" w:themeColor="text1"/>
        </w:rPr>
        <w:t>2.</w:t>
      </w:r>
      <w:r>
        <w:rPr>
          <w:rFonts w:hint="eastAsia"/>
          <w:color w:val="000000" w:themeColor="text1"/>
        </w:rPr>
        <w:t>供应商认为需要提供的其他文件。</w:t>
      </w:r>
    </w:p>
    <w:p w14:paraId="49858449">
      <w:pPr>
        <w:pStyle w:val="48"/>
        <w:spacing w:after="240"/>
        <w:ind w:firstLine="480"/>
        <w:rPr>
          <w:rFonts w:ascii="Tahoma" w:hAnsi="Tahoma"/>
          <w:sz w:val="24"/>
          <w:szCs w:val="24"/>
        </w:rPr>
        <w:sectPr>
          <w:pgSz w:w="12240" w:h="15840"/>
          <w:pgMar w:top="1440" w:right="1800" w:bottom="1440" w:left="1800" w:header="720" w:footer="720" w:gutter="0"/>
          <w:cols w:space="720" w:num="1"/>
        </w:sectPr>
      </w:pPr>
    </w:p>
    <w:p w14:paraId="7A6EC45F">
      <w:pPr>
        <w:pStyle w:val="3"/>
        <w:ind w:firstLine="600"/>
        <w:rPr>
          <w:sz w:val="52"/>
          <w:szCs w:val="52"/>
        </w:rPr>
      </w:pPr>
      <w:bookmarkStart w:id="72" w:name="_Toc24121"/>
      <w:r>
        <w:rPr>
          <w:rFonts w:hint="eastAsia"/>
        </w:rPr>
        <w:t>第七章其他</w:t>
      </w:r>
    </w:p>
    <w:p w14:paraId="0C477BD0">
      <w:pPr>
        <w:widowControl/>
        <w:ind w:firstLine="482"/>
        <w:jc w:val="left"/>
        <w:rPr>
          <w:b/>
          <w:color w:val="000000" w:themeColor="text1"/>
          <w:sz w:val="24"/>
        </w:rPr>
      </w:pPr>
      <w:r>
        <w:rPr>
          <w:rFonts w:hint="eastAsia"/>
          <w:b/>
          <w:color w:val="000000" w:themeColor="text1"/>
          <w:sz w:val="24"/>
        </w:rPr>
        <w:t>响应</w:t>
      </w:r>
      <w:r>
        <w:rPr>
          <w:b/>
          <w:color w:val="000000" w:themeColor="text1"/>
          <w:sz w:val="24"/>
        </w:rPr>
        <w:t>文件</w:t>
      </w:r>
      <w:r>
        <w:rPr>
          <w:b/>
          <w:color w:val="000000" w:themeColor="text1"/>
          <w:kern w:val="11"/>
          <w:sz w:val="24"/>
        </w:rPr>
        <w:t>封套格式</w:t>
      </w:r>
      <w:r>
        <w:rPr>
          <w:b/>
          <w:color w:val="000000" w:themeColor="text1"/>
          <w:sz w:val="24"/>
        </w:rPr>
        <w:t>如下：</w:t>
      </w:r>
    </w:p>
    <w:tbl>
      <w:tblPr>
        <w:tblStyle w:val="5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08C75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3EC24065">
            <w:pPr>
              <w:spacing w:beforeLines="50" w:afterLines="100"/>
              <w:ind w:firstLine="640"/>
              <w:jc w:val="center"/>
              <w:rPr>
                <w:rFonts w:eastAsia="黑体"/>
                <w:color w:val="000000" w:themeColor="text1"/>
                <w:sz w:val="32"/>
                <w:szCs w:val="32"/>
                <w:u w:val="single"/>
              </w:rPr>
            </w:pPr>
          </w:p>
          <w:p w14:paraId="6572E99A">
            <w:pPr>
              <w:jc w:val="center"/>
              <w:rPr>
                <w:rFonts w:eastAsia="黑体"/>
                <w:color w:val="000000" w:themeColor="text1"/>
                <w:sz w:val="32"/>
                <w:szCs w:val="32"/>
              </w:rPr>
            </w:pPr>
            <w:r>
              <w:rPr>
                <w:rFonts w:hint="eastAsia" w:eastAsia="黑体"/>
                <w:color w:val="000000" w:themeColor="text1"/>
                <w:sz w:val="32"/>
                <w:szCs w:val="32"/>
              </w:rPr>
              <w:t>江苏省广电有线信息网络股份有限公司</w:t>
            </w:r>
          </w:p>
          <w:p w14:paraId="01A3941B">
            <w:pPr>
              <w:jc w:val="center"/>
              <w:rPr>
                <w:rFonts w:eastAsia="黑体"/>
                <w:color w:val="000000" w:themeColor="text1"/>
                <w:sz w:val="32"/>
                <w:szCs w:val="32"/>
              </w:rPr>
            </w:pPr>
            <w:r>
              <w:rPr>
                <w:rFonts w:hint="eastAsia" w:eastAsia="黑体"/>
                <w:sz w:val="32"/>
                <w:szCs w:val="32"/>
              </w:rPr>
              <w:t>园区1号楼无线网络优化项目</w:t>
            </w:r>
          </w:p>
          <w:p w14:paraId="0F8A7088">
            <w:pPr>
              <w:spacing w:beforeLines="100" w:afterLines="100"/>
              <w:ind w:firstLine="560"/>
              <w:jc w:val="center"/>
              <w:rPr>
                <w:rFonts w:eastAsia="黑体"/>
                <w:color w:val="000000" w:themeColor="text1"/>
                <w:sz w:val="28"/>
                <w:szCs w:val="28"/>
              </w:rPr>
            </w:pPr>
          </w:p>
          <w:p w14:paraId="029830C9">
            <w:pPr>
              <w:pStyle w:val="2"/>
              <w:spacing w:beforeLines="100" w:afterLines="100"/>
              <w:ind w:firstLine="560"/>
              <w:jc w:val="center"/>
              <w:rPr>
                <w:rFonts w:eastAsia="黑体"/>
                <w:color w:val="000000" w:themeColor="text1"/>
                <w:szCs w:val="28"/>
              </w:rPr>
            </w:pPr>
          </w:p>
          <w:p w14:paraId="11F4D002">
            <w:pPr>
              <w:pStyle w:val="2"/>
              <w:ind w:firstLine="560"/>
              <w:rPr>
                <w:color w:val="000000" w:themeColor="text1"/>
              </w:rPr>
            </w:pPr>
          </w:p>
          <w:p w14:paraId="6E3F4BBB">
            <w:pPr>
              <w:rPr>
                <w:color w:val="000000" w:themeColor="text1"/>
              </w:rPr>
            </w:pPr>
          </w:p>
          <w:p w14:paraId="28E10D56">
            <w:pPr>
              <w:jc w:val="center"/>
              <w:rPr>
                <w:rFonts w:eastAsia="黑体"/>
                <w:color w:val="000000" w:themeColor="text1"/>
                <w:sz w:val="52"/>
                <w:szCs w:val="36"/>
              </w:rPr>
            </w:pPr>
            <w:r>
              <w:rPr>
                <w:rFonts w:hint="eastAsia" w:eastAsia="黑体"/>
                <w:color w:val="000000" w:themeColor="text1"/>
                <w:sz w:val="52"/>
                <w:szCs w:val="36"/>
              </w:rPr>
              <w:t>响应文件</w:t>
            </w:r>
          </w:p>
          <w:p w14:paraId="4C6DC5C7">
            <w:pPr>
              <w:jc w:val="center"/>
              <w:rPr>
                <w:rFonts w:eastAsia="黑体"/>
                <w:color w:val="000000" w:themeColor="text1"/>
                <w:sz w:val="52"/>
                <w:szCs w:val="36"/>
              </w:rPr>
            </w:pPr>
            <w:r>
              <w:rPr>
                <w:rFonts w:hint="eastAsia" w:eastAsia="黑体"/>
                <w:color w:val="000000" w:themeColor="text1"/>
                <w:sz w:val="28"/>
                <w:szCs w:val="28"/>
              </w:rPr>
              <w:t>（开标时间以前不得开封）</w:t>
            </w:r>
          </w:p>
          <w:p w14:paraId="2314D002">
            <w:pPr>
              <w:spacing w:beforeLines="100" w:afterLines="100"/>
              <w:ind w:firstLine="1040"/>
              <w:jc w:val="center"/>
              <w:rPr>
                <w:rFonts w:eastAsia="黑体"/>
                <w:color w:val="000000" w:themeColor="text1"/>
                <w:sz w:val="52"/>
                <w:szCs w:val="36"/>
              </w:rPr>
            </w:pPr>
          </w:p>
          <w:p w14:paraId="75172757">
            <w:pPr>
              <w:pStyle w:val="2"/>
              <w:spacing w:beforeLines="100" w:afterLines="100"/>
              <w:ind w:firstLine="1040"/>
              <w:jc w:val="center"/>
              <w:rPr>
                <w:rFonts w:eastAsia="黑体"/>
                <w:color w:val="000000" w:themeColor="text1"/>
                <w:sz w:val="52"/>
                <w:szCs w:val="36"/>
              </w:rPr>
            </w:pPr>
          </w:p>
          <w:p w14:paraId="1A1EF363">
            <w:pPr>
              <w:spacing w:line="360" w:lineRule="auto"/>
              <w:ind w:firstLine="480"/>
              <w:jc w:val="center"/>
              <w:rPr>
                <w:rFonts w:eastAsia="黑体"/>
                <w:color w:val="000000" w:themeColor="text1"/>
                <w:sz w:val="24"/>
              </w:rPr>
            </w:pPr>
            <w:r>
              <w:rPr>
                <w:rFonts w:hint="eastAsia" w:eastAsia="黑体"/>
                <w:color w:val="000000" w:themeColor="text1"/>
                <w:sz w:val="24"/>
              </w:rPr>
              <w:t>供应商</w:t>
            </w:r>
            <w:r>
              <w:rPr>
                <w:rFonts w:eastAsia="黑体"/>
                <w:color w:val="000000" w:themeColor="text1"/>
                <w:sz w:val="24"/>
              </w:rPr>
              <w:t>：（盖单位章）</w:t>
            </w:r>
          </w:p>
          <w:p w14:paraId="59032663">
            <w:pPr>
              <w:spacing w:line="360" w:lineRule="auto"/>
              <w:ind w:firstLine="480"/>
              <w:jc w:val="center"/>
              <w:rPr>
                <w:rFonts w:eastAsia="黑体"/>
                <w:color w:val="000000" w:themeColor="text1"/>
                <w:sz w:val="24"/>
              </w:rPr>
            </w:pPr>
            <w:r>
              <w:rPr>
                <w:rFonts w:eastAsia="黑体"/>
                <w:color w:val="000000" w:themeColor="text1"/>
                <w:sz w:val="24"/>
              </w:rPr>
              <w:t>法定代表人或其委托的代理人：（签字）</w:t>
            </w:r>
          </w:p>
          <w:p w14:paraId="654ABE16">
            <w:pPr>
              <w:spacing w:line="360" w:lineRule="auto"/>
              <w:ind w:firstLine="1440" w:firstLineChars="600"/>
              <w:rPr>
                <w:rFonts w:eastAsia="黑体"/>
                <w:color w:val="000000" w:themeColor="text1"/>
                <w:sz w:val="24"/>
                <w:u w:val="single"/>
              </w:rPr>
            </w:pPr>
            <w:r>
              <w:rPr>
                <w:rFonts w:hint="eastAsia" w:eastAsia="黑体"/>
                <w:color w:val="000000" w:themeColor="text1"/>
                <w:sz w:val="24"/>
              </w:rPr>
              <w:t>供应商</w:t>
            </w:r>
            <w:r>
              <w:rPr>
                <w:rFonts w:eastAsia="黑体"/>
                <w:color w:val="000000" w:themeColor="text1"/>
                <w:sz w:val="24"/>
              </w:rPr>
              <w:t>地址：</w:t>
            </w:r>
          </w:p>
          <w:p w14:paraId="23CC744D">
            <w:pPr>
              <w:spacing w:afterLines="200"/>
              <w:ind w:firstLine="3000" w:firstLineChars="1250"/>
              <w:rPr>
                <w:color w:val="000000" w:themeColor="text1"/>
                <w:kern w:val="11"/>
              </w:rPr>
            </w:pPr>
            <w:r>
              <w:rPr>
                <w:rFonts w:eastAsia="黑体"/>
                <w:color w:val="000000" w:themeColor="text1"/>
                <w:sz w:val="24"/>
              </w:rPr>
              <w:t>年月日</w:t>
            </w:r>
          </w:p>
        </w:tc>
      </w:tr>
      <w:bookmarkEnd w:id="72"/>
    </w:tbl>
    <w:p w14:paraId="699749E1">
      <w:pPr>
        <w:spacing w:before="312" w:after="312"/>
        <w:ind w:firstLine="480"/>
        <w:rPr>
          <w:color w:val="000000" w:themeColor="text1"/>
          <w:kern w:val="11"/>
          <w:sz w:val="24"/>
        </w:rPr>
      </w:pPr>
    </w:p>
    <w:p w14:paraId="10B63882">
      <w:pPr>
        <w:widowControl/>
        <w:spacing w:before="312" w:after="312"/>
        <w:ind w:firstLine="560"/>
        <w:jc w:val="left"/>
        <w:rPr>
          <w:color w:val="000000" w:themeColor="text1"/>
        </w:rPr>
      </w:pPr>
    </w:p>
    <w:p w14:paraId="0E6A5963">
      <w:pPr>
        <w:widowControl/>
        <w:spacing w:before="312" w:after="312" w:line="360" w:lineRule="auto"/>
        <w:ind w:firstLine="480"/>
        <w:jc w:val="left"/>
        <w:rPr>
          <w:color w:val="000000" w:themeColor="text1"/>
          <w:kern w:val="11"/>
          <w:sz w:val="24"/>
        </w:rPr>
      </w:pPr>
    </w:p>
    <w:p w14:paraId="6D392666">
      <w:pPr>
        <w:widowControl/>
        <w:spacing w:before="312" w:after="312" w:line="360" w:lineRule="auto"/>
        <w:ind w:firstLine="480"/>
        <w:jc w:val="left"/>
        <w:rPr>
          <w:color w:val="000000" w:themeColor="text1"/>
          <w:sz w:val="24"/>
        </w:rPr>
      </w:pPr>
      <w:r>
        <w:rPr>
          <w:rFonts w:hint="eastAsia"/>
          <w:color w:val="000000" w:themeColor="text1"/>
          <w:kern w:val="11"/>
          <w:sz w:val="24"/>
        </w:rPr>
        <w:t>响应文件电子版</w:t>
      </w:r>
      <w:r>
        <w:rPr>
          <w:color w:val="000000" w:themeColor="text1"/>
          <w:kern w:val="11"/>
          <w:sz w:val="24"/>
        </w:rPr>
        <w:t>封套格式</w:t>
      </w:r>
      <w:r>
        <w:rPr>
          <w:color w:val="000000" w:themeColor="text1"/>
          <w:sz w:val="24"/>
        </w:rPr>
        <w:t>如下：</w:t>
      </w:r>
    </w:p>
    <w:tbl>
      <w:tblPr>
        <w:tblStyle w:val="5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47003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tcPr>
          <w:p w14:paraId="19000598">
            <w:pPr>
              <w:spacing w:beforeLines="50" w:afterLines="100"/>
              <w:ind w:firstLine="640"/>
              <w:jc w:val="center"/>
              <w:rPr>
                <w:rFonts w:eastAsia="黑体"/>
                <w:color w:val="000000" w:themeColor="text1"/>
                <w:sz w:val="32"/>
                <w:szCs w:val="32"/>
                <w:u w:val="single"/>
              </w:rPr>
            </w:pPr>
          </w:p>
          <w:p w14:paraId="28D69F6E">
            <w:pPr>
              <w:spacing w:before="312" w:after="312"/>
              <w:ind w:firstLine="640"/>
              <w:jc w:val="center"/>
              <w:rPr>
                <w:rFonts w:eastAsia="黑体"/>
                <w:color w:val="000000" w:themeColor="text1"/>
                <w:sz w:val="32"/>
                <w:szCs w:val="32"/>
              </w:rPr>
            </w:pPr>
            <w:r>
              <w:rPr>
                <w:rFonts w:hint="eastAsia" w:eastAsia="黑体"/>
                <w:color w:val="000000" w:themeColor="text1"/>
                <w:sz w:val="32"/>
                <w:szCs w:val="32"/>
              </w:rPr>
              <w:t>江苏省广电有线信息网络股份有限公司</w:t>
            </w:r>
          </w:p>
          <w:p w14:paraId="23E7FBB7">
            <w:pPr>
              <w:spacing w:before="312" w:after="312"/>
              <w:ind w:firstLine="640"/>
              <w:jc w:val="center"/>
              <w:rPr>
                <w:rFonts w:eastAsia="黑体"/>
                <w:color w:val="000000" w:themeColor="text1"/>
                <w:sz w:val="28"/>
                <w:szCs w:val="28"/>
              </w:rPr>
            </w:pPr>
            <w:r>
              <w:rPr>
                <w:rFonts w:hint="eastAsia" w:eastAsia="黑体"/>
                <w:color w:val="000000" w:themeColor="text1"/>
                <w:sz w:val="32"/>
                <w:szCs w:val="32"/>
              </w:rPr>
              <w:t>园区1号楼无线网络优化项目</w:t>
            </w:r>
          </w:p>
          <w:p w14:paraId="0A884703">
            <w:pPr>
              <w:pStyle w:val="2"/>
              <w:spacing w:before="312" w:after="312"/>
              <w:ind w:firstLine="560"/>
              <w:jc w:val="center"/>
              <w:rPr>
                <w:rFonts w:eastAsia="黑体"/>
                <w:color w:val="000000" w:themeColor="text1"/>
                <w:szCs w:val="28"/>
                <w:u w:val="single"/>
              </w:rPr>
            </w:pPr>
          </w:p>
          <w:p w14:paraId="39582FBC">
            <w:pPr>
              <w:spacing w:beforeLines="100" w:afterLines="100"/>
              <w:ind w:firstLine="1040"/>
              <w:jc w:val="center"/>
              <w:rPr>
                <w:rFonts w:eastAsia="黑体"/>
                <w:color w:val="000000" w:themeColor="text1"/>
                <w:sz w:val="52"/>
                <w:szCs w:val="36"/>
              </w:rPr>
            </w:pPr>
          </w:p>
          <w:p w14:paraId="3B0FF119">
            <w:pPr>
              <w:spacing w:before="312" w:after="312"/>
              <w:ind w:firstLine="2600" w:firstLineChars="500"/>
              <w:rPr>
                <w:rFonts w:eastAsia="黑体"/>
                <w:color w:val="000000" w:themeColor="text1"/>
                <w:sz w:val="52"/>
                <w:szCs w:val="36"/>
              </w:rPr>
            </w:pPr>
            <w:r>
              <w:rPr>
                <w:rFonts w:hint="eastAsia" w:eastAsia="黑体"/>
                <w:color w:val="000000" w:themeColor="text1"/>
                <w:sz w:val="52"/>
                <w:szCs w:val="36"/>
              </w:rPr>
              <w:t>响应文件电子版</w:t>
            </w:r>
          </w:p>
          <w:p w14:paraId="73B2218E">
            <w:pPr>
              <w:spacing w:before="312" w:after="312"/>
              <w:ind w:firstLine="560"/>
              <w:jc w:val="center"/>
              <w:rPr>
                <w:rFonts w:eastAsia="PMingLiU"/>
                <w:color w:val="000000" w:themeColor="text1"/>
                <w:sz w:val="36"/>
                <w:szCs w:val="36"/>
                <w:lang w:val="zh-TW" w:eastAsia="zh-TW"/>
              </w:rPr>
            </w:pPr>
            <w:r>
              <w:rPr>
                <w:rFonts w:hint="eastAsia" w:eastAsia="黑体"/>
                <w:color w:val="000000" w:themeColor="text1"/>
                <w:sz w:val="28"/>
                <w:szCs w:val="28"/>
              </w:rPr>
              <w:t>（开标时间以前不得开封）</w:t>
            </w:r>
          </w:p>
          <w:p w14:paraId="6B433427">
            <w:pPr>
              <w:spacing w:before="312" w:after="312"/>
              <w:ind w:firstLine="883"/>
              <w:jc w:val="center"/>
              <w:rPr>
                <w:rFonts w:eastAsia="黑体"/>
                <w:b/>
                <w:bCs/>
                <w:color w:val="000000" w:themeColor="text1"/>
                <w:sz w:val="44"/>
                <w:szCs w:val="44"/>
                <w:lang w:eastAsia="zh-TW"/>
              </w:rPr>
            </w:pPr>
          </w:p>
          <w:p w14:paraId="6D154CA7">
            <w:pPr>
              <w:spacing w:beforeLines="100" w:afterLines="100"/>
              <w:ind w:firstLine="1040"/>
              <w:jc w:val="center"/>
              <w:rPr>
                <w:rFonts w:eastAsia="黑体"/>
                <w:color w:val="000000" w:themeColor="text1"/>
                <w:sz w:val="52"/>
                <w:szCs w:val="36"/>
              </w:rPr>
            </w:pPr>
          </w:p>
          <w:p w14:paraId="2B91A60B">
            <w:pPr>
              <w:spacing w:before="312" w:after="312" w:line="360" w:lineRule="auto"/>
              <w:ind w:firstLine="480"/>
              <w:jc w:val="center"/>
              <w:rPr>
                <w:rFonts w:eastAsia="黑体"/>
                <w:color w:val="000000" w:themeColor="text1"/>
                <w:sz w:val="24"/>
              </w:rPr>
            </w:pPr>
            <w:r>
              <w:rPr>
                <w:rFonts w:hint="eastAsia" w:eastAsia="黑体"/>
                <w:color w:val="000000" w:themeColor="text1"/>
                <w:sz w:val="24"/>
              </w:rPr>
              <w:t>供应商</w:t>
            </w:r>
            <w:r>
              <w:rPr>
                <w:rFonts w:eastAsia="黑体"/>
                <w:color w:val="000000" w:themeColor="text1"/>
                <w:sz w:val="24"/>
              </w:rPr>
              <w:t>：（盖单位章）</w:t>
            </w:r>
          </w:p>
          <w:p w14:paraId="053FCDDF">
            <w:pPr>
              <w:spacing w:before="312" w:after="312" w:line="360" w:lineRule="auto"/>
              <w:ind w:firstLine="480"/>
              <w:jc w:val="center"/>
              <w:rPr>
                <w:rFonts w:eastAsia="黑体"/>
                <w:color w:val="000000" w:themeColor="text1"/>
                <w:sz w:val="24"/>
              </w:rPr>
            </w:pPr>
            <w:r>
              <w:rPr>
                <w:rFonts w:eastAsia="黑体"/>
                <w:color w:val="000000" w:themeColor="text1"/>
                <w:sz w:val="24"/>
              </w:rPr>
              <w:t>法定代表人或其委托的代理人：（签字）</w:t>
            </w:r>
          </w:p>
          <w:p w14:paraId="1127343C">
            <w:pPr>
              <w:spacing w:before="312" w:after="312" w:line="360" w:lineRule="auto"/>
              <w:ind w:firstLine="1440" w:firstLineChars="600"/>
              <w:rPr>
                <w:rFonts w:eastAsia="黑体"/>
                <w:color w:val="000000" w:themeColor="text1"/>
                <w:sz w:val="24"/>
                <w:u w:val="single"/>
              </w:rPr>
            </w:pPr>
            <w:r>
              <w:rPr>
                <w:rFonts w:hint="eastAsia" w:eastAsia="黑体"/>
                <w:color w:val="000000" w:themeColor="text1"/>
                <w:sz w:val="24"/>
              </w:rPr>
              <w:t>供应商</w:t>
            </w:r>
            <w:r>
              <w:rPr>
                <w:rFonts w:eastAsia="黑体"/>
                <w:color w:val="000000" w:themeColor="text1"/>
                <w:sz w:val="24"/>
              </w:rPr>
              <w:t>地址：</w:t>
            </w:r>
          </w:p>
          <w:p w14:paraId="10AFA5E6">
            <w:pPr>
              <w:spacing w:before="312" w:afterLines="200"/>
              <w:ind w:firstLine="3000" w:firstLineChars="1250"/>
              <w:rPr>
                <w:color w:val="000000" w:themeColor="text1"/>
                <w:kern w:val="11"/>
              </w:rPr>
            </w:pPr>
            <w:r>
              <w:rPr>
                <w:rFonts w:eastAsia="黑体"/>
                <w:color w:val="000000" w:themeColor="text1"/>
                <w:sz w:val="24"/>
              </w:rPr>
              <w:t>年月日</w:t>
            </w:r>
          </w:p>
        </w:tc>
      </w:tr>
    </w:tbl>
    <w:p w14:paraId="30A84D01">
      <w:pPr>
        <w:widowControl/>
        <w:spacing w:before="312" w:after="312"/>
        <w:ind w:firstLine="480"/>
        <w:jc w:val="left"/>
        <w:rPr>
          <w:rFonts w:eastAsia="黑体"/>
          <w:bCs/>
          <w:color w:val="000000" w:themeColor="text1"/>
          <w:kern w:val="44"/>
          <w:sz w:val="30"/>
          <w:szCs w:val="44"/>
        </w:rPr>
      </w:pPr>
      <w:r>
        <w:rPr>
          <w:rFonts w:hint="eastAsia"/>
          <w:color w:val="000000" w:themeColor="text1"/>
          <w:kern w:val="11"/>
          <w:sz w:val="24"/>
        </w:rPr>
        <w:t>响应</w:t>
      </w:r>
      <w:r>
        <w:rPr>
          <w:color w:val="000000" w:themeColor="text1"/>
          <w:kern w:val="11"/>
          <w:sz w:val="24"/>
        </w:rPr>
        <w:t>文件</w:t>
      </w:r>
      <w:r>
        <w:rPr>
          <w:rFonts w:hint="eastAsia"/>
          <w:color w:val="000000" w:themeColor="text1"/>
          <w:kern w:val="11"/>
          <w:sz w:val="24"/>
        </w:rPr>
        <w:t>封口格式</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01D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8522" w:type="dxa"/>
            <w:vAlign w:val="center"/>
          </w:tcPr>
          <w:p w14:paraId="50C57D99">
            <w:pPr>
              <w:spacing w:before="312" w:after="312" w:line="360" w:lineRule="auto"/>
              <w:ind w:firstLine="482"/>
              <w:jc w:val="center"/>
              <w:rPr>
                <w:color w:val="000000" w:themeColor="text1"/>
              </w:rPr>
            </w:pPr>
            <w:r>
              <w:rPr>
                <w:b/>
                <w:bCs/>
                <w:color w:val="000000" w:themeColor="text1"/>
                <w:kern w:val="11"/>
                <w:sz w:val="24"/>
              </w:rPr>
              <w:t>--------------</w:t>
            </w:r>
            <w:r>
              <w:rPr>
                <w:rFonts w:ascii="黑体" w:hAnsi="黑体" w:eastAsia="黑体"/>
                <w:bCs/>
                <w:color w:val="000000" w:themeColor="text1"/>
                <w:kern w:val="11"/>
                <w:sz w:val="24"/>
              </w:rPr>
              <w:t xml:space="preserve">于    年  月  日  </w:t>
            </w:r>
            <w:r>
              <w:rPr>
                <w:rFonts w:hint="eastAsia" w:ascii="黑体" w:hAnsi="黑体" w:eastAsia="黑体"/>
                <w:bCs/>
                <w:color w:val="000000" w:themeColor="text1"/>
                <w:kern w:val="11"/>
                <w:sz w:val="24"/>
              </w:rPr>
              <w:t>时  分</w:t>
            </w:r>
            <w:r>
              <w:rPr>
                <w:rFonts w:ascii="黑体" w:hAnsi="黑体" w:eastAsia="黑体"/>
                <w:bCs/>
                <w:color w:val="000000" w:themeColor="text1"/>
                <w:kern w:val="11"/>
                <w:sz w:val="24"/>
              </w:rPr>
              <w:t>之前不准启封（公章）</w:t>
            </w:r>
            <w:r>
              <w:rPr>
                <w:b/>
                <w:bCs/>
                <w:color w:val="000000" w:themeColor="text1"/>
                <w:kern w:val="11"/>
                <w:sz w:val="24"/>
              </w:rPr>
              <w:t>----------------</w:t>
            </w:r>
          </w:p>
        </w:tc>
      </w:tr>
    </w:tbl>
    <w:p w14:paraId="0D761DD4">
      <w:pPr>
        <w:spacing w:before="312" w:after="312"/>
        <w:ind w:firstLine="560"/>
        <w:rPr>
          <w:color w:val="000000" w:themeColor="text1"/>
        </w:rPr>
      </w:pPr>
    </w:p>
    <w:p w14:paraId="0BFC9968">
      <w:pPr>
        <w:pStyle w:val="2"/>
        <w:spacing w:before="312" w:after="312"/>
        <w:ind w:firstLine="560"/>
        <w:jc w:val="center"/>
        <w:rPr>
          <w:b/>
          <w:color w:val="000000" w:themeColor="text1"/>
          <w:sz w:val="44"/>
          <w:szCs w:val="44"/>
        </w:rPr>
      </w:pPr>
      <w:r>
        <w:rPr>
          <w:color w:val="000000" w:themeColor="text1"/>
        </w:rPr>
        <w:br w:type="page"/>
      </w:r>
      <w:r>
        <w:rPr>
          <w:rFonts w:hint="eastAsia"/>
          <w:b/>
          <w:color w:val="000000" w:themeColor="text1"/>
          <w:sz w:val="44"/>
          <w:szCs w:val="44"/>
        </w:rPr>
        <w:t>响应确认信息表</w:t>
      </w:r>
    </w:p>
    <w:p w14:paraId="1E0A18CC">
      <w:pPr>
        <w:widowControl/>
        <w:spacing w:before="312" w:after="312"/>
        <w:ind w:firstLine="560"/>
        <w:jc w:val="left"/>
        <w:rPr>
          <w:rFonts w:ascii="Arial" w:hAnsi="Arial" w:eastAsia="黑体"/>
          <w:bCs/>
          <w:color w:val="000000" w:themeColor="text1"/>
          <w:sz w:val="28"/>
          <w:szCs w:val="32"/>
        </w:rPr>
      </w:pPr>
    </w:p>
    <w:p w14:paraId="2AB5097E">
      <w:pPr>
        <w:spacing w:before="312" w:after="312" w:line="360" w:lineRule="auto"/>
        <w:ind w:firstLine="560"/>
        <w:rPr>
          <w:color w:val="000000" w:themeColor="text1"/>
        </w:rPr>
      </w:pPr>
      <w:r>
        <w:rPr>
          <w:rFonts w:hint="eastAsia"/>
          <w:color w:val="000000" w:themeColor="text1"/>
        </w:rPr>
        <w:t>江苏省广电有线信息网络股份有限公司：</w:t>
      </w:r>
    </w:p>
    <w:p w14:paraId="496EC7DF">
      <w:pPr>
        <w:spacing w:before="312" w:after="312" w:line="360" w:lineRule="auto"/>
        <w:ind w:firstLine="560"/>
        <w:rPr>
          <w:color w:val="000000" w:themeColor="text1"/>
        </w:rPr>
      </w:pPr>
      <w:r>
        <w:rPr>
          <w:rFonts w:hint="eastAsia"/>
          <w:color w:val="000000" w:themeColor="text1"/>
        </w:rPr>
        <w:t>我单位申请参与贵单位项目。</w:t>
      </w:r>
    </w:p>
    <w:p w14:paraId="2FA09E98">
      <w:pPr>
        <w:spacing w:before="312" w:after="312" w:line="360" w:lineRule="auto"/>
        <w:ind w:firstLine="420" w:firstLineChars="200"/>
        <w:rPr>
          <w:color w:val="000000" w:themeColor="text1"/>
        </w:rPr>
      </w:pPr>
      <w:r>
        <w:rPr>
          <w:rFonts w:hint="eastAsia"/>
          <w:color w:val="000000" w:themeColor="text1"/>
        </w:rPr>
        <w:t>现委派我单位      (姓名)负责本项目报名和正式采购前的联系工作，详细信息如下（以下信息均为必填项）：</w:t>
      </w:r>
    </w:p>
    <w:p w14:paraId="08047E8A">
      <w:pPr>
        <w:spacing w:before="312" w:after="312" w:line="360" w:lineRule="auto"/>
        <w:ind w:firstLine="315" w:firstLineChars="150"/>
        <w:rPr>
          <w:color w:val="000000" w:themeColor="text1"/>
        </w:rPr>
      </w:pPr>
      <w:r>
        <w:rPr>
          <w:rFonts w:hint="eastAsia"/>
          <w:color w:val="000000" w:themeColor="text1"/>
        </w:rPr>
        <w:t xml:space="preserve"> 1.姓名：</w:t>
      </w:r>
    </w:p>
    <w:p w14:paraId="298A4D94">
      <w:pPr>
        <w:spacing w:before="312" w:after="312" w:line="360" w:lineRule="auto"/>
        <w:ind w:firstLine="315" w:firstLineChars="150"/>
        <w:rPr>
          <w:color w:val="000000" w:themeColor="text1"/>
        </w:rPr>
      </w:pPr>
      <w:r>
        <w:rPr>
          <w:rFonts w:hint="eastAsia"/>
          <w:color w:val="000000" w:themeColor="text1"/>
        </w:rPr>
        <w:t xml:space="preserve"> 2.身份证号：</w:t>
      </w:r>
    </w:p>
    <w:p w14:paraId="5AAC4328">
      <w:pPr>
        <w:spacing w:before="312" w:after="312" w:line="360" w:lineRule="auto"/>
        <w:ind w:firstLine="315" w:firstLineChars="150"/>
        <w:rPr>
          <w:color w:val="000000" w:themeColor="text1"/>
        </w:rPr>
      </w:pPr>
      <w:r>
        <w:rPr>
          <w:rFonts w:hint="eastAsia"/>
          <w:color w:val="000000" w:themeColor="text1"/>
        </w:rPr>
        <w:t xml:space="preserve"> 3.职位：</w:t>
      </w:r>
    </w:p>
    <w:p w14:paraId="791C79B1">
      <w:pPr>
        <w:spacing w:before="312" w:after="312" w:line="360" w:lineRule="auto"/>
        <w:ind w:firstLine="315" w:firstLineChars="150"/>
        <w:rPr>
          <w:color w:val="000000" w:themeColor="text1"/>
        </w:rPr>
      </w:pPr>
      <w:r>
        <w:rPr>
          <w:rFonts w:hint="eastAsia"/>
          <w:color w:val="000000" w:themeColor="text1"/>
        </w:rPr>
        <w:t xml:space="preserve"> 4.联系电话（手机）：</w:t>
      </w:r>
    </w:p>
    <w:p w14:paraId="4CA04BFE">
      <w:pPr>
        <w:spacing w:before="312" w:after="312" w:line="360" w:lineRule="auto"/>
        <w:ind w:firstLine="315" w:firstLineChars="150"/>
        <w:rPr>
          <w:color w:val="000000" w:themeColor="text1"/>
        </w:rPr>
      </w:pPr>
      <w:r>
        <w:rPr>
          <w:rFonts w:hint="eastAsia"/>
          <w:color w:val="000000" w:themeColor="text1"/>
        </w:rPr>
        <w:t xml:space="preserve"> 5.联系电子邮箱：</w:t>
      </w:r>
    </w:p>
    <w:p w14:paraId="232B1629">
      <w:pPr>
        <w:spacing w:before="312" w:after="312" w:line="360" w:lineRule="auto"/>
        <w:ind w:firstLine="315" w:firstLineChars="150"/>
        <w:rPr>
          <w:color w:val="000000" w:themeColor="text1"/>
        </w:rPr>
      </w:pPr>
      <w:r>
        <w:rPr>
          <w:rFonts w:hint="eastAsia"/>
          <w:color w:val="000000" w:themeColor="text1"/>
        </w:rPr>
        <w:t xml:space="preserve"> 6.微信号:</w:t>
      </w:r>
    </w:p>
    <w:p w14:paraId="76244449">
      <w:pPr>
        <w:spacing w:before="312" w:after="312" w:line="360" w:lineRule="auto"/>
        <w:ind w:firstLine="315" w:firstLineChars="150"/>
        <w:rPr>
          <w:color w:val="000000" w:themeColor="text1"/>
        </w:rPr>
      </w:pPr>
      <w:r>
        <w:rPr>
          <w:rFonts w:hint="eastAsia"/>
          <w:color w:val="000000" w:themeColor="text1"/>
        </w:rPr>
        <w:t xml:space="preserve"> 7.响应文件递送方式：</w:t>
      </w:r>
    </w:p>
    <w:p w14:paraId="57C86220">
      <w:pPr>
        <w:spacing w:before="312" w:after="312" w:line="360" w:lineRule="auto"/>
        <w:ind w:firstLine="560"/>
        <w:rPr>
          <w:color w:val="000000" w:themeColor="text1"/>
        </w:rPr>
      </w:pPr>
    </w:p>
    <w:p w14:paraId="62CA3DDE">
      <w:pPr>
        <w:spacing w:before="312" w:after="312" w:line="360" w:lineRule="auto"/>
        <w:ind w:firstLine="560"/>
        <w:rPr>
          <w:color w:val="000000" w:themeColor="text1"/>
        </w:rPr>
      </w:pPr>
    </w:p>
    <w:p w14:paraId="39763FA0">
      <w:pPr>
        <w:spacing w:before="312" w:after="312" w:line="360" w:lineRule="auto"/>
        <w:ind w:firstLine="560"/>
        <w:rPr>
          <w:color w:val="000000" w:themeColor="text1"/>
        </w:rPr>
      </w:pPr>
    </w:p>
    <w:p w14:paraId="1240EC04">
      <w:pPr>
        <w:spacing w:before="312" w:after="312" w:line="360" w:lineRule="auto"/>
        <w:ind w:firstLine="420" w:firstLineChars="200"/>
        <w:rPr>
          <w:color w:val="000000" w:themeColor="text1"/>
        </w:rPr>
      </w:pPr>
      <w:r>
        <w:rPr>
          <w:rFonts w:hint="eastAsia"/>
          <w:color w:val="000000" w:themeColor="text1"/>
        </w:rPr>
        <w:t>供应商：（盖章）</w:t>
      </w:r>
    </w:p>
    <w:p w14:paraId="7B14065F">
      <w:pPr>
        <w:spacing w:before="312" w:after="312" w:line="360" w:lineRule="auto"/>
        <w:ind w:firstLine="420" w:firstLineChars="200"/>
        <w:rPr>
          <w:color w:val="000000" w:themeColor="text1"/>
        </w:rPr>
      </w:pPr>
      <w:r>
        <w:rPr>
          <w:rFonts w:hint="eastAsia"/>
          <w:color w:val="000000" w:themeColor="text1"/>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仿宋"/>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Century Gothic">
    <w:panose1 w:val="020B0502020202020204"/>
    <w:charset w:val="00"/>
    <w:family w:val="swiss"/>
    <w:pitch w:val="default"/>
    <w:sig w:usb0="00000287" w:usb1="00000000" w:usb2="00000000" w:usb3="00000000" w:csb0="2000009F" w:csb1="DFD7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宋体 + FPEF">
    <w:altName w:val="宋体"/>
    <w:panose1 w:val="00000000000000000000"/>
    <w:charset w:val="00"/>
    <w:family w:val="auto"/>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B3B2">
    <w:pPr>
      <w:pStyle w:val="37"/>
      <w:jc w:val="center"/>
    </w:pPr>
    <w:r>
      <w:fldChar w:fldCharType="begin"/>
    </w:r>
    <w:r>
      <w:instrText xml:space="preserve">PAGE   \* MERGEFORMAT</w:instrText>
    </w:r>
    <w:r>
      <w:fldChar w:fldCharType="separate"/>
    </w:r>
    <w:r>
      <w:rPr>
        <w:lang w:val="zh-CN"/>
      </w:rPr>
      <w:t>-</w:t>
    </w:r>
    <w:r>
      <w:t xml:space="preserve"> 3 -</w:t>
    </w:r>
    <w:r>
      <w:rPr>
        <w:lang w:val="zh-CN"/>
      </w:rPr>
      <w:fldChar w:fldCharType="end"/>
    </w:r>
  </w:p>
  <w:p w14:paraId="755A7D33">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D81EC">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FBC89">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7539">
    <w:pPr>
      <w:pStyle w:val="37"/>
      <w:jc w:val="center"/>
    </w:pPr>
    <w:r>
      <w:fldChar w:fldCharType="begin"/>
    </w:r>
    <w:r>
      <w:rPr>
        <w:rStyle w:val="57"/>
      </w:rPr>
      <w:instrText xml:space="preserve"> PAGE </w:instrText>
    </w:r>
    <w:r>
      <w:fldChar w:fldCharType="separate"/>
    </w:r>
    <w:r>
      <w:rPr>
        <w:rStyle w:val="57"/>
      </w:rPr>
      <w:t>55</w:t>
    </w:r>
    <w:r>
      <w:fldChar w:fldCharType="end"/>
    </w:r>
  </w:p>
  <w:p w14:paraId="58A4E6D2">
    <w:pPr>
      <w:pStyle w:val="3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24EB3">
    <w:pPr>
      <w:pStyle w:val="3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5C5F">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00F1A">
    <w:pPr>
      <w:pStyle w:val="3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45C8E">
    <w:pPr>
      <w:pStyle w:val="3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341CB"/>
    <w:multiLevelType w:val="multilevel"/>
    <w:tmpl w:val="AEC341CB"/>
    <w:lvl w:ilvl="0" w:tentative="0">
      <w:start w:val="1"/>
      <w:numFmt w:val="decimal"/>
      <w:lvlText w:val="%1."/>
      <w:lvlJc w:val="left"/>
      <w:pPr>
        <w:tabs>
          <w:tab w:val="left" w:pos="1155"/>
        </w:tabs>
        <w:ind w:left="1155" w:hanging="735"/>
      </w:pPr>
      <w:rPr>
        <w:rFonts w:hint="default" w:ascii="Times New Roman" w:hAnsi="Times New Roman" w:eastAsia="宋体" w:cs="Times New Roman"/>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B9A6CDEF"/>
    <w:multiLevelType w:val="multilevel"/>
    <w:tmpl w:val="B9A6CDEF"/>
    <w:lvl w:ilvl="0" w:tentative="0">
      <w:start w:val="1"/>
      <w:numFmt w:val="decimal"/>
      <w:lvlText w:val="%1."/>
      <w:lvlJc w:val="left"/>
      <w:pPr>
        <w:tabs>
          <w:tab w:val="left" w:pos="1155"/>
        </w:tabs>
        <w:ind w:left="1155" w:hanging="735"/>
      </w:pPr>
      <w:rPr>
        <w:rFonts w:hint="default" w:ascii="Times New Roman" w:hAnsi="Times New Roman" w:eastAsia="宋体" w:cs="Times New Roman"/>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F91A59FC"/>
    <w:multiLevelType w:val="singleLevel"/>
    <w:tmpl w:val="F91A59FC"/>
    <w:lvl w:ilvl="0" w:tentative="0">
      <w:start w:val="1"/>
      <w:numFmt w:val="decimal"/>
      <w:lvlText w:val="%1."/>
      <w:lvlJc w:val="left"/>
      <w:pPr>
        <w:ind w:left="425" w:hanging="425"/>
      </w:pPr>
      <w:rPr>
        <w:rFonts w:hint="default"/>
      </w:rPr>
    </w:lvl>
  </w:abstractNum>
  <w:abstractNum w:abstractNumId="3">
    <w:nsid w:val="0000000E"/>
    <w:multiLevelType w:val="multilevel"/>
    <w:tmpl w:val="0000000E"/>
    <w:lvl w:ilvl="0" w:tentative="0">
      <w:start w:val="1"/>
      <w:numFmt w:val="japaneseCounting"/>
      <w:lvlText w:val="%1、"/>
      <w:lvlJc w:val="left"/>
      <w:pPr>
        <w:tabs>
          <w:tab w:val="left" w:pos="420"/>
        </w:tabs>
        <w:ind w:left="420" w:hanging="420"/>
      </w:pPr>
      <w:rPr>
        <w:b/>
        <w:lang w:val="en-US"/>
      </w:rPr>
    </w:lvl>
    <w:lvl w:ilvl="1" w:tentative="0">
      <w:start w:val="1"/>
      <w:numFmt w:val="decimal"/>
      <w:lvlText w:val="%2."/>
      <w:lvlJc w:val="left"/>
      <w:pPr>
        <w:tabs>
          <w:tab w:val="left" w:pos="1155"/>
        </w:tabs>
        <w:ind w:left="1155" w:hanging="735"/>
      </w:pPr>
      <w:rPr>
        <w:rFonts w:hint="default" w:ascii="Times New Roman" w:hAnsi="Times New Roman" w:eastAsia="宋体" w:cs="Times New Roman"/>
        <w:b w:val="0"/>
        <w:sz w:val="21"/>
        <w:szCs w:val="21"/>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0"/>
    <w:multiLevelType w:val="multilevel"/>
    <w:tmpl w:val="00000010"/>
    <w:lvl w:ilvl="0" w:tentative="0">
      <w:start w:val="1"/>
      <w:numFmt w:val="bullet"/>
      <w:pStyle w:val="380"/>
      <w:lvlText w:val=""/>
      <w:lvlJc w:val="left"/>
      <w:pPr>
        <w:tabs>
          <w:tab w:val="left" w:pos="360"/>
        </w:tabs>
        <w:ind w:left="360" w:hanging="360"/>
      </w:pPr>
      <w:rPr>
        <w:rFonts w:hint="default" w:ascii="Symbol" w:hAnsi="Symbol"/>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18"/>
    <w:multiLevelType w:val="multilevel"/>
    <w:tmpl w:val="00000018"/>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0000001F"/>
    <w:multiLevelType w:val="multilevel"/>
    <w:tmpl w:val="0000001F"/>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00002F"/>
    <w:multiLevelType w:val="multilevel"/>
    <w:tmpl w:val="0000002F"/>
    <w:lvl w:ilvl="0" w:tentative="0">
      <w:start w:val="1"/>
      <w:numFmt w:val="decimal"/>
      <w:lvlText w:val="%1"/>
      <w:lvlJc w:val="left"/>
      <w:pPr>
        <w:tabs>
          <w:tab w:val="left" w:pos="390"/>
        </w:tabs>
        <w:ind w:left="390" w:hanging="390"/>
      </w:pPr>
      <w:rPr>
        <w:rFonts w:hint="default"/>
      </w:rPr>
    </w:lvl>
    <w:lvl w:ilvl="1" w:tentative="0">
      <w:start w:val="1"/>
      <w:numFmt w:val="decimal"/>
      <w:pStyle w:val="377"/>
      <w:lvlText w:val="%1.%2"/>
      <w:lvlJc w:val="left"/>
      <w:pPr>
        <w:tabs>
          <w:tab w:val="left" w:pos="390"/>
        </w:tabs>
        <w:ind w:left="390" w:hanging="39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8">
    <w:nsid w:val="00000045"/>
    <w:multiLevelType w:val="multilevel"/>
    <w:tmpl w:val="00000045"/>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0000005B"/>
    <w:multiLevelType w:val="multilevel"/>
    <w:tmpl w:val="0000005B"/>
    <w:lvl w:ilvl="0" w:tentative="0">
      <w:start w:val="1"/>
      <w:numFmt w:val="decimal"/>
      <w:lvlText w:val="%1."/>
      <w:lvlJc w:val="left"/>
      <w:pPr>
        <w:tabs>
          <w:tab w:val="left" w:pos="420"/>
        </w:tabs>
        <w:ind w:left="420" w:hanging="420"/>
      </w:pPr>
      <w:rPr>
        <w:rFonts w:cs="Times New Roman"/>
      </w:rPr>
    </w:lvl>
    <w:lvl w:ilvl="1" w:tentative="0">
      <w:start w:val="2"/>
      <w:numFmt w:val="decimal"/>
      <w:isLgl/>
      <w:lvlText w:val="%1.%2"/>
      <w:lvlJc w:val="left"/>
      <w:pPr>
        <w:ind w:left="435" w:hanging="435"/>
      </w:pPr>
      <w:rPr>
        <w:rFonts w:hint="eastAsia" w:cs="Times New Roman"/>
      </w:rPr>
    </w:lvl>
    <w:lvl w:ilvl="2" w:tentative="0">
      <w:start w:val="4"/>
      <w:numFmt w:val="decimal"/>
      <w:isLgl/>
      <w:lvlText w:val="%1.%2.%3"/>
      <w:lvlJc w:val="left"/>
      <w:pPr>
        <w:ind w:left="720" w:hanging="720"/>
      </w:pPr>
      <w:rPr>
        <w:rFonts w:hint="eastAsia" w:cs="Times New Roman"/>
      </w:rPr>
    </w:lvl>
    <w:lvl w:ilvl="3" w:tentative="0">
      <w:start w:val="1"/>
      <w:numFmt w:val="decimal"/>
      <w:isLgl/>
      <w:lvlText w:val="%1.%2.%3.%4"/>
      <w:lvlJc w:val="left"/>
      <w:pPr>
        <w:ind w:left="1080" w:hanging="1080"/>
      </w:pPr>
      <w:rPr>
        <w:rFonts w:hint="eastAsia" w:cs="Times New Roman"/>
      </w:rPr>
    </w:lvl>
    <w:lvl w:ilvl="4" w:tentative="0">
      <w:start w:val="1"/>
      <w:numFmt w:val="decimal"/>
      <w:isLgl/>
      <w:lvlText w:val="%1.%2.%3.%4.%5"/>
      <w:lvlJc w:val="left"/>
      <w:pPr>
        <w:ind w:left="1080" w:hanging="1080"/>
      </w:pPr>
      <w:rPr>
        <w:rFonts w:hint="eastAsia" w:cs="Times New Roman"/>
      </w:rPr>
    </w:lvl>
    <w:lvl w:ilvl="5" w:tentative="0">
      <w:start w:val="1"/>
      <w:numFmt w:val="decimal"/>
      <w:isLgl/>
      <w:lvlText w:val="%1.%2.%3.%4.%5.%6"/>
      <w:lvlJc w:val="left"/>
      <w:pPr>
        <w:ind w:left="1440" w:hanging="1440"/>
      </w:pPr>
      <w:rPr>
        <w:rFonts w:hint="eastAsia" w:cs="Times New Roman"/>
      </w:rPr>
    </w:lvl>
    <w:lvl w:ilvl="6" w:tentative="0">
      <w:start w:val="1"/>
      <w:numFmt w:val="decimal"/>
      <w:isLgl/>
      <w:lvlText w:val="%1.%2.%3.%4.%5.%6.%7"/>
      <w:lvlJc w:val="left"/>
      <w:pPr>
        <w:ind w:left="1440" w:hanging="1440"/>
      </w:pPr>
      <w:rPr>
        <w:rFonts w:hint="eastAsia" w:cs="Times New Roman"/>
      </w:rPr>
    </w:lvl>
    <w:lvl w:ilvl="7" w:tentative="0">
      <w:start w:val="1"/>
      <w:numFmt w:val="decimal"/>
      <w:isLgl/>
      <w:lvlText w:val="%1.%2.%3.%4.%5.%6.%7.%8"/>
      <w:lvlJc w:val="left"/>
      <w:pPr>
        <w:ind w:left="1800" w:hanging="1800"/>
      </w:pPr>
      <w:rPr>
        <w:rFonts w:hint="eastAsia" w:cs="Times New Roman"/>
      </w:rPr>
    </w:lvl>
    <w:lvl w:ilvl="8" w:tentative="0">
      <w:start w:val="1"/>
      <w:numFmt w:val="decimal"/>
      <w:isLgl/>
      <w:lvlText w:val="%1.%2.%3.%4.%5.%6.%7.%8.%9"/>
      <w:lvlJc w:val="left"/>
      <w:pPr>
        <w:ind w:left="1800" w:hanging="1800"/>
      </w:pPr>
      <w:rPr>
        <w:rFonts w:hint="eastAsia" w:cs="Times New Roman"/>
      </w:rPr>
    </w:lvl>
  </w:abstractNum>
  <w:abstractNum w:abstractNumId="10">
    <w:nsid w:val="00000069"/>
    <w:multiLevelType w:val="multilevel"/>
    <w:tmpl w:val="00000069"/>
    <w:lvl w:ilvl="0" w:tentative="0">
      <w:start w:val="1"/>
      <w:numFmt w:val="decimal"/>
      <w:lvlText w:val="%1."/>
      <w:lvlJc w:val="left"/>
      <w:pPr>
        <w:tabs>
          <w:tab w:val="left" w:pos="420"/>
        </w:tabs>
        <w:ind w:left="420" w:hanging="420"/>
      </w:pPr>
      <w:rPr>
        <w:rFonts w:cs="Times New Roman"/>
      </w:rPr>
    </w:lvl>
    <w:lvl w:ilvl="1" w:tentative="0">
      <w:start w:val="3"/>
      <w:numFmt w:val="decimal"/>
      <w:isLgl/>
      <w:lvlText w:val="%1.%2"/>
      <w:lvlJc w:val="left"/>
      <w:pPr>
        <w:ind w:left="360" w:hanging="360"/>
      </w:pPr>
      <w:rPr>
        <w:rFonts w:hint="eastAsia" w:cs="Times New Roman"/>
      </w:rPr>
    </w:lvl>
    <w:lvl w:ilvl="2" w:tentative="0">
      <w:start w:val="1"/>
      <w:numFmt w:val="decimal"/>
      <w:isLgl/>
      <w:lvlText w:val="%1.%2.%3"/>
      <w:lvlJc w:val="left"/>
      <w:pPr>
        <w:ind w:left="720" w:hanging="720"/>
      </w:pPr>
      <w:rPr>
        <w:rFonts w:hint="eastAsia" w:cs="Times New Roman"/>
      </w:rPr>
    </w:lvl>
    <w:lvl w:ilvl="3" w:tentative="0">
      <w:start w:val="1"/>
      <w:numFmt w:val="decimal"/>
      <w:isLgl/>
      <w:lvlText w:val="%1.%2.%3.%4"/>
      <w:lvlJc w:val="left"/>
      <w:pPr>
        <w:ind w:left="720" w:hanging="720"/>
      </w:pPr>
      <w:rPr>
        <w:rFonts w:hint="eastAsia" w:cs="Times New Roman"/>
      </w:rPr>
    </w:lvl>
    <w:lvl w:ilvl="4" w:tentative="0">
      <w:start w:val="1"/>
      <w:numFmt w:val="decimal"/>
      <w:isLgl/>
      <w:lvlText w:val="%1.%2.%3.%4.%5"/>
      <w:lvlJc w:val="left"/>
      <w:pPr>
        <w:ind w:left="1080" w:hanging="1080"/>
      </w:pPr>
      <w:rPr>
        <w:rFonts w:hint="eastAsia" w:cs="Times New Roman"/>
      </w:rPr>
    </w:lvl>
    <w:lvl w:ilvl="5" w:tentative="0">
      <w:start w:val="1"/>
      <w:numFmt w:val="decimal"/>
      <w:isLgl/>
      <w:lvlText w:val="%1.%2.%3.%4.%5.%6"/>
      <w:lvlJc w:val="left"/>
      <w:pPr>
        <w:ind w:left="1080" w:hanging="1080"/>
      </w:pPr>
      <w:rPr>
        <w:rFonts w:hint="eastAsia" w:cs="Times New Roman"/>
      </w:rPr>
    </w:lvl>
    <w:lvl w:ilvl="6" w:tentative="0">
      <w:start w:val="1"/>
      <w:numFmt w:val="decimal"/>
      <w:isLgl/>
      <w:lvlText w:val="%1.%2.%3.%4.%5.%6.%7"/>
      <w:lvlJc w:val="left"/>
      <w:pPr>
        <w:ind w:left="1080" w:hanging="1080"/>
      </w:pPr>
      <w:rPr>
        <w:rFonts w:hint="eastAsia" w:cs="Times New Roman"/>
      </w:rPr>
    </w:lvl>
    <w:lvl w:ilvl="7" w:tentative="0">
      <w:start w:val="1"/>
      <w:numFmt w:val="decimal"/>
      <w:isLgl/>
      <w:lvlText w:val="%1.%2.%3.%4.%5.%6.%7.%8"/>
      <w:lvlJc w:val="left"/>
      <w:pPr>
        <w:ind w:left="1440" w:hanging="1440"/>
      </w:pPr>
      <w:rPr>
        <w:rFonts w:hint="eastAsia" w:cs="Times New Roman"/>
      </w:rPr>
    </w:lvl>
    <w:lvl w:ilvl="8" w:tentative="0">
      <w:start w:val="1"/>
      <w:numFmt w:val="decimal"/>
      <w:isLgl/>
      <w:lvlText w:val="%1.%2.%3.%4.%5.%6.%7.%8.%9"/>
      <w:lvlJc w:val="left"/>
      <w:pPr>
        <w:ind w:left="1440" w:hanging="1440"/>
      </w:pPr>
      <w:rPr>
        <w:rFonts w:hint="eastAsia" w:cs="Times New Roman"/>
      </w:rPr>
    </w:lvl>
  </w:abstractNum>
  <w:abstractNum w:abstractNumId="11">
    <w:nsid w:val="00000077"/>
    <w:multiLevelType w:val="multilevel"/>
    <w:tmpl w:val="00000077"/>
    <w:lvl w:ilvl="0" w:tentative="0">
      <w:start w:val="1"/>
      <w:numFmt w:val="decimal"/>
      <w:lvlText w:val="%1."/>
      <w:lvlJc w:val="left"/>
      <w:pPr>
        <w:tabs>
          <w:tab w:val="left" w:pos="420"/>
        </w:tabs>
        <w:ind w:left="420" w:hanging="420"/>
      </w:pPr>
      <w:rPr>
        <w:rFonts w:cs="Times New Roman"/>
      </w:rPr>
    </w:lvl>
    <w:lvl w:ilvl="1" w:tentative="0">
      <w:start w:val="2"/>
      <w:numFmt w:val="decimal"/>
      <w:isLgl/>
      <w:lvlText w:val="%1.%2"/>
      <w:lvlJc w:val="left"/>
      <w:pPr>
        <w:ind w:left="819" w:hanging="630"/>
      </w:pPr>
      <w:rPr>
        <w:rFonts w:hint="eastAsia" w:ascii="宋体" w:eastAsia="宋体" w:cs="Times New Roman"/>
      </w:rPr>
    </w:lvl>
    <w:lvl w:ilvl="2" w:tentative="0">
      <w:start w:val="11"/>
      <w:numFmt w:val="decimal"/>
      <w:isLgl/>
      <w:lvlText w:val="%1.%2.%3"/>
      <w:lvlJc w:val="left"/>
      <w:pPr>
        <w:ind w:left="1098" w:hanging="720"/>
      </w:pPr>
      <w:rPr>
        <w:rFonts w:hint="eastAsia" w:ascii="宋体" w:eastAsia="宋体" w:cs="Times New Roman"/>
      </w:rPr>
    </w:lvl>
    <w:lvl w:ilvl="3" w:tentative="0">
      <w:start w:val="1"/>
      <w:numFmt w:val="decimal"/>
      <w:isLgl/>
      <w:lvlText w:val="%1.%2.%3.%4"/>
      <w:lvlJc w:val="left"/>
      <w:pPr>
        <w:ind w:left="1287" w:hanging="720"/>
      </w:pPr>
      <w:rPr>
        <w:rFonts w:hint="eastAsia" w:ascii="宋体" w:eastAsia="宋体" w:cs="Times New Roman"/>
      </w:rPr>
    </w:lvl>
    <w:lvl w:ilvl="4" w:tentative="0">
      <w:start w:val="1"/>
      <w:numFmt w:val="decimal"/>
      <w:isLgl/>
      <w:lvlText w:val="%1.%2.%3.%4.%5"/>
      <w:lvlJc w:val="left"/>
      <w:pPr>
        <w:ind w:left="1836" w:hanging="1080"/>
      </w:pPr>
      <w:rPr>
        <w:rFonts w:hint="eastAsia" w:ascii="宋体" w:eastAsia="宋体" w:cs="Times New Roman"/>
      </w:rPr>
    </w:lvl>
    <w:lvl w:ilvl="5" w:tentative="0">
      <w:start w:val="1"/>
      <w:numFmt w:val="decimal"/>
      <w:isLgl/>
      <w:lvlText w:val="%1.%2.%3.%4.%5.%6"/>
      <w:lvlJc w:val="left"/>
      <w:pPr>
        <w:ind w:left="2025" w:hanging="1080"/>
      </w:pPr>
      <w:rPr>
        <w:rFonts w:hint="eastAsia" w:ascii="宋体" w:eastAsia="宋体" w:cs="Times New Roman"/>
      </w:rPr>
    </w:lvl>
    <w:lvl w:ilvl="6" w:tentative="0">
      <w:start w:val="1"/>
      <w:numFmt w:val="decimal"/>
      <w:isLgl/>
      <w:lvlText w:val="%1.%2.%3.%4.%5.%6.%7"/>
      <w:lvlJc w:val="left"/>
      <w:pPr>
        <w:ind w:left="2214" w:hanging="1080"/>
      </w:pPr>
      <w:rPr>
        <w:rFonts w:hint="eastAsia" w:ascii="宋体" w:eastAsia="宋体" w:cs="Times New Roman"/>
      </w:rPr>
    </w:lvl>
    <w:lvl w:ilvl="7" w:tentative="0">
      <w:start w:val="1"/>
      <w:numFmt w:val="decimal"/>
      <w:isLgl/>
      <w:lvlText w:val="%1.%2.%3.%4.%5.%6.%7.%8"/>
      <w:lvlJc w:val="left"/>
      <w:pPr>
        <w:ind w:left="2763" w:hanging="1440"/>
      </w:pPr>
      <w:rPr>
        <w:rFonts w:hint="eastAsia" w:ascii="宋体" w:eastAsia="宋体" w:cs="Times New Roman"/>
      </w:rPr>
    </w:lvl>
    <w:lvl w:ilvl="8" w:tentative="0">
      <w:start w:val="1"/>
      <w:numFmt w:val="decimal"/>
      <w:isLgl/>
      <w:lvlText w:val="%1.%2.%3.%4.%5.%6.%7.%8.%9"/>
      <w:lvlJc w:val="left"/>
      <w:pPr>
        <w:ind w:left="2952" w:hanging="1440"/>
      </w:pPr>
      <w:rPr>
        <w:rFonts w:hint="eastAsia" w:ascii="宋体" w:eastAsia="宋体" w:cs="Times New Roman"/>
      </w:rPr>
    </w:lvl>
  </w:abstractNum>
  <w:abstractNum w:abstractNumId="12">
    <w:nsid w:val="00000083"/>
    <w:multiLevelType w:val="multilevel"/>
    <w:tmpl w:val="00000083"/>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0000008C"/>
    <w:multiLevelType w:val="multilevel"/>
    <w:tmpl w:val="0000008C"/>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0BAC6E6D"/>
    <w:multiLevelType w:val="multilevel"/>
    <w:tmpl w:val="0BAC6E6D"/>
    <w:lvl w:ilvl="0" w:tentative="0">
      <w:start w:val="1"/>
      <w:numFmt w:val="upperLetter"/>
      <w:lvlText w:val="%1、"/>
      <w:lvlJc w:val="left"/>
      <w:pPr>
        <w:ind w:left="370" w:hanging="3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FFE4791"/>
    <w:multiLevelType w:val="singleLevel"/>
    <w:tmpl w:val="0FFE4791"/>
    <w:lvl w:ilvl="0" w:tentative="0">
      <w:start w:val="1"/>
      <w:numFmt w:val="decimal"/>
      <w:lvlText w:val="%1)"/>
      <w:lvlJc w:val="left"/>
      <w:pPr>
        <w:tabs>
          <w:tab w:val="left" w:pos="397"/>
        </w:tabs>
        <w:ind w:left="397" w:hanging="397"/>
      </w:pPr>
      <w:rPr>
        <w:rFonts w:hint="eastAsia" w:cs="Times New Roman"/>
      </w:rPr>
    </w:lvl>
  </w:abstractNum>
  <w:abstractNum w:abstractNumId="16">
    <w:nsid w:val="1CC862B7"/>
    <w:multiLevelType w:val="singleLevel"/>
    <w:tmpl w:val="1CC862B7"/>
    <w:lvl w:ilvl="0" w:tentative="0">
      <w:start w:val="1"/>
      <w:numFmt w:val="decimal"/>
      <w:lvlText w:val="(%1)"/>
      <w:lvlJc w:val="left"/>
      <w:pPr>
        <w:tabs>
          <w:tab w:val="left" w:pos="454"/>
        </w:tabs>
        <w:ind w:left="454" w:hanging="454"/>
      </w:pPr>
      <w:rPr>
        <w:rFonts w:hint="eastAsia" w:cs="Times New Roman"/>
      </w:rPr>
    </w:lvl>
  </w:abstractNum>
  <w:abstractNum w:abstractNumId="17">
    <w:nsid w:val="3F316DE4"/>
    <w:multiLevelType w:val="multilevel"/>
    <w:tmpl w:val="3F316DE4"/>
    <w:lvl w:ilvl="0" w:tentative="0">
      <w:start w:val="1"/>
      <w:numFmt w:val="decimal"/>
      <w:pStyle w:val="114"/>
      <w:lvlText w:val="2.1.%1"/>
      <w:lvlJc w:val="left"/>
      <w:pPr>
        <w:tabs>
          <w:tab w:val="left" w:pos="0"/>
        </w:tabs>
        <w:ind w:left="425" w:hanging="425"/>
      </w:pPr>
      <w:rPr>
        <w:rFonts w:hint="eastAsia"/>
      </w:rPr>
    </w:lvl>
    <w:lvl w:ilvl="1" w:tentative="0">
      <w:start w:val="1"/>
      <w:numFmt w:val="decimal"/>
      <w:lvlText w:val="2.%2 "/>
      <w:lvlJc w:val="left"/>
      <w:pPr>
        <w:tabs>
          <w:tab w:val="left" w:pos="0"/>
        </w:tabs>
        <w:ind w:left="567" w:hanging="567"/>
      </w:pPr>
      <w:rPr>
        <w:rFonts w:hint="eastAsia"/>
      </w:rPr>
    </w:lvl>
    <w:lvl w:ilvl="2" w:tentative="0">
      <w:start w:val="1"/>
      <w:numFmt w:val="decimal"/>
      <w:lvlText w:val="%1.%2.%3."/>
      <w:lvlJc w:val="left"/>
      <w:pPr>
        <w:tabs>
          <w:tab w:val="left" w:pos="0"/>
        </w:tabs>
        <w:ind w:left="709" w:hanging="709"/>
      </w:pPr>
      <w:rPr>
        <w:rFonts w:hint="eastAsia"/>
      </w:rPr>
    </w:lvl>
    <w:lvl w:ilvl="3" w:tentative="0">
      <w:start w:val="1"/>
      <w:numFmt w:val="decimal"/>
      <w:lvlText w:val="%1.%2.%3.%4."/>
      <w:lvlJc w:val="left"/>
      <w:pPr>
        <w:tabs>
          <w:tab w:val="left" w:pos="0"/>
        </w:tabs>
        <w:ind w:left="851"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abstractNum w:abstractNumId="18">
    <w:nsid w:val="46F026C8"/>
    <w:multiLevelType w:val="multilevel"/>
    <w:tmpl w:val="46F026C8"/>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9">
    <w:nsid w:val="4DD071F7"/>
    <w:multiLevelType w:val="multilevel"/>
    <w:tmpl w:val="4DD071F7"/>
    <w:lvl w:ilvl="0" w:tentative="0">
      <w:start w:val="1"/>
      <w:numFmt w:val="decimal"/>
      <w:suff w:val="space"/>
      <w:lvlText w:val="%1."/>
      <w:lvlJc w:val="left"/>
      <w:pPr>
        <w:ind w:left="420" w:hanging="420"/>
      </w:pPr>
      <w:rPr>
        <w:rFonts w:hint="eastAsia" w:ascii="黑体" w:hAnsi="黑体" w:eastAsia="黑体"/>
        <w:b w:val="0"/>
        <w:i w:val="0"/>
        <w:sz w:val="21"/>
      </w:rPr>
    </w:lvl>
    <w:lvl w:ilvl="1" w:tentative="0">
      <w:start w:val="1"/>
      <w:numFmt w:val="decimal"/>
      <w:suff w:val="space"/>
      <w:lvlText w:val="%1.%2."/>
      <w:lvlJc w:val="left"/>
      <w:pPr>
        <w:ind w:left="425" w:hanging="425"/>
      </w:pPr>
      <w:rPr>
        <w:rFonts w:hint="eastAsia"/>
      </w:rPr>
    </w:lvl>
    <w:lvl w:ilvl="2" w:tentative="0">
      <w:start w:val="1"/>
      <w:numFmt w:val="decimal"/>
      <w:suff w:val="space"/>
      <w:lvlText w:val="%1.%2.%3."/>
      <w:lvlJc w:val="left"/>
      <w:pPr>
        <w:ind w:left="425" w:hanging="425"/>
      </w:pPr>
      <w:rPr>
        <w:rFonts w:hint="eastAsia"/>
      </w:rPr>
    </w:lvl>
    <w:lvl w:ilvl="3" w:tentative="0">
      <w:start w:val="1"/>
      <w:numFmt w:val="decimal"/>
      <w:suff w:val="space"/>
      <w:lvlText w:val="%1.%2.%3.%4."/>
      <w:lvlJc w:val="left"/>
      <w:pPr>
        <w:ind w:left="1276"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pStyle w:val="390"/>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0">
    <w:nsid w:val="5C58604A"/>
    <w:multiLevelType w:val="multilevel"/>
    <w:tmpl w:val="5C58604A"/>
    <w:lvl w:ilvl="0" w:tentative="0">
      <w:start w:val="1"/>
      <w:numFmt w:val="decimal"/>
      <w:lvlText w:val="(%1)"/>
      <w:lvlJc w:val="left"/>
      <w:pPr>
        <w:tabs>
          <w:tab w:val="left" w:pos="907"/>
        </w:tabs>
        <w:ind w:left="907" w:hanging="482"/>
      </w:pPr>
      <w:rPr>
        <w:rFonts w:hint="default" w:ascii="Times New Roman" w:hAnsi="Times New Roman" w:cs="Times New Roman"/>
        <w:b w:val="0"/>
        <w:i w:val="0"/>
        <w:u w:val="none"/>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7"/>
  </w:num>
  <w:num w:numId="2">
    <w:abstractNumId w:val="7"/>
  </w:num>
  <w:num w:numId="3">
    <w:abstractNumId w:val="4"/>
  </w:num>
  <w:num w:numId="4">
    <w:abstractNumId w:val="19"/>
  </w:num>
  <w:num w:numId="5">
    <w:abstractNumId w:val="14"/>
  </w:num>
  <w:num w:numId="6">
    <w:abstractNumId w:val="3"/>
  </w:num>
  <w:num w:numId="7">
    <w:abstractNumId w:val="1"/>
  </w:num>
  <w:num w:numId="8">
    <w:abstractNumId w:val="0"/>
  </w:num>
  <w:num w:numId="9">
    <w:abstractNumId w:val="6"/>
  </w:num>
  <w:num w:numId="10">
    <w:abstractNumId w:val="2"/>
  </w:num>
  <w:num w:numId="11">
    <w:abstractNumId w:val="5"/>
  </w:num>
  <w:num w:numId="12">
    <w:abstractNumId w:val="18"/>
  </w:num>
  <w:num w:numId="13">
    <w:abstractNumId w:val="8"/>
  </w:num>
  <w:num w:numId="14">
    <w:abstractNumId w:val="12"/>
  </w:num>
  <w:num w:numId="15">
    <w:abstractNumId w:val="10"/>
  </w:num>
  <w:num w:numId="16">
    <w:abstractNumId w:val="11"/>
  </w:num>
  <w:num w:numId="17">
    <w:abstractNumId w:val="9"/>
  </w:num>
  <w:num w:numId="18">
    <w:abstractNumId w:val="13"/>
  </w:num>
  <w:num w:numId="19">
    <w:abstractNumId w:val="15"/>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17"/>
    <w:rsid w:val="0000525B"/>
    <w:rsid w:val="000059AF"/>
    <w:rsid w:val="0000663A"/>
    <w:rsid w:val="0000673F"/>
    <w:rsid w:val="000173FE"/>
    <w:rsid w:val="0001764B"/>
    <w:rsid w:val="00042CD9"/>
    <w:rsid w:val="00050EA7"/>
    <w:rsid w:val="000533D4"/>
    <w:rsid w:val="00053C0A"/>
    <w:rsid w:val="000549E4"/>
    <w:rsid w:val="000554AA"/>
    <w:rsid w:val="00062DB0"/>
    <w:rsid w:val="00064F71"/>
    <w:rsid w:val="00075020"/>
    <w:rsid w:val="00080C7D"/>
    <w:rsid w:val="00083B13"/>
    <w:rsid w:val="00094B57"/>
    <w:rsid w:val="00094D24"/>
    <w:rsid w:val="000A0D77"/>
    <w:rsid w:val="000B48AE"/>
    <w:rsid w:val="000C27B0"/>
    <w:rsid w:val="000D2A5D"/>
    <w:rsid w:val="000D2F12"/>
    <w:rsid w:val="000D45B8"/>
    <w:rsid w:val="000D48C6"/>
    <w:rsid w:val="000E6114"/>
    <w:rsid w:val="000F3B08"/>
    <w:rsid w:val="000F4968"/>
    <w:rsid w:val="000F5281"/>
    <w:rsid w:val="000F5ACF"/>
    <w:rsid w:val="000F620E"/>
    <w:rsid w:val="000F6A0C"/>
    <w:rsid w:val="001024CA"/>
    <w:rsid w:val="001118B2"/>
    <w:rsid w:val="00113D18"/>
    <w:rsid w:val="00114BCF"/>
    <w:rsid w:val="0012153B"/>
    <w:rsid w:val="001271E7"/>
    <w:rsid w:val="001357A3"/>
    <w:rsid w:val="00136C4F"/>
    <w:rsid w:val="00137E49"/>
    <w:rsid w:val="00155D2A"/>
    <w:rsid w:val="00160877"/>
    <w:rsid w:val="00160C06"/>
    <w:rsid w:val="001670B8"/>
    <w:rsid w:val="00167BF4"/>
    <w:rsid w:val="001704F6"/>
    <w:rsid w:val="00172088"/>
    <w:rsid w:val="00181EE3"/>
    <w:rsid w:val="00190259"/>
    <w:rsid w:val="00190D84"/>
    <w:rsid w:val="00194203"/>
    <w:rsid w:val="001946E8"/>
    <w:rsid w:val="001A2A48"/>
    <w:rsid w:val="001A7C0D"/>
    <w:rsid w:val="001B1723"/>
    <w:rsid w:val="001B25D2"/>
    <w:rsid w:val="001C19DC"/>
    <w:rsid w:val="001C5613"/>
    <w:rsid w:val="001D09EA"/>
    <w:rsid w:val="001E3395"/>
    <w:rsid w:val="001E4367"/>
    <w:rsid w:val="001F352B"/>
    <w:rsid w:val="001F3823"/>
    <w:rsid w:val="001F3FD1"/>
    <w:rsid w:val="001F5AF2"/>
    <w:rsid w:val="00221A2E"/>
    <w:rsid w:val="00223D3D"/>
    <w:rsid w:val="00225027"/>
    <w:rsid w:val="00230414"/>
    <w:rsid w:val="00231DFF"/>
    <w:rsid w:val="00241B01"/>
    <w:rsid w:val="002566F9"/>
    <w:rsid w:val="00257D27"/>
    <w:rsid w:val="00262D21"/>
    <w:rsid w:val="002661D4"/>
    <w:rsid w:val="00277533"/>
    <w:rsid w:val="002779D2"/>
    <w:rsid w:val="002807BF"/>
    <w:rsid w:val="00285C7D"/>
    <w:rsid w:val="0029050F"/>
    <w:rsid w:val="002975D9"/>
    <w:rsid w:val="002A54AF"/>
    <w:rsid w:val="002A54D2"/>
    <w:rsid w:val="002A5C7F"/>
    <w:rsid w:val="002B08CC"/>
    <w:rsid w:val="002C0106"/>
    <w:rsid w:val="002C51F6"/>
    <w:rsid w:val="002C5D1F"/>
    <w:rsid w:val="002C61C6"/>
    <w:rsid w:val="002C6A3D"/>
    <w:rsid w:val="002D781C"/>
    <w:rsid w:val="002E3B62"/>
    <w:rsid w:val="002F2C39"/>
    <w:rsid w:val="002F5C16"/>
    <w:rsid w:val="003067B6"/>
    <w:rsid w:val="00310ABC"/>
    <w:rsid w:val="00312282"/>
    <w:rsid w:val="00313FFC"/>
    <w:rsid w:val="00323D76"/>
    <w:rsid w:val="0032763D"/>
    <w:rsid w:val="00333036"/>
    <w:rsid w:val="00334051"/>
    <w:rsid w:val="0033651C"/>
    <w:rsid w:val="003433A7"/>
    <w:rsid w:val="0034681B"/>
    <w:rsid w:val="0035061E"/>
    <w:rsid w:val="003513FC"/>
    <w:rsid w:val="00354A44"/>
    <w:rsid w:val="00355C98"/>
    <w:rsid w:val="0038047E"/>
    <w:rsid w:val="00380D11"/>
    <w:rsid w:val="00386BFF"/>
    <w:rsid w:val="00387BA8"/>
    <w:rsid w:val="00390BB1"/>
    <w:rsid w:val="003944CC"/>
    <w:rsid w:val="003961EA"/>
    <w:rsid w:val="003A4B7A"/>
    <w:rsid w:val="003A64D7"/>
    <w:rsid w:val="003A7214"/>
    <w:rsid w:val="003B1DE1"/>
    <w:rsid w:val="003B5559"/>
    <w:rsid w:val="003C003A"/>
    <w:rsid w:val="003D0B6E"/>
    <w:rsid w:val="003D1F79"/>
    <w:rsid w:val="003D316B"/>
    <w:rsid w:val="003D585E"/>
    <w:rsid w:val="003D77E0"/>
    <w:rsid w:val="003E0115"/>
    <w:rsid w:val="003E2990"/>
    <w:rsid w:val="003E69BD"/>
    <w:rsid w:val="0040198B"/>
    <w:rsid w:val="0041421D"/>
    <w:rsid w:val="004222CA"/>
    <w:rsid w:val="0042307E"/>
    <w:rsid w:val="00424B8B"/>
    <w:rsid w:val="00431E76"/>
    <w:rsid w:val="004475F7"/>
    <w:rsid w:val="00460AD6"/>
    <w:rsid w:val="00463BCF"/>
    <w:rsid w:val="004708ED"/>
    <w:rsid w:val="0047205F"/>
    <w:rsid w:val="004812FA"/>
    <w:rsid w:val="004A05D0"/>
    <w:rsid w:val="004A1510"/>
    <w:rsid w:val="004A4204"/>
    <w:rsid w:val="004A47C0"/>
    <w:rsid w:val="004B370E"/>
    <w:rsid w:val="004C44D9"/>
    <w:rsid w:val="004C4CF2"/>
    <w:rsid w:val="004C6B4F"/>
    <w:rsid w:val="004D0A73"/>
    <w:rsid w:val="004D1D9A"/>
    <w:rsid w:val="004D5E83"/>
    <w:rsid w:val="004D7052"/>
    <w:rsid w:val="004E786F"/>
    <w:rsid w:val="004F3907"/>
    <w:rsid w:val="004F6840"/>
    <w:rsid w:val="00506B2F"/>
    <w:rsid w:val="00507249"/>
    <w:rsid w:val="00507CBD"/>
    <w:rsid w:val="00510348"/>
    <w:rsid w:val="005125FE"/>
    <w:rsid w:val="00512E5B"/>
    <w:rsid w:val="00517919"/>
    <w:rsid w:val="00521674"/>
    <w:rsid w:val="005225BB"/>
    <w:rsid w:val="00522896"/>
    <w:rsid w:val="0052473F"/>
    <w:rsid w:val="00530EF2"/>
    <w:rsid w:val="005366DC"/>
    <w:rsid w:val="0054511C"/>
    <w:rsid w:val="00547133"/>
    <w:rsid w:val="00552E49"/>
    <w:rsid w:val="0055439D"/>
    <w:rsid w:val="00554515"/>
    <w:rsid w:val="005550E2"/>
    <w:rsid w:val="0055617E"/>
    <w:rsid w:val="00556C40"/>
    <w:rsid w:val="005655C1"/>
    <w:rsid w:val="00567662"/>
    <w:rsid w:val="00571D90"/>
    <w:rsid w:val="00582215"/>
    <w:rsid w:val="0058324E"/>
    <w:rsid w:val="00583AA0"/>
    <w:rsid w:val="005851E6"/>
    <w:rsid w:val="005870A7"/>
    <w:rsid w:val="00593403"/>
    <w:rsid w:val="005A6900"/>
    <w:rsid w:val="005B6E20"/>
    <w:rsid w:val="005C158D"/>
    <w:rsid w:val="005C3734"/>
    <w:rsid w:val="005C50E9"/>
    <w:rsid w:val="005C6360"/>
    <w:rsid w:val="005D2253"/>
    <w:rsid w:val="005E5026"/>
    <w:rsid w:val="005F1DAE"/>
    <w:rsid w:val="005F44F2"/>
    <w:rsid w:val="005F481F"/>
    <w:rsid w:val="00601130"/>
    <w:rsid w:val="00606E0F"/>
    <w:rsid w:val="0061094D"/>
    <w:rsid w:val="0061124D"/>
    <w:rsid w:val="00615747"/>
    <w:rsid w:val="00615E67"/>
    <w:rsid w:val="006161F8"/>
    <w:rsid w:val="00623A1A"/>
    <w:rsid w:val="006401C0"/>
    <w:rsid w:val="00640841"/>
    <w:rsid w:val="00642401"/>
    <w:rsid w:val="006425A8"/>
    <w:rsid w:val="00650884"/>
    <w:rsid w:val="00651629"/>
    <w:rsid w:val="006523BB"/>
    <w:rsid w:val="00664B6D"/>
    <w:rsid w:val="00667A2B"/>
    <w:rsid w:val="00671037"/>
    <w:rsid w:val="006743AF"/>
    <w:rsid w:val="006819FB"/>
    <w:rsid w:val="00685AA1"/>
    <w:rsid w:val="0068747B"/>
    <w:rsid w:val="00694305"/>
    <w:rsid w:val="00697711"/>
    <w:rsid w:val="006A0951"/>
    <w:rsid w:val="006A10B7"/>
    <w:rsid w:val="006A76F2"/>
    <w:rsid w:val="006B7E8F"/>
    <w:rsid w:val="006C3F57"/>
    <w:rsid w:val="006C526F"/>
    <w:rsid w:val="006C679D"/>
    <w:rsid w:val="006D21A0"/>
    <w:rsid w:val="006D3A49"/>
    <w:rsid w:val="006E382E"/>
    <w:rsid w:val="006E4A7F"/>
    <w:rsid w:val="006E6CF7"/>
    <w:rsid w:val="006E6EE7"/>
    <w:rsid w:val="006F23B7"/>
    <w:rsid w:val="006F6723"/>
    <w:rsid w:val="0070295F"/>
    <w:rsid w:val="00702C9C"/>
    <w:rsid w:val="007172ED"/>
    <w:rsid w:val="007302A1"/>
    <w:rsid w:val="0073224B"/>
    <w:rsid w:val="00734269"/>
    <w:rsid w:val="00735184"/>
    <w:rsid w:val="00753932"/>
    <w:rsid w:val="007821F2"/>
    <w:rsid w:val="00786005"/>
    <w:rsid w:val="00787E30"/>
    <w:rsid w:val="00793BD0"/>
    <w:rsid w:val="00795CCC"/>
    <w:rsid w:val="007A4917"/>
    <w:rsid w:val="007B3BDB"/>
    <w:rsid w:val="007C0629"/>
    <w:rsid w:val="007C4F39"/>
    <w:rsid w:val="007C7001"/>
    <w:rsid w:val="007D4E83"/>
    <w:rsid w:val="007D5DD3"/>
    <w:rsid w:val="007D61E8"/>
    <w:rsid w:val="007D69B8"/>
    <w:rsid w:val="007D7249"/>
    <w:rsid w:val="007D79CD"/>
    <w:rsid w:val="007E37AF"/>
    <w:rsid w:val="007E5D30"/>
    <w:rsid w:val="00800A74"/>
    <w:rsid w:val="008023FA"/>
    <w:rsid w:val="00803FF4"/>
    <w:rsid w:val="0080471E"/>
    <w:rsid w:val="00810FFD"/>
    <w:rsid w:val="008311A0"/>
    <w:rsid w:val="00833E87"/>
    <w:rsid w:val="008343DB"/>
    <w:rsid w:val="00835EF3"/>
    <w:rsid w:val="00836ECD"/>
    <w:rsid w:val="00842978"/>
    <w:rsid w:val="00844652"/>
    <w:rsid w:val="00853D71"/>
    <w:rsid w:val="00856447"/>
    <w:rsid w:val="0086100D"/>
    <w:rsid w:val="00862147"/>
    <w:rsid w:val="00880529"/>
    <w:rsid w:val="008820DA"/>
    <w:rsid w:val="00882743"/>
    <w:rsid w:val="008843D2"/>
    <w:rsid w:val="008913AB"/>
    <w:rsid w:val="00896788"/>
    <w:rsid w:val="0089754D"/>
    <w:rsid w:val="008B2FA6"/>
    <w:rsid w:val="008C0CD3"/>
    <w:rsid w:val="008C1E1B"/>
    <w:rsid w:val="008C4A05"/>
    <w:rsid w:val="008D254D"/>
    <w:rsid w:val="008D5F7B"/>
    <w:rsid w:val="008E00FB"/>
    <w:rsid w:val="008E04F3"/>
    <w:rsid w:val="008E7CD2"/>
    <w:rsid w:val="008F27B9"/>
    <w:rsid w:val="008F458A"/>
    <w:rsid w:val="009017D7"/>
    <w:rsid w:val="00906ADF"/>
    <w:rsid w:val="00910D18"/>
    <w:rsid w:val="0091115C"/>
    <w:rsid w:val="00911714"/>
    <w:rsid w:val="009126A2"/>
    <w:rsid w:val="00914EDC"/>
    <w:rsid w:val="00914EFA"/>
    <w:rsid w:val="00916D38"/>
    <w:rsid w:val="00927016"/>
    <w:rsid w:val="00934F2A"/>
    <w:rsid w:val="0094499A"/>
    <w:rsid w:val="00951FF6"/>
    <w:rsid w:val="0095298D"/>
    <w:rsid w:val="00954BFF"/>
    <w:rsid w:val="009578D1"/>
    <w:rsid w:val="00960B99"/>
    <w:rsid w:val="009611BD"/>
    <w:rsid w:val="0096174F"/>
    <w:rsid w:val="009730B5"/>
    <w:rsid w:val="00973FD7"/>
    <w:rsid w:val="0099659F"/>
    <w:rsid w:val="009A33A0"/>
    <w:rsid w:val="009B4678"/>
    <w:rsid w:val="009B5B7E"/>
    <w:rsid w:val="009B6367"/>
    <w:rsid w:val="009C0805"/>
    <w:rsid w:val="009C170F"/>
    <w:rsid w:val="009C3588"/>
    <w:rsid w:val="009C69CD"/>
    <w:rsid w:val="009C7053"/>
    <w:rsid w:val="009C7E7C"/>
    <w:rsid w:val="009E1DEB"/>
    <w:rsid w:val="009E72BA"/>
    <w:rsid w:val="009E79C6"/>
    <w:rsid w:val="009F070A"/>
    <w:rsid w:val="009F0F28"/>
    <w:rsid w:val="009F5EB1"/>
    <w:rsid w:val="009F6ACC"/>
    <w:rsid w:val="00A003D8"/>
    <w:rsid w:val="00A207CD"/>
    <w:rsid w:val="00A21744"/>
    <w:rsid w:val="00A246A6"/>
    <w:rsid w:val="00A2690B"/>
    <w:rsid w:val="00A271F8"/>
    <w:rsid w:val="00A334ED"/>
    <w:rsid w:val="00A36B1D"/>
    <w:rsid w:val="00A37EA3"/>
    <w:rsid w:val="00A463AF"/>
    <w:rsid w:val="00A51486"/>
    <w:rsid w:val="00A540F4"/>
    <w:rsid w:val="00A54C1A"/>
    <w:rsid w:val="00A560E1"/>
    <w:rsid w:val="00A64A1C"/>
    <w:rsid w:val="00A7597C"/>
    <w:rsid w:val="00A868DD"/>
    <w:rsid w:val="00A86B98"/>
    <w:rsid w:val="00A90D9E"/>
    <w:rsid w:val="00A95E47"/>
    <w:rsid w:val="00AA0842"/>
    <w:rsid w:val="00AA6D17"/>
    <w:rsid w:val="00AB3FE4"/>
    <w:rsid w:val="00AB43F7"/>
    <w:rsid w:val="00AB54B9"/>
    <w:rsid w:val="00AB70FA"/>
    <w:rsid w:val="00AC332E"/>
    <w:rsid w:val="00AC36B2"/>
    <w:rsid w:val="00AC6026"/>
    <w:rsid w:val="00AC7841"/>
    <w:rsid w:val="00AD64C6"/>
    <w:rsid w:val="00AE3FE4"/>
    <w:rsid w:val="00AF0466"/>
    <w:rsid w:val="00AF688C"/>
    <w:rsid w:val="00B0188B"/>
    <w:rsid w:val="00B03704"/>
    <w:rsid w:val="00B26CF2"/>
    <w:rsid w:val="00B407A7"/>
    <w:rsid w:val="00B40A28"/>
    <w:rsid w:val="00B4278B"/>
    <w:rsid w:val="00B45326"/>
    <w:rsid w:val="00B61443"/>
    <w:rsid w:val="00B61CB8"/>
    <w:rsid w:val="00B62F76"/>
    <w:rsid w:val="00B707CE"/>
    <w:rsid w:val="00B712D0"/>
    <w:rsid w:val="00B72401"/>
    <w:rsid w:val="00B739A5"/>
    <w:rsid w:val="00B73FBD"/>
    <w:rsid w:val="00B86137"/>
    <w:rsid w:val="00B90506"/>
    <w:rsid w:val="00BB6CEB"/>
    <w:rsid w:val="00BB7BB2"/>
    <w:rsid w:val="00BC1809"/>
    <w:rsid w:val="00BC1E6C"/>
    <w:rsid w:val="00BC34FD"/>
    <w:rsid w:val="00BC5394"/>
    <w:rsid w:val="00BC780A"/>
    <w:rsid w:val="00BE2AEB"/>
    <w:rsid w:val="00BF164E"/>
    <w:rsid w:val="00BF4351"/>
    <w:rsid w:val="00BF450E"/>
    <w:rsid w:val="00BF588F"/>
    <w:rsid w:val="00C03F90"/>
    <w:rsid w:val="00C04003"/>
    <w:rsid w:val="00C0660C"/>
    <w:rsid w:val="00C07A86"/>
    <w:rsid w:val="00C149F9"/>
    <w:rsid w:val="00C1666B"/>
    <w:rsid w:val="00C20D57"/>
    <w:rsid w:val="00C240E1"/>
    <w:rsid w:val="00C24F5F"/>
    <w:rsid w:val="00C25B36"/>
    <w:rsid w:val="00C3119C"/>
    <w:rsid w:val="00C3334A"/>
    <w:rsid w:val="00C35117"/>
    <w:rsid w:val="00C35B85"/>
    <w:rsid w:val="00C37C84"/>
    <w:rsid w:val="00C4038F"/>
    <w:rsid w:val="00C45548"/>
    <w:rsid w:val="00C53366"/>
    <w:rsid w:val="00C54E74"/>
    <w:rsid w:val="00C60080"/>
    <w:rsid w:val="00C643E9"/>
    <w:rsid w:val="00C66A31"/>
    <w:rsid w:val="00C71F09"/>
    <w:rsid w:val="00C771A6"/>
    <w:rsid w:val="00C807AD"/>
    <w:rsid w:val="00C82E08"/>
    <w:rsid w:val="00C85B51"/>
    <w:rsid w:val="00C96ABF"/>
    <w:rsid w:val="00CA076F"/>
    <w:rsid w:val="00CA1464"/>
    <w:rsid w:val="00CA3850"/>
    <w:rsid w:val="00CB2B4C"/>
    <w:rsid w:val="00CC2058"/>
    <w:rsid w:val="00CC209D"/>
    <w:rsid w:val="00CD232B"/>
    <w:rsid w:val="00CD2995"/>
    <w:rsid w:val="00CD43DB"/>
    <w:rsid w:val="00CE1BB3"/>
    <w:rsid w:val="00CE6D1D"/>
    <w:rsid w:val="00CF310D"/>
    <w:rsid w:val="00D13366"/>
    <w:rsid w:val="00D15F28"/>
    <w:rsid w:val="00D16E3E"/>
    <w:rsid w:val="00D17D09"/>
    <w:rsid w:val="00D366CD"/>
    <w:rsid w:val="00D36A6B"/>
    <w:rsid w:val="00D36F64"/>
    <w:rsid w:val="00D37B5C"/>
    <w:rsid w:val="00D423B8"/>
    <w:rsid w:val="00D45C25"/>
    <w:rsid w:val="00D46D6A"/>
    <w:rsid w:val="00D62D6E"/>
    <w:rsid w:val="00D7201D"/>
    <w:rsid w:val="00D81C8C"/>
    <w:rsid w:val="00D844D5"/>
    <w:rsid w:val="00D86B1E"/>
    <w:rsid w:val="00D96B6D"/>
    <w:rsid w:val="00D97173"/>
    <w:rsid w:val="00DA36FC"/>
    <w:rsid w:val="00DA46A8"/>
    <w:rsid w:val="00DC354E"/>
    <w:rsid w:val="00DC477C"/>
    <w:rsid w:val="00DD5BF1"/>
    <w:rsid w:val="00DE53FB"/>
    <w:rsid w:val="00DE676A"/>
    <w:rsid w:val="00DF430E"/>
    <w:rsid w:val="00E01F29"/>
    <w:rsid w:val="00E06415"/>
    <w:rsid w:val="00E33599"/>
    <w:rsid w:val="00E33E7C"/>
    <w:rsid w:val="00E41947"/>
    <w:rsid w:val="00E4380D"/>
    <w:rsid w:val="00E457F3"/>
    <w:rsid w:val="00E46E22"/>
    <w:rsid w:val="00E53EC8"/>
    <w:rsid w:val="00E5581E"/>
    <w:rsid w:val="00E73D5A"/>
    <w:rsid w:val="00E77EAF"/>
    <w:rsid w:val="00E825E8"/>
    <w:rsid w:val="00E8290B"/>
    <w:rsid w:val="00E833C7"/>
    <w:rsid w:val="00E85B83"/>
    <w:rsid w:val="00E90ED2"/>
    <w:rsid w:val="00E93939"/>
    <w:rsid w:val="00E95509"/>
    <w:rsid w:val="00EA6B4F"/>
    <w:rsid w:val="00EB10E2"/>
    <w:rsid w:val="00EC110F"/>
    <w:rsid w:val="00EC44AC"/>
    <w:rsid w:val="00EC58CE"/>
    <w:rsid w:val="00EC5ABD"/>
    <w:rsid w:val="00ED2501"/>
    <w:rsid w:val="00ED43A1"/>
    <w:rsid w:val="00EE55E7"/>
    <w:rsid w:val="00EF1137"/>
    <w:rsid w:val="00EF4024"/>
    <w:rsid w:val="00EF45D4"/>
    <w:rsid w:val="00EF642E"/>
    <w:rsid w:val="00F009C9"/>
    <w:rsid w:val="00F02897"/>
    <w:rsid w:val="00F033A7"/>
    <w:rsid w:val="00F07A72"/>
    <w:rsid w:val="00F11CF2"/>
    <w:rsid w:val="00F1409A"/>
    <w:rsid w:val="00F167E5"/>
    <w:rsid w:val="00F36AF5"/>
    <w:rsid w:val="00F36C18"/>
    <w:rsid w:val="00F37858"/>
    <w:rsid w:val="00F41902"/>
    <w:rsid w:val="00F458C7"/>
    <w:rsid w:val="00F50248"/>
    <w:rsid w:val="00F63676"/>
    <w:rsid w:val="00F6431E"/>
    <w:rsid w:val="00F6552F"/>
    <w:rsid w:val="00F67B3B"/>
    <w:rsid w:val="00F71709"/>
    <w:rsid w:val="00F75865"/>
    <w:rsid w:val="00F76047"/>
    <w:rsid w:val="00F879E7"/>
    <w:rsid w:val="00F93A71"/>
    <w:rsid w:val="00F94EC3"/>
    <w:rsid w:val="00F967BD"/>
    <w:rsid w:val="00F970E3"/>
    <w:rsid w:val="00FA0EBB"/>
    <w:rsid w:val="00FA195E"/>
    <w:rsid w:val="00FA39A3"/>
    <w:rsid w:val="00FB0CED"/>
    <w:rsid w:val="00FB1DDC"/>
    <w:rsid w:val="00FB27E7"/>
    <w:rsid w:val="00FB4551"/>
    <w:rsid w:val="00FB5178"/>
    <w:rsid w:val="00FB5675"/>
    <w:rsid w:val="00FB714C"/>
    <w:rsid w:val="00FD182D"/>
    <w:rsid w:val="00FD6D08"/>
    <w:rsid w:val="00FE64E6"/>
    <w:rsid w:val="00FF5EC2"/>
    <w:rsid w:val="00FF75D5"/>
    <w:rsid w:val="08C1759F"/>
    <w:rsid w:val="08E72291"/>
    <w:rsid w:val="0DF103DA"/>
    <w:rsid w:val="19DD32C6"/>
    <w:rsid w:val="27C9523F"/>
    <w:rsid w:val="38575800"/>
    <w:rsid w:val="3B1269B3"/>
    <w:rsid w:val="3E46434D"/>
    <w:rsid w:val="42583699"/>
    <w:rsid w:val="47970711"/>
    <w:rsid w:val="49477D06"/>
    <w:rsid w:val="49BA4243"/>
    <w:rsid w:val="50874A7C"/>
    <w:rsid w:val="514D3E93"/>
    <w:rsid w:val="515E46D0"/>
    <w:rsid w:val="581B31E6"/>
    <w:rsid w:val="596F1511"/>
    <w:rsid w:val="5AFC3496"/>
    <w:rsid w:val="60B42476"/>
    <w:rsid w:val="696848C8"/>
    <w:rsid w:val="6A4C3C53"/>
    <w:rsid w:val="6C656F86"/>
    <w:rsid w:val="7128150C"/>
    <w:rsid w:val="755A7639"/>
    <w:rsid w:val="79882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semiHidden="0" w:name="List Bullet"/>
    <w:lsdException w:qFormat="1" w:unhideWhenUsed="0" w:uiPriority="99"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autoRedefine/>
    <w:qFormat/>
    <w:uiPriority w:val="0"/>
    <w:pPr>
      <w:keepNext/>
      <w:keepLines/>
      <w:spacing w:line="360" w:lineRule="auto"/>
      <w:jc w:val="center"/>
      <w:outlineLvl w:val="0"/>
    </w:pPr>
    <w:rPr>
      <w:rFonts w:eastAsia="黑体"/>
      <w:bCs/>
      <w:kern w:val="44"/>
      <w:sz w:val="30"/>
      <w:szCs w:val="44"/>
    </w:rPr>
  </w:style>
  <w:style w:type="paragraph" w:styleId="4">
    <w:name w:val="heading 2"/>
    <w:basedOn w:val="1"/>
    <w:next w:val="1"/>
    <w:link w:val="65"/>
    <w:autoRedefine/>
    <w:qFormat/>
    <w:uiPriority w:val="99"/>
    <w:pPr>
      <w:keepNext/>
      <w:keepLines/>
      <w:snapToGrid w:val="0"/>
      <w:spacing w:beforeLines="100" w:afterLines="100" w:line="415" w:lineRule="auto"/>
      <w:ind w:right="210" w:rightChars="100"/>
      <w:outlineLvl w:val="1"/>
    </w:pPr>
    <w:rPr>
      <w:rFonts w:ascii="Arial" w:hAnsi="宋体" w:eastAsia="黑体"/>
      <w:bCs/>
      <w:color w:val="000000" w:themeColor="text1"/>
      <w:sz w:val="24"/>
    </w:rPr>
  </w:style>
  <w:style w:type="paragraph" w:styleId="5">
    <w:name w:val="heading 3"/>
    <w:basedOn w:val="1"/>
    <w:next w:val="1"/>
    <w:link w:val="66"/>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2">
    <w:name w:val="heading 4"/>
    <w:basedOn w:val="1"/>
    <w:next w:val="1"/>
    <w:link w:val="67"/>
    <w:autoRedefine/>
    <w:qFormat/>
    <w:uiPriority w:val="0"/>
    <w:pPr>
      <w:keepNext/>
      <w:outlineLvl w:val="3"/>
    </w:pPr>
    <w:rPr>
      <w:sz w:val="28"/>
      <w:szCs w:val="20"/>
    </w:rPr>
  </w:style>
  <w:style w:type="paragraph" w:styleId="6">
    <w:name w:val="heading 5"/>
    <w:basedOn w:val="1"/>
    <w:next w:val="1"/>
    <w:link w:val="6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69"/>
    <w:autoRedefine/>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70"/>
    <w:autoRedefine/>
    <w:qFormat/>
    <w:uiPriority w:val="99"/>
    <w:pPr>
      <w:keepNext/>
      <w:keepLines/>
      <w:spacing w:before="240" w:after="64" w:line="320" w:lineRule="auto"/>
      <w:outlineLvl w:val="6"/>
    </w:pPr>
    <w:rPr>
      <w:b/>
      <w:bCs/>
      <w:sz w:val="24"/>
    </w:rPr>
  </w:style>
  <w:style w:type="paragraph" w:styleId="9">
    <w:name w:val="heading 8"/>
    <w:basedOn w:val="1"/>
    <w:next w:val="1"/>
    <w:link w:val="71"/>
    <w:autoRedefine/>
    <w:qFormat/>
    <w:uiPriority w:val="99"/>
    <w:pPr>
      <w:keepNext/>
      <w:keepLines/>
      <w:spacing w:before="240" w:after="64" w:line="320" w:lineRule="auto"/>
      <w:outlineLvl w:val="7"/>
    </w:pPr>
    <w:rPr>
      <w:rFonts w:ascii="Arial" w:hAnsi="Arial" w:eastAsia="黑体"/>
      <w:sz w:val="24"/>
    </w:rPr>
  </w:style>
  <w:style w:type="paragraph" w:styleId="10">
    <w:name w:val="heading 9"/>
    <w:basedOn w:val="1"/>
    <w:next w:val="1"/>
    <w:link w:val="72"/>
    <w:autoRedefine/>
    <w:qFormat/>
    <w:uiPriority w:val="99"/>
    <w:pPr>
      <w:keepNext/>
      <w:keepLines/>
      <w:spacing w:before="240" w:after="64" w:line="320" w:lineRule="auto"/>
      <w:outlineLvl w:val="8"/>
    </w:pPr>
    <w:rPr>
      <w:rFonts w:ascii="Arial" w:hAnsi="Arial" w:eastAsia="黑体"/>
      <w:szCs w:val="21"/>
    </w:rPr>
  </w:style>
  <w:style w:type="character" w:default="1" w:styleId="55">
    <w:name w:val="Default Paragraph Font"/>
    <w:unhideWhenUsed/>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99"/>
    <w:pPr>
      <w:ind w:left="2520" w:leftChars="1200"/>
    </w:pPr>
    <w:rPr>
      <w:rFonts w:ascii="Calibri" w:hAnsi="Calibri"/>
      <w:szCs w:val="22"/>
    </w:rPr>
  </w:style>
  <w:style w:type="paragraph" w:styleId="12">
    <w:name w:val="List Number 2"/>
    <w:basedOn w:val="1"/>
    <w:autoRedefine/>
    <w:qFormat/>
    <w:uiPriority w:val="99"/>
    <w:pPr>
      <w:widowControl/>
      <w:tabs>
        <w:tab w:val="left" w:pos="720"/>
      </w:tabs>
      <w:ind w:left="720" w:hanging="360"/>
    </w:pPr>
    <w:rPr>
      <w:rFonts w:ascii="Arial" w:hAnsi="Arial"/>
      <w:kern w:val="0"/>
      <w:sz w:val="20"/>
      <w:szCs w:val="20"/>
      <w:lang w:eastAsia="en-US"/>
    </w:rPr>
  </w:style>
  <w:style w:type="paragraph" w:styleId="13">
    <w:name w:val="List Bullet 4"/>
    <w:basedOn w:val="1"/>
    <w:autoRedefine/>
    <w:qFormat/>
    <w:uiPriority w:val="99"/>
    <w:pPr>
      <w:widowControl/>
      <w:tabs>
        <w:tab w:val="left" w:pos="1440"/>
      </w:tabs>
      <w:ind w:left="1440" w:hanging="360"/>
    </w:pPr>
    <w:rPr>
      <w:rFonts w:ascii="Arial" w:hAnsi="Arial"/>
      <w:kern w:val="0"/>
      <w:sz w:val="20"/>
      <w:szCs w:val="20"/>
      <w:lang w:eastAsia="en-US"/>
    </w:rPr>
  </w:style>
  <w:style w:type="paragraph" w:styleId="14">
    <w:name w:val="List Number"/>
    <w:basedOn w:val="1"/>
    <w:autoRedefine/>
    <w:qFormat/>
    <w:uiPriority w:val="99"/>
    <w:pPr>
      <w:tabs>
        <w:tab w:val="left" w:pos="360"/>
      </w:tabs>
      <w:ind w:left="360" w:hanging="200" w:hangingChars="200"/>
    </w:pPr>
  </w:style>
  <w:style w:type="paragraph" w:styleId="15">
    <w:name w:val="Normal Indent"/>
    <w:basedOn w:val="1"/>
    <w:link w:val="89"/>
    <w:autoRedefine/>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List Bullet"/>
    <w:basedOn w:val="1"/>
    <w:autoRedefine/>
    <w:qFormat/>
    <w:uiPriority w:val="99"/>
    <w:pPr>
      <w:tabs>
        <w:tab w:val="left" w:pos="360"/>
      </w:tabs>
      <w:ind w:left="360" w:hanging="360"/>
    </w:pPr>
    <w:rPr>
      <w:sz w:val="24"/>
    </w:rPr>
  </w:style>
  <w:style w:type="paragraph" w:styleId="17">
    <w:name w:val="Document Map"/>
    <w:basedOn w:val="1"/>
    <w:link w:val="73"/>
    <w:autoRedefine/>
    <w:semiHidden/>
    <w:qFormat/>
    <w:uiPriority w:val="99"/>
    <w:rPr>
      <w:rFonts w:ascii="宋体"/>
      <w:sz w:val="18"/>
      <w:szCs w:val="18"/>
    </w:rPr>
  </w:style>
  <w:style w:type="paragraph" w:styleId="18">
    <w:name w:val="annotation text"/>
    <w:basedOn w:val="1"/>
    <w:link w:val="74"/>
    <w:autoRedefine/>
    <w:qFormat/>
    <w:uiPriority w:val="99"/>
    <w:pPr>
      <w:jc w:val="left"/>
    </w:pPr>
    <w:rPr>
      <w:szCs w:val="20"/>
    </w:rPr>
  </w:style>
  <w:style w:type="paragraph" w:styleId="19">
    <w:name w:val="Body Text 3"/>
    <w:basedOn w:val="1"/>
    <w:link w:val="75"/>
    <w:autoRedefine/>
    <w:qFormat/>
    <w:uiPriority w:val="99"/>
    <w:pPr>
      <w:spacing w:after="120"/>
    </w:pPr>
    <w:rPr>
      <w:sz w:val="16"/>
      <w:szCs w:val="16"/>
    </w:rPr>
  </w:style>
  <w:style w:type="paragraph" w:styleId="20">
    <w:name w:val="List Bullet 3"/>
    <w:basedOn w:val="1"/>
    <w:autoRedefine/>
    <w:qFormat/>
    <w:uiPriority w:val="99"/>
    <w:pPr>
      <w:widowControl/>
      <w:tabs>
        <w:tab w:val="left" w:pos="1080"/>
      </w:tabs>
      <w:ind w:left="1080" w:hanging="360"/>
    </w:pPr>
    <w:rPr>
      <w:rFonts w:ascii="Arial" w:hAnsi="Arial"/>
      <w:kern w:val="0"/>
      <w:sz w:val="20"/>
      <w:szCs w:val="20"/>
      <w:lang w:eastAsia="en-US"/>
    </w:rPr>
  </w:style>
  <w:style w:type="paragraph" w:styleId="21">
    <w:name w:val="Body Text"/>
    <w:basedOn w:val="1"/>
    <w:link w:val="76"/>
    <w:autoRedefine/>
    <w:qFormat/>
    <w:uiPriority w:val="99"/>
    <w:rPr>
      <w:sz w:val="28"/>
      <w:szCs w:val="20"/>
    </w:rPr>
  </w:style>
  <w:style w:type="paragraph" w:styleId="22">
    <w:name w:val="Body Text Indent"/>
    <w:basedOn w:val="1"/>
    <w:link w:val="77"/>
    <w:autoRedefine/>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3">
    <w:name w:val="List Number 3"/>
    <w:basedOn w:val="1"/>
    <w:autoRedefine/>
    <w:qFormat/>
    <w:uiPriority w:val="99"/>
    <w:pPr>
      <w:widowControl/>
      <w:tabs>
        <w:tab w:val="left" w:pos="1080"/>
      </w:tabs>
      <w:ind w:left="1080" w:hanging="360"/>
    </w:pPr>
    <w:rPr>
      <w:rFonts w:ascii="Arial" w:hAnsi="Arial"/>
      <w:kern w:val="0"/>
      <w:sz w:val="20"/>
      <w:szCs w:val="20"/>
      <w:lang w:eastAsia="en-US"/>
    </w:rPr>
  </w:style>
  <w:style w:type="paragraph" w:styleId="24">
    <w:name w:val="List 2"/>
    <w:basedOn w:val="1"/>
    <w:autoRedefine/>
    <w:qFormat/>
    <w:uiPriority w:val="0"/>
    <w:pPr>
      <w:ind w:left="100" w:leftChars="200" w:hanging="200" w:hangingChars="200"/>
    </w:pPr>
  </w:style>
  <w:style w:type="paragraph" w:styleId="25">
    <w:name w:val="List Bullet 2"/>
    <w:basedOn w:val="1"/>
    <w:next w:val="26"/>
    <w:autoRedefine/>
    <w:qFormat/>
    <w:uiPriority w:val="99"/>
    <w:pPr>
      <w:keepLines/>
      <w:tabs>
        <w:tab w:val="left" w:pos="780"/>
      </w:tabs>
      <w:spacing w:afterLines="20" w:line="264" w:lineRule="auto"/>
      <w:ind w:left="780" w:hanging="360"/>
    </w:pPr>
    <w:rPr>
      <w:rFonts w:ascii="宋体"/>
      <w:sz w:val="24"/>
      <w:szCs w:val="21"/>
    </w:rPr>
  </w:style>
  <w:style w:type="paragraph" w:styleId="26">
    <w:name w:val="Body Text First Indent"/>
    <w:basedOn w:val="21"/>
    <w:link w:val="78"/>
    <w:autoRedefine/>
    <w:qFormat/>
    <w:uiPriority w:val="99"/>
    <w:pPr>
      <w:spacing w:after="120"/>
      <w:ind w:firstLine="210" w:firstLineChars="100"/>
    </w:pPr>
    <w:rPr>
      <w:kern w:val="0"/>
      <w:sz w:val="20"/>
    </w:rPr>
  </w:style>
  <w:style w:type="paragraph" w:styleId="27">
    <w:name w:val="toc 5"/>
    <w:basedOn w:val="1"/>
    <w:next w:val="1"/>
    <w:autoRedefine/>
    <w:unhideWhenUsed/>
    <w:qFormat/>
    <w:uiPriority w:val="99"/>
    <w:pPr>
      <w:ind w:left="1680" w:leftChars="800"/>
    </w:pPr>
    <w:rPr>
      <w:rFonts w:ascii="Calibri" w:hAnsi="Calibri"/>
      <w:szCs w:val="22"/>
    </w:rPr>
  </w:style>
  <w:style w:type="paragraph" w:styleId="28">
    <w:name w:val="toc 3"/>
    <w:basedOn w:val="1"/>
    <w:next w:val="1"/>
    <w:autoRedefine/>
    <w:qFormat/>
    <w:uiPriority w:val="39"/>
    <w:pPr>
      <w:tabs>
        <w:tab w:val="left" w:pos="1400"/>
        <w:tab w:val="right" w:leader="dot" w:pos="9060"/>
      </w:tabs>
      <w:autoSpaceDE w:val="0"/>
      <w:autoSpaceDN w:val="0"/>
      <w:adjustRightInd w:val="0"/>
      <w:spacing w:line="315" w:lineRule="atLeast"/>
      <w:ind w:left="800"/>
      <w:jc w:val="left"/>
    </w:pPr>
    <w:rPr>
      <w:rFonts w:ascii="宋体" w:hAnsi="宋体"/>
      <w:bCs/>
      <w:kern w:val="0"/>
      <w:sz w:val="20"/>
      <w:szCs w:val="20"/>
    </w:rPr>
  </w:style>
  <w:style w:type="paragraph" w:styleId="29">
    <w:name w:val="Plain Text"/>
    <w:basedOn w:val="1"/>
    <w:next w:val="30"/>
    <w:link w:val="79"/>
    <w:autoRedefine/>
    <w:qFormat/>
    <w:uiPriority w:val="99"/>
    <w:rPr>
      <w:rFonts w:ascii="宋体" w:hAnsi="Courier New"/>
      <w:szCs w:val="20"/>
    </w:rPr>
  </w:style>
  <w:style w:type="paragraph" w:styleId="30">
    <w:name w:val="toc 4"/>
    <w:basedOn w:val="1"/>
    <w:next w:val="1"/>
    <w:autoRedefine/>
    <w:unhideWhenUsed/>
    <w:qFormat/>
    <w:uiPriority w:val="99"/>
    <w:pPr>
      <w:ind w:left="1260" w:leftChars="600"/>
    </w:pPr>
    <w:rPr>
      <w:rFonts w:ascii="Calibri" w:hAnsi="Calibri"/>
      <w:szCs w:val="22"/>
    </w:rPr>
  </w:style>
  <w:style w:type="paragraph" w:styleId="31">
    <w:name w:val="List Bullet 5"/>
    <w:basedOn w:val="1"/>
    <w:autoRedefine/>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autoRedefine/>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autoRedefine/>
    <w:unhideWhenUsed/>
    <w:qFormat/>
    <w:uiPriority w:val="99"/>
    <w:pPr>
      <w:ind w:left="2940" w:leftChars="1400"/>
    </w:pPr>
    <w:rPr>
      <w:rFonts w:ascii="Calibri" w:hAnsi="Calibri"/>
      <w:szCs w:val="22"/>
    </w:rPr>
  </w:style>
  <w:style w:type="paragraph" w:styleId="34">
    <w:name w:val="Date"/>
    <w:basedOn w:val="1"/>
    <w:next w:val="1"/>
    <w:link w:val="80"/>
    <w:autoRedefine/>
    <w:qFormat/>
    <w:uiPriority w:val="99"/>
    <w:pPr>
      <w:ind w:left="100" w:leftChars="2500"/>
    </w:pPr>
    <w:rPr>
      <w:szCs w:val="20"/>
    </w:rPr>
  </w:style>
  <w:style w:type="paragraph" w:styleId="35">
    <w:name w:val="Body Text Indent 2"/>
    <w:basedOn w:val="1"/>
    <w:link w:val="81"/>
    <w:autoRedefine/>
    <w:qFormat/>
    <w:uiPriority w:val="99"/>
    <w:pPr>
      <w:spacing w:line="480" w:lineRule="auto"/>
      <w:ind w:firstLine="480" w:firstLineChars="200"/>
    </w:pPr>
    <w:rPr>
      <w:rFonts w:ascii="仿宋_GB2312" w:hAnsi="宋体" w:eastAsia="仿宋_GB2312"/>
      <w:sz w:val="24"/>
    </w:rPr>
  </w:style>
  <w:style w:type="paragraph" w:styleId="36">
    <w:name w:val="Balloon Text"/>
    <w:basedOn w:val="1"/>
    <w:link w:val="82"/>
    <w:autoRedefine/>
    <w:qFormat/>
    <w:uiPriority w:val="99"/>
    <w:rPr>
      <w:sz w:val="18"/>
      <w:szCs w:val="18"/>
    </w:rPr>
  </w:style>
  <w:style w:type="paragraph" w:styleId="37">
    <w:name w:val="footer"/>
    <w:basedOn w:val="1"/>
    <w:link w:val="63"/>
    <w:unhideWhenUsed/>
    <w:qFormat/>
    <w:uiPriority w:val="99"/>
    <w:pPr>
      <w:tabs>
        <w:tab w:val="center" w:pos="4153"/>
        <w:tab w:val="right" w:pos="8306"/>
      </w:tabs>
      <w:snapToGrid w:val="0"/>
      <w:jc w:val="left"/>
    </w:pPr>
    <w:rPr>
      <w:sz w:val="18"/>
      <w:szCs w:val="18"/>
    </w:rPr>
  </w:style>
  <w:style w:type="paragraph" w:styleId="38">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autoRedefine/>
    <w:qFormat/>
    <w:uiPriority w:val="39"/>
    <w:pPr>
      <w:tabs>
        <w:tab w:val="right" w:leader="dot" w:pos="8306"/>
      </w:tabs>
      <w:autoSpaceDE w:val="0"/>
      <w:autoSpaceDN w:val="0"/>
      <w:adjustRightInd w:val="0"/>
      <w:spacing w:before="120" w:after="120" w:line="315" w:lineRule="atLeast"/>
      <w:ind w:right="958"/>
      <w:jc w:val="right"/>
    </w:pPr>
    <w:rPr>
      <w:rFonts w:eastAsia="黑体"/>
      <w:caps/>
      <w:kern w:val="0"/>
      <w:szCs w:val="21"/>
    </w:rPr>
  </w:style>
  <w:style w:type="paragraph" w:styleId="40">
    <w:name w:val="index heading"/>
    <w:basedOn w:val="1"/>
    <w:next w:val="41"/>
    <w:autoRedefine/>
    <w:qFormat/>
    <w:uiPriority w:val="0"/>
    <w:pPr>
      <w:adjustRightInd w:val="0"/>
      <w:spacing w:line="312" w:lineRule="atLeast"/>
      <w:textAlignment w:val="baseline"/>
    </w:pPr>
    <w:rPr>
      <w:kern w:val="0"/>
      <w:szCs w:val="20"/>
    </w:rPr>
  </w:style>
  <w:style w:type="paragraph" w:styleId="41">
    <w:name w:val="index 1"/>
    <w:basedOn w:val="1"/>
    <w:next w:val="1"/>
    <w:autoRedefine/>
    <w:unhideWhenUsed/>
    <w:qFormat/>
    <w:uiPriority w:val="99"/>
  </w:style>
  <w:style w:type="paragraph" w:styleId="42">
    <w:name w:val="Subtitle"/>
    <w:basedOn w:val="1"/>
    <w:next w:val="1"/>
    <w:link w:val="83"/>
    <w:autoRedefine/>
    <w:qFormat/>
    <w:uiPriority w:val="0"/>
    <w:pPr>
      <w:spacing w:before="240" w:after="60" w:line="312" w:lineRule="auto"/>
      <w:jc w:val="center"/>
      <w:outlineLvl w:val="1"/>
    </w:pPr>
    <w:rPr>
      <w:rFonts w:ascii="Cambria" w:hAnsi="Cambria" w:cs="黑体"/>
      <w:b/>
      <w:bCs/>
      <w:kern w:val="28"/>
      <w:sz w:val="32"/>
      <w:szCs w:val="32"/>
    </w:rPr>
  </w:style>
  <w:style w:type="paragraph" w:styleId="43">
    <w:name w:val="List Number 5"/>
    <w:basedOn w:val="1"/>
    <w:autoRedefine/>
    <w:qFormat/>
    <w:uiPriority w:val="99"/>
    <w:pPr>
      <w:widowControl/>
      <w:tabs>
        <w:tab w:val="left" w:pos="1800"/>
      </w:tabs>
      <w:ind w:left="1800" w:hanging="360"/>
    </w:pPr>
    <w:rPr>
      <w:rFonts w:ascii="Arial" w:hAnsi="Arial"/>
      <w:kern w:val="0"/>
      <w:sz w:val="20"/>
      <w:szCs w:val="20"/>
      <w:lang w:eastAsia="en-US"/>
    </w:rPr>
  </w:style>
  <w:style w:type="paragraph" w:styleId="44">
    <w:name w:val="toc 6"/>
    <w:basedOn w:val="1"/>
    <w:next w:val="1"/>
    <w:autoRedefine/>
    <w:unhideWhenUsed/>
    <w:qFormat/>
    <w:uiPriority w:val="99"/>
    <w:pPr>
      <w:ind w:left="2100" w:leftChars="1000"/>
    </w:pPr>
    <w:rPr>
      <w:rFonts w:ascii="Calibri" w:hAnsi="Calibri"/>
      <w:szCs w:val="22"/>
    </w:rPr>
  </w:style>
  <w:style w:type="paragraph" w:styleId="45">
    <w:name w:val="Body Text Indent 3"/>
    <w:basedOn w:val="1"/>
    <w:link w:val="84"/>
    <w:autoRedefine/>
    <w:qFormat/>
    <w:uiPriority w:val="99"/>
    <w:pPr>
      <w:spacing w:after="120" w:line="360" w:lineRule="atLeast"/>
      <w:ind w:firstLine="720" w:firstLineChars="300"/>
    </w:pPr>
    <w:rPr>
      <w:sz w:val="24"/>
      <w:szCs w:val="20"/>
    </w:rPr>
  </w:style>
  <w:style w:type="paragraph" w:styleId="46">
    <w:name w:val="toc 2"/>
    <w:basedOn w:val="1"/>
    <w:next w:val="1"/>
    <w:autoRedefine/>
    <w:qFormat/>
    <w:uiPriority w:val="39"/>
    <w:pPr>
      <w:tabs>
        <w:tab w:val="right" w:leader="dot" w:pos="9540"/>
      </w:tabs>
      <w:autoSpaceDE w:val="0"/>
      <w:autoSpaceDN w:val="0"/>
      <w:adjustRightInd w:val="0"/>
      <w:spacing w:line="315" w:lineRule="atLeast"/>
      <w:ind w:left="900"/>
      <w:jc w:val="left"/>
    </w:pPr>
    <w:rPr>
      <w:rFonts w:ascii="宋体" w:hAnsi="宋体"/>
      <w:smallCaps/>
      <w:color w:val="000000"/>
      <w:kern w:val="0"/>
      <w:sz w:val="20"/>
      <w:szCs w:val="20"/>
    </w:rPr>
  </w:style>
  <w:style w:type="paragraph" w:styleId="47">
    <w:name w:val="toc 9"/>
    <w:basedOn w:val="1"/>
    <w:next w:val="1"/>
    <w:autoRedefine/>
    <w:unhideWhenUsed/>
    <w:qFormat/>
    <w:uiPriority w:val="99"/>
    <w:pPr>
      <w:ind w:left="3360" w:leftChars="1600"/>
    </w:pPr>
    <w:rPr>
      <w:rFonts w:ascii="Calibri" w:hAnsi="Calibri"/>
      <w:szCs w:val="22"/>
    </w:rPr>
  </w:style>
  <w:style w:type="paragraph" w:styleId="48">
    <w:name w:val="Body Text 2"/>
    <w:basedOn w:val="1"/>
    <w:link w:val="85"/>
    <w:autoRedefine/>
    <w:qFormat/>
    <w:uiPriority w:val="0"/>
    <w:rPr>
      <w:color w:val="FF0000"/>
      <w:kern w:val="0"/>
      <w:sz w:val="20"/>
      <w:szCs w:val="20"/>
    </w:rPr>
  </w:style>
  <w:style w:type="paragraph" w:styleId="49">
    <w:name w:val="Normal (Web)"/>
    <w:basedOn w:val="1"/>
    <w:autoRedefine/>
    <w:qFormat/>
    <w:uiPriority w:val="99"/>
    <w:rPr>
      <w:sz w:val="24"/>
    </w:rPr>
  </w:style>
  <w:style w:type="paragraph" w:styleId="50">
    <w:name w:val="Title"/>
    <w:basedOn w:val="1"/>
    <w:next w:val="1"/>
    <w:link w:val="86"/>
    <w:autoRedefine/>
    <w:qFormat/>
    <w:uiPriority w:val="0"/>
    <w:pPr>
      <w:spacing w:before="240" w:after="60"/>
      <w:jc w:val="center"/>
      <w:outlineLvl w:val="0"/>
    </w:pPr>
    <w:rPr>
      <w:rFonts w:ascii="Cambria" w:hAnsi="Cambria"/>
      <w:b/>
      <w:bCs/>
      <w:sz w:val="32"/>
      <w:szCs w:val="32"/>
    </w:rPr>
  </w:style>
  <w:style w:type="paragraph" w:styleId="51">
    <w:name w:val="annotation subject"/>
    <w:basedOn w:val="18"/>
    <w:next w:val="18"/>
    <w:link w:val="87"/>
    <w:autoRedefine/>
    <w:semiHidden/>
    <w:qFormat/>
    <w:uiPriority w:val="99"/>
    <w:rPr>
      <w:b/>
      <w:bCs/>
    </w:rPr>
  </w:style>
  <w:style w:type="paragraph" w:styleId="52">
    <w:name w:val="Body Text First Indent 2"/>
    <w:basedOn w:val="22"/>
    <w:link w:val="88"/>
    <w:autoRedefine/>
    <w:unhideWhenUsed/>
    <w:qFormat/>
    <w:uiPriority w:val="99"/>
    <w:pPr>
      <w:ind w:firstLine="420" w:firstLineChars="200"/>
    </w:pPr>
  </w:style>
  <w:style w:type="table" w:styleId="54">
    <w:name w:val="Table Grid"/>
    <w:basedOn w:val="53"/>
    <w:autoRedefine/>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6">
    <w:name w:val="Strong"/>
    <w:autoRedefine/>
    <w:qFormat/>
    <w:uiPriority w:val="99"/>
    <w:rPr>
      <w:b/>
      <w:bCs/>
    </w:rPr>
  </w:style>
  <w:style w:type="character" w:styleId="57">
    <w:name w:val="page number"/>
    <w:autoRedefine/>
    <w:qFormat/>
    <w:uiPriority w:val="99"/>
  </w:style>
  <w:style w:type="character" w:styleId="58">
    <w:name w:val="FollowedHyperlink"/>
    <w:autoRedefine/>
    <w:qFormat/>
    <w:uiPriority w:val="99"/>
    <w:rPr>
      <w:color w:val="800080"/>
      <w:u w:val="single"/>
    </w:rPr>
  </w:style>
  <w:style w:type="character" w:styleId="59">
    <w:name w:val="Emphasis"/>
    <w:autoRedefine/>
    <w:qFormat/>
    <w:uiPriority w:val="20"/>
    <w:rPr>
      <w:i/>
      <w:iCs/>
    </w:rPr>
  </w:style>
  <w:style w:type="character" w:styleId="60">
    <w:name w:val="Hyperlink"/>
    <w:autoRedefine/>
    <w:unhideWhenUsed/>
    <w:qFormat/>
    <w:uiPriority w:val="99"/>
    <w:rPr>
      <w:color w:val="0000FF"/>
      <w:u w:val="single"/>
    </w:rPr>
  </w:style>
  <w:style w:type="character" w:styleId="61">
    <w:name w:val="annotation reference"/>
    <w:autoRedefine/>
    <w:qFormat/>
    <w:uiPriority w:val="99"/>
    <w:rPr>
      <w:sz w:val="21"/>
      <w:szCs w:val="21"/>
    </w:rPr>
  </w:style>
  <w:style w:type="character" w:customStyle="1" w:styleId="62">
    <w:name w:val="页眉 Char"/>
    <w:basedOn w:val="55"/>
    <w:link w:val="38"/>
    <w:qFormat/>
    <w:uiPriority w:val="99"/>
    <w:rPr>
      <w:sz w:val="18"/>
      <w:szCs w:val="18"/>
    </w:rPr>
  </w:style>
  <w:style w:type="character" w:customStyle="1" w:styleId="63">
    <w:name w:val="页脚 Char"/>
    <w:basedOn w:val="55"/>
    <w:link w:val="37"/>
    <w:qFormat/>
    <w:uiPriority w:val="99"/>
    <w:rPr>
      <w:sz w:val="18"/>
      <w:szCs w:val="18"/>
    </w:rPr>
  </w:style>
  <w:style w:type="character" w:customStyle="1" w:styleId="64">
    <w:name w:val="标题 1 Char1"/>
    <w:basedOn w:val="55"/>
    <w:link w:val="3"/>
    <w:qFormat/>
    <w:uiPriority w:val="0"/>
    <w:rPr>
      <w:rFonts w:ascii="Times New Roman" w:hAnsi="Times New Roman" w:eastAsia="黑体" w:cs="Times New Roman"/>
      <w:bCs/>
      <w:kern w:val="44"/>
      <w:sz w:val="30"/>
      <w:szCs w:val="44"/>
    </w:rPr>
  </w:style>
  <w:style w:type="character" w:customStyle="1" w:styleId="65">
    <w:name w:val="标题 2 Char"/>
    <w:basedOn w:val="55"/>
    <w:link w:val="4"/>
    <w:qFormat/>
    <w:uiPriority w:val="99"/>
    <w:rPr>
      <w:rFonts w:ascii="Arial" w:hAnsi="宋体" w:eastAsia="黑体" w:cs="Times New Roman"/>
      <w:bCs/>
      <w:color w:val="000000" w:themeColor="text1"/>
      <w:sz w:val="24"/>
      <w:szCs w:val="24"/>
    </w:rPr>
  </w:style>
  <w:style w:type="character" w:customStyle="1" w:styleId="66">
    <w:name w:val="标题 3 Char"/>
    <w:basedOn w:val="55"/>
    <w:link w:val="5"/>
    <w:qFormat/>
    <w:uiPriority w:val="99"/>
    <w:rPr>
      <w:rFonts w:ascii="黑体" w:hAnsi="Times New Roman" w:eastAsia="黑体" w:cs="Times New Roman"/>
      <w:kern w:val="0"/>
      <w:sz w:val="28"/>
      <w:szCs w:val="20"/>
    </w:rPr>
  </w:style>
  <w:style w:type="character" w:customStyle="1" w:styleId="67">
    <w:name w:val="标题 4 Char2"/>
    <w:basedOn w:val="55"/>
    <w:link w:val="2"/>
    <w:qFormat/>
    <w:uiPriority w:val="0"/>
    <w:rPr>
      <w:rFonts w:ascii="Times New Roman" w:hAnsi="Times New Roman" w:eastAsia="宋体" w:cs="Times New Roman"/>
      <w:sz w:val="28"/>
      <w:szCs w:val="20"/>
    </w:rPr>
  </w:style>
  <w:style w:type="character" w:customStyle="1" w:styleId="68">
    <w:name w:val="标题 5 Char1"/>
    <w:basedOn w:val="55"/>
    <w:link w:val="6"/>
    <w:qFormat/>
    <w:uiPriority w:val="0"/>
    <w:rPr>
      <w:rFonts w:ascii="Times New Roman" w:hAnsi="Times New Roman" w:eastAsia="宋体" w:cs="Times New Roman"/>
      <w:b/>
      <w:bCs/>
      <w:sz w:val="28"/>
      <w:szCs w:val="28"/>
    </w:rPr>
  </w:style>
  <w:style w:type="character" w:customStyle="1" w:styleId="69">
    <w:name w:val="标题 6 Char1"/>
    <w:basedOn w:val="55"/>
    <w:link w:val="7"/>
    <w:qFormat/>
    <w:uiPriority w:val="0"/>
    <w:rPr>
      <w:rFonts w:ascii="Arial" w:hAnsi="Arial" w:eastAsia="黑体" w:cs="Times New Roman"/>
      <w:b/>
      <w:bCs/>
      <w:sz w:val="24"/>
      <w:szCs w:val="24"/>
    </w:rPr>
  </w:style>
  <w:style w:type="character" w:customStyle="1" w:styleId="70">
    <w:name w:val="标题 7 Char1"/>
    <w:basedOn w:val="55"/>
    <w:link w:val="8"/>
    <w:qFormat/>
    <w:uiPriority w:val="99"/>
    <w:rPr>
      <w:rFonts w:ascii="Times New Roman" w:hAnsi="Times New Roman" w:eastAsia="宋体" w:cs="Times New Roman"/>
      <w:b/>
      <w:bCs/>
      <w:sz w:val="24"/>
      <w:szCs w:val="24"/>
    </w:rPr>
  </w:style>
  <w:style w:type="character" w:customStyle="1" w:styleId="71">
    <w:name w:val="标题 8 Char1"/>
    <w:basedOn w:val="55"/>
    <w:link w:val="9"/>
    <w:qFormat/>
    <w:uiPriority w:val="99"/>
    <w:rPr>
      <w:rFonts w:ascii="Arial" w:hAnsi="Arial" w:eastAsia="黑体" w:cs="Times New Roman"/>
      <w:sz w:val="24"/>
      <w:szCs w:val="24"/>
    </w:rPr>
  </w:style>
  <w:style w:type="character" w:customStyle="1" w:styleId="72">
    <w:name w:val="标题 9 Char1"/>
    <w:basedOn w:val="55"/>
    <w:link w:val="10"/>
    <w:qFormat/>
    <w:uiPriority w:val="99"/>
    <w:rPr>
      <w:rFonts w:ascii="Arial" w:hAnsi="Arial" w:eastAsia="黑体" w:cs="Times New Roman"/>
      <w:szCs w:val="21"/>
    </w:rPr>
  </w:style>
  <w:style w:type="character" w:customStyle="1" w:styleId="73">
    <w:name w:val="文档结构图 Char"/>
    <w:basedOn w:val="55"/>
    <w:link w:val="17"/>
    <w:semiHidden/>
    <w:qFormat/>
    <w:uiPriority w:val="99"/>
    <w:rPr>
      <w:rFonts w:ascii="宋体" w:hAnsi="Times New Roman" w:eastAsia="宋体" w:cs="Times New Roman"/>
      <w:sz w:val="18"/>
      <w:szCs w:val="18"/>
    </w:rPr>
  </w:style>
  <w:style w:type="character" w:customStyle="1" w:styleId="74">
    <w:name w:val="批注文字 Char"/>
    <w:basedOn w:val="55"/>
    <w:link w:val="18"/>
    <w:qFormat/>
    <w:uiPriority w:val="99"/>
    <w:rPr>
      <w:rFonts w:ascii="Times New Roman" w:hAnsi="Times New Roman" w:eastAsia="宋体" w:cs="Times New Roman"/>
      <w:szCs w:val="20"/>
    </w:rPr>
  </w:style>
  <w:style w:type="character" w:customStyle="1" w:styleId="75">
    <w:name w:val="正文文本 3 Char"/>
    <w:basedOn w:val="55"/>
    <w:link w:val="19"/>
    <w:qFormat/>
    <w:uiPriority w:val="99"/>
    <w:rPr>
      <w:rFonts w:ascii="Times New Roman" w:hAnsi="Times New Roman" w:eastAsia="宋体" w:cs="Times New Roman"/>
      <w:sz w:val="16"/>
      <w:szCs w:val="16"/>
    </w:rPr>
  </w:style>
  <w:style w:type="character" w:customStyle="1" w:styleId="76">
    <w:name w:val="正文文本 Char1"/>
    <w:basedOn w:val="55"/>
    <w:link w:val="21"/>
    <w:qFormat/>
    <w:uiPriority w:val="0"/>
    <w:rPr>
      <w:rFonts w:ascii="Times New Roman" w:hAnsi="Times New Roman" w:eastAsia="宋体" w:cs="Times New Roman"/>
      <w:sz w:val="28"/>
      <w:szCs w:val="20"/>
    </w:rPr>
  </w:style>
  <w:style w:type="character" w:customStyle="1" w:styleId="77">
    <w:name w:val="正文文本缩进 Char1"/>
    <w:basedOn w:val="55"/>
    <w:link w:val="22"/>
    <w:qFormat/>
    <w:uiPriority w:val="99"/>
    <w:rPr>
      <w:rFonts w:ascii="楷体_GB2312" w:hAnsi="Times New Roman" w:eastAsia="楷体_GB2312" w:cs="Times New Roman"/>
      <w:kern w:val="0"/>
      <w:sz w:val="28"/>
      <w:szCs w:val="20"/>
    </w:rPr>
  </w:style>
  <w:style w:type="character" w:customStyle="1" w:styleId="78">
    <w:name w:val="正文首行缩进 Char"/>
    <w:basedOn w:val="76"/>
    <w:link w:val="26"/>
    <w:qFormat/>
    <w:uiPriority w:val="99"/>
    <w:rPr>
      <w:rFonts w:ascii="Times New Roman" w:hAnsi="Times New Roman" w:eastAsia="宋体" w:cs="Times New Roman"/>
      <w:kern w:val="0"/>
      <w:sz w:val="20"/>
      <w:szCs w:val="20"/>
    </w:rPr>
  </w:style>
  <w:style w:type="character" w:customStyle="1" w:styleId="79">
    <w:name w:val="纯文本 Char1"/>
    <w:basedOn w:val="55"/>
    <w:link w:val="29"/>
    <w:qFormat/>
    <w:uiPriority w:val="0"/>
    <w:rPr>
      <w:rFonts w:ascii="宋体" w:hAnsi="Courier New" w:eastAsia="宋体" w:cs="Times New Roman"/>
      <w:szCs w:val="20"/>
    </w:rPr>
  </w:style>
  <w:style w:type="character" w:customStyle="1" w:styleId="80">
    <w:name w:val="日期 Char"/>
    <w:basedOn w:val="55"/>
    <w:link w:val="34"/>
    <w:qFormat/>
    <w:uiPriority w:val="99"/>
    <w:rPr>
      <w:rFonts w:ascii="Times New Roman" w:hAnsi="Times New Roman" w:eastAsia="宋体" w:cs="Times New Roman"/>
      <w:szCs w:val="20"/>
    </w:rPr>
  </w:style>
  <w:style w:type="character" w:customStyle="1" w:styleId="81">
    <w:name w:val="正文文本缩进 2 Char1"/>
    <w:basedOn w:val="55"/>
    <w:link w:val="35"/>
    <w:qFormat/>
    <w:uiPriority w:val="99"/>
    <w:rPr>
      <w:rFonts w:ascii="仿宋_GB2312" w:hAnsi="宋体" w:eastAsia="仿宋_GB2312" w:cs="Times New Roman"/>
      <w:sz w:val="24"/>
      <w:szCs w:val="24"/>
    </w:rPr>
  </w:style>
  <w:style w:type="character" w:customStyle="1" w:styleId="82">
    <w:name w:val="批注框文本 Char"/>
    <w:basedOn w:val="55"/>
    <w:link w:val="36"/>
    <w:qFormat/>
    <w:uiPriority w:val="99"/>
    <w:rPr>
      <w:rFonts w:ascii="Times New Roman" w:hAnsi="Times New Roman" w:eastAsia="宋体" w:cs="Times New Roman"/>
      <w:sz w:val="18"/>
      <w:szCs w:val="18"/>
    </w:rPr>
  </w:style>
  <w:style w:type="character" w:customStyle="1" w:styleId="83">
    <w:name w:val="副标题 Char"/>
    <w:basedOn w:val="55"/>
    <w:link w:val="42"/>
    <w:qFormat/>
    <w:uiPriority w:val="0"/>
    <w:rPr>
      <w:rFonts w:ascii="Cambria" w:hAnsi="Cambria" w:eastAsia="宋体" w:cs="黑体"/>
      <w:b/>
      <w:bCs/>
      <w:kern w:val="28"/>
      <w:sz w:val="32"/>
      <w:szCs w:val="32"/>
    </w:rPr>
  </w:style>
  <w:style w:type="character" w:customStyle="1" w:styleId="84">
    <w:name w:val="正文文本缩进 3 Char1"/>
    <w:basedOn w:val="55"/>
    <w:link w:val="45"/>
    <w:uiPriority w:val="99"/>
    <w:rPr>
      <w:rFonts w:ascii="Times New Roman" w:hAnsi="Times New Roman" w:eastAsia="宋体" w:cs="Times New Roman"/>
      <w:sz w:val="24"/>
      <w:szCs w:val="20"/>
    </w:rPr>
  </w:style>
  <w:style w:type="character" w:customStyle="1" w:styleId="85">
    <w:name w:val="正文文本 2 Char"/>
    <w:basedOn w:val="55"/>
    <w:link w:val="48"/>
    <w:qFormat/>
    <w:uiPriority w:val="0"/>
    <w:rPr>
      <w:rFonts w:ascii="Times New Roman" w:hAnsi="Times New Roman" w:eastAsia="宋体" w:cs="Times New Roman"/>
      <w:color w:val="FF0000"/>
      <w:kern w:val="0"/>
      <w:sz w:val="20"/>
      <w:szCs w:val="20"/>
    </w:rPr>
  </w:style>
  <w:style w:type="character" w:customStyle="1" w:styleId="86">
    <w:name w:val="标题 Char1"/>
    <w:basedOn w:val="55"/>
    <w:link w:val="50"/>
    <w:uiPriority w:val="0"/>
    <w:rPr>
      <w:rFonts w:ascii="Cambria" w:hAnsi="Cambria" w:eastAsia="宋体" w:cs="Times New Roman"/>
      <w:b/>
      <w:bCs/>
      <w:sz w:val="32"/>
      <w:szCs w:val="32"/>
    </w:rPr>
  </w:style>
  <w:style w:type="character" w:customStyle="1" w:styleId="87">
    <w:name w:val="批注主题 Char"/>
    <w:basedOn w:val="74"/>
    <w:link w:val="51"/>
    <w:semiHidden/>
    <w:qFormat/>
    <w:uiPriority w:val="99"/>
    <w:rPr>
      <w:rFonts w:ascii="Times New Roman" w:hAnsi="Times New Roman" w:eastAsia="宋体" w:cs="Times New Roman"/>
      <w:b/>
      <w:bCs/>
      <w:szCs w:val="20"/>
    </w:rPr>
  </w:style>
  <w:style w:type="character" w:customStyle="1" w:styleId="88">
    <w:name w:val="正文首行缩进 2 Char"/>
    <w:basedOn w:val="77"/>
    <w:link w:val="52"/>
    <w:qFormat/>
    <w:uiPriority w:val="99"/>
    <w:rPr>
      <w:rFonts w:ascii="楷体_GB2312" w:hAnsi="Times New Roman" w:eastAsia="楷体_GB2312" w:cs="Times New Roman"/>
      <w:kern w:val="0"/>
      <w:sz w:val="28"/>
      <w:szCs w:val="20"/>
    </w:rPr>
  </w:style>
  <w:style w:type="character" w:customStyle="1" w:styleId="89">
    <w:name w:val="正文缩进 Char"/>
    <w:link w:val="15"/>
    <w:autoRedefine/>
    <w:qFormat/>
    <w:uiPriority w:val="0"/>
    <w:rPr>
      <w:rFonts w:ascii="楷体_GB2312" w:hAnsi="Times New Roman" w:eastAsia="楷体_GB2312" w:cs="Times New Roman"/>
      <w:kern w:val="0"/>
      <w:sz w:val="28"/>
      <w:szCs w:val="20"/>
    </w:rPr>
  </w:style>
  <w:style w:type="character" w:customStyle="1" w:styleId="90">
    <w:name w:val="标题 1 Char"/>
    <w:autoRedefine/>
    <w:qFormat/>
    <w:uiPriority w:val="0"/>
    <w:rPr>
      <w:rFonts w:ascii="黑体"/>
      <w:b/>
      <w:kern w:val="44"/>
      <w:sz w:val="32"/>
    </w:rPr>
  </w:style>
  <w:style w:type="character" w:customStyle="1" w:styleId="91">
    <w:name w:val="纯文本 Char"/>
    <w:autoRedefine/>
    <w:qFormat/>
    <w:uiPriority w:val="99"/>
    <w:rPr>
      <w:rFonts w:ascii="宋体" w:hAnsi="Courier New" w:eastAsia="宋体" w:cs="Times New Roman"/>
      <w:szCs w:val="20"/>
    </w:rPr>
  </w:style>
  <w:style w:type="character" w:customStyle="1" w:styleId="92">
    <w:name w:val="正文文本 Char"/>
    <w:autoRedefine/>
    <w:qFormat/>
    <w:uiPriority w:val="99"/>
    <w:rPr>
      <w:rFonts w:ascii="Times New Roman" w:hAnsi="Times New Roman" w:eastAsia="宋体" w:cs="Times New Roman"/>
      <w:sz w:val="28"/>
      <w:szCs w:val="20"/>
    </w:rPr>
  </w:style>
  <w:style w:type="character" w:customStyle="1" w:styleId="93">
    <w:name w:val="访问过的超链接1"/>
    <w:autoRedefine/>
    <w:qFormat/>
    <w:uiPriority w:val="0"/>
    <w:rPr>
      <w:color w:val="800080"/>
      <w:u w:val="single"/>
    </w:rPr>
  </w:style>
  <w:style w:type="character" w:customStyle="1" w:styleId="94">
    <w:name w:val="href"/>
    <w:autoRedefine/>
    <w:qFormat/>
    <w:uiPriority w:val="0"/>
    <w:rPr>
      <w:color w:val="0000FF"/>
      <w:u w:val="single"/>
    </w:rPr>
  </w:style>
  <w:style w:type="character" w:customStyle="1" w:styleId="95">
    <w:name w:val="first-child"/>
    <w:autoRedefine/>
    <w:qFormat/>
    <w:uiPriority w:val="0"/>
    <w:rPr>
      <w:vanish/>
    </w:rPr>
  </w:style>
  <w:style w:type="character" w:customStyle="1" w:styleId="96">
    <w:name w:val="标题 9 Char"/>
    <w:autoRedefine/>
    <w:qFormat/>
    <w:uiPriority w:val="99"/>
    <w:rPr>
      <w:rFonts w:ascii="Arial" w:hAnsi="Arial" w:eastAsia="黑体" w:cs="Times New Roman"/>
      <w:szCs w:val="21"/>
    </w:rPr>
  </w:style>
  <w:style w:type="character" w:customStyle="1" w:styleId="97">
    <w:name w:val="正文文本缩进 2 Char"/>
    <w:autoRedefine/>
    <w:qFormat/>
    <w:uiPriority w:val="99"/>
    <w:rPr>
      <w:rFonts w:ascii="仿宋_GB2312" w:hAnsi="宋体" w:eastAsia="仿宋_GB2312" w:cs="Times New Roman"/>
      <w:sz w:val="24"/>
      <w:szCs w:val="24"/>
    </w:rPr>
  </w:style>
  <w:style w:type="character" w:customStyle="1" w:styleId="98">
    <w:name w:val="列出段落 Char"/>
    <w:link w:val="99"/>
    <w:autoRedefine/>
    <w:qFormat/>
    <w:uiPriority w:val="34"/>
  </w:style>
  <w:style w:type="paragraph" w:styleId="99">
    <w:name w:val="List Paragraph"/>
    <w:basedOn w:val="1"/>
    <w:link w:val="98"/>
    <w:autoRedefine/>
    <w:qFormat/>
    <w:uiPriority w:val="34"/>
    <w:pPr>
      <w:ind w:firstLine="420" w:firstLineChars="200"/>
    </w:pPr>
    <w:rPr>
      <w:rFonts w:asciiTheme="minorHAnsi" w:hAnsiTheme="minorHAnsi" w:eastAsiaTheme="minorEastAsia" w:cstheme="minorBidi"/>
      <w:szCs w:val="22"/>
    </w:rPr>
  </w:style>
  <w:style w:type="paragraph" w:customStyle="1" w:styleId="100">
    <w:name w:val="正文1"/>
    <w:autoRedefine/>
    <w:qFormat/>
    <w:uiPriority w:val="0"/>
    <w:pPr>
      <w:widowControl w:val="0"/>
      <w:jc w:val="both"/>
    </w:pPr>
    <w:rPr>
      <w:rFonts w:ascii="Times New Roman" w:hAnsi="Times New Roman" w:eastAsia="Times New Roman" w:cs="Times New Roman"/>
      <w:lang w:val="en-US" w:eastAsia="zh-CN" w:bidi="ar-SA"/>
    </w:rPr>
  </w:style>
  <w:style w:type="character" w:customStyle="1" w:styleId="101">
    <w:name w:val="批注文字 Char1"/>
    <w:autoRedefine/>
    <w:qFormat/>
    <w:uiPriority w:val="99"/>
    <w:rPr>
      <w:kern w:val="2"/>
      <w:sz w:val="21"/>
    </w:rPr>
  </w:style>
  <w:style w:type="character" w:customStyle="1" w:styleId="102">
    <w:name w:val="标题 8 Char"/>
    <w:autoRedefine/>
    <w:qFormat/>
    <w:uiPriority w:val="99"/>
    <w:rPr>
      <w:rFonts w:ascii="Arial" w:hAnsi="Arial" w:eastAsia="黑体" w:cs="Times New Roman"/>
      <w:sz w:val="24"/>
      <w:szCs w:val="24"/>
    </w:rPr>
  </w:style>
  <w:style w:type="character" w:customStyle="1" w:styleId="103">
    <w:name w:val="列出段落 Char1"/>
    <w:autoRedefine/>
    <w:qFormat/>
    <w:uiPriority w:val="99"/>
    <w:rPr>
      <w:kern w:val="2"/>
      <w:sz w:val="21"/>
      <w:szCs w:val="24"/>
    </w:rPr>
  </w:style>
  <w:style w:type="character" w:customStyle="1" w:styleId="104">
    <w:name w:val="正文文本缩进 3 Char"/>
    <w:autoRedefine/>
    <w:qFormat/>
    <w:uiPriority w:val="99"/>
    <w:rPr>
      <w:rFonts w:ascii="Times New Roman" w:hAnsi="Times New Roman" w:eastAsia="宋体" w:cs="Times New Roman"/>
      <w:sz w:val="24"/>
      <w:szCs w:val="20"/>
    </w:rPr>
  </w:style>
  <w:style w:type="character" w:customStyle="1" w:styleId="105">
    <w:name w:val="标题 6 Char"/>
    <w:autoRedefine/>
    <w:qFormat/>
    <w:uiPriority w:val="99"/>
    <w:rPr>
      <w:rFonts w:ascii="Arial" w:hAnsi="Arial" w:eastAsia="黑体" w:cs="Times New Roman"/>
      <w:b/>
      <w:bCs/>
      <w:sz w:val="24"/>
      <w:szCs w:val="24"/>
    </w:rPr>
  </w:style>
  <w:style w:type="character" w:customStyle="1" w:styleId="106">
    <w:name w:val="正文文本缩进 Char"/>
    <w:autoRedefine/>
    <w:qFormat/>
    <w:uiPriority w:val="99"/>
    <w:rPr>
      <w:rFonts w:ascii="楷体_GB2312" w:eastAsia="楷体_GB2312"/>
      <w:sz w:val="28"/>
    </w:rPr>
  </w:style>
  <w:style w:type="character" w:customStyle="1" w:styleId="107">
    <w:name w:val="标题 Char"/>
    <w:autoRedefine/>
    <w:qFormat/>
    <w:uiPriority w:val="0"/>
    <w:rPr>
      <w:rFonts w:ascii="Cambria" w:hAnsi="Cambria" w:cs="Times New Roman"/>
      <w:b/>
      <w:bCs/>
      <w:kern w:val="2"/>
      <w:sz w:val="32"/>
      <w:szCs w:val="32"/>
    </w:rPr>
  </w:style>
  <w:style w:type="character" w:customStyle="1" w:styleId="108">
    <w:name w:val="标题 4 Char"/>
    <w:autoRedefine/>
    <w:qFormat/>
    <w:uiPriority w:val="99"/>
    <w:rPr>
      <w:rFonts w:ascii="Times New Roman" w:hAnsi="Times New Roman" w:eastAsia="宋体" w:cs="Times New Roman"/>
      <w:sz w:val="28"/>
      <w:szCs w:val="20"/>
    </w:rPr>
  </w:style>
  <w:style w:type="character" w:customStyle="1" w:styleId="109">
    <w:name w:val="蓝色显示 Char"/>
    <w:link w:val="110"/>
    <w:autoRedefine/>
    <w:qFormat/>
    <w:uiPriority w:val="0"/>
    <w:rPr>
      <w:b/>
      <w:color w:val="0070C0"/>
      <w:szCs w:val="24"/>
    </w:rPr>
  </w:style>
  <w:style w:type="paragraph" w:customStyle="1" w:styleId="110">
    <w:name w:val="蓝色显示"/>
    <w:basedOn w:val="1"/>
    <w:link w:val="109"/>
    <w:autoRedefine/>
    <w:qFormat/>
    <w:uiPriority w:val="0"/>
    <w:pPr>
      <w:spacing w:before="340" w:after="330" w:line="400" w:lineRule="exact"/>
    </w:pPr>
    <w:rPr>
      <w:rFonts w:asciiTheme="minorHAnsi" w:hAnsiTheme="minorHAnsi" w:eastAsiaTheme="minorEastAsia" w:cstheme="minorBidi"/>
      <w:b/>
      <w:color w:val="0070C0"/>
    </w:rPr>
  </w:style>
  <w:style w:type="character" w:customStyle="1" w:styleId="111">
    <w:name w:val="标题 5 Char"/>
    <w:autoRedefine/>
    <w:qFormat/>
    <w:uiPriority w:val="99"/>
    <w:rPr>
      <w:rFonts w:ascii="Times New Roman" w:hAnsi="Times New Roman" w:eastAsia="宋体" w:cs="Times New Roman"/>
      <w:b/>
      <w:bCs/>
      <w:sz w:val="28"/>
      <w:szCs w:val="28"/>
    </w:rPr>
  </w:style>
  <w:style w:type="character" w:customStyle="1" w:styleId="112">
    <w:name w:val="Char Char1"/>
    <w:autoRedefine/>
    <w:qFormat/>
    <w:uiPriority w:val="0"/>
    <w:rPr>
      <w:rFonts w:ascii="楷体_GB2312" w:eastAsia="楷体_GB2312"/>
      <w:sz w:val="28"/>
    </w:rPr>
  </w:style>
  <w:style w:type="character" w:customStyle="1" w:styleId="113">
    <w:name w:val="标题3 Char"/>
    <w:link w:val="114"/>
    <w:autoRedefine/>
    <w:qFormat/>
    <w:uiPriority w:val="0"/>
    <w:rPr>
      <w:rFonts w:ascii="宋体" w:hAnsi="宋体"/>
      <w:color w:val="000000"/>
      <w:szCs w:val="21"/>
    </w:rPr>
  </w:style>
  <w:style w:type="paragraph" w:customStyle="1" w:styleId="114">
    <w:name w:val="标题3"/>
    <w:basedOn w:val="15"/>
    <w:link w:val="113"/>
    <w:autoRedefine/>
    <w:qFormat/>
    <w:uiPriority w:val="0"/>
    <w:pPr>
      <w:numPr>
        <w:ilvl w:val="0"/>
        <w:numId w:val="1"/>
      </w:numPr>
      <w:spacing w:line="240" w:lineRule="auto"/>
    </w:pPr>
    <w:rPr>
      <w:rFonts w:ascii="宋体" w:hAnsi="宋体" w:eastAsiaTheme="minorEastAsia" w:cstheme="minorBidi"/>
      <w:color w:val="000000"/>
      <w:kern w:val="2"/>
      <w:sz w:val="21"/>
      <w:szCs w:val="21"/>
    </w:rPr>
  </w:style>
  <w:style w:type="character" w:customStyle="1" w:styleId="115">
    <w:name w:val="Char Char"/>
    <w:autoRedefine/>
    <w:qFormat/>
    <w:uiPriority w:val="0"/>
    <w:rPr>
      <w:rFonts w:ascii="宋体"/>
      <w:kern w:val="2"/>
      <w:sz w:val="18"/>
      <w:szCs w:val="18"/>
    </w:rPr>
  </w:style>
  <w:style w:type="character" w:customStyle="1" w:styleId="116">
    <w:name w:val="标题 2 Char Char Char"/>
    <w:autoRedefine/>
    <w:qFormat/>
    <w:uiPriority w:val="0"/>
    <w:rPr>
      <w:rFonts w:ascii="Arial" w:hAnsi="Arial" w:eastAsia="黑体" w:cs="Times New Roman"/>
      <w:b/>
      <w:bCs/>
      <w:kern w:val="2"/>
      <w:sz w:val="32"/>
      <w:szCs w:val="32"/>
      <w:lang w:val="en-US" w:eastAsia="zh-CN" w:bidi="ar-SA"/>
    </w:rPr>
  </w:style>
  <w:style w:type="character" w:customStyle="1" w:styleId="117">
    <w:name w:val="标题 7 Char"/>
    <w:autoRedefine/>
    <w:qFormat/>
    <w:uiPriority w:val="99"/>
    <w:rPr>
      <w:rFonts w:ascii="Times New Roman" w:hAnsi="Times New Roman" w:eastAsia="宋体" w:cs="Times New Roman"/>
      <w:b/>
      <w:bCs/>
      <w:sz w:val="24"/>
      <w:szCs w:val="24"/>
    </w:rPr>
  </w:style>
  <w:style w:type="paragraph" w:customStyle="1" w:styleId="118">
    <w:name w:val="修订2"/>
    <w:autoRedefine/>
    <w:unhideWhenUsed/>
    <w:qFormat/>
    <w:uiPriority w:val="0"/>
    <w:rPr>
      <w:rFonts w:ascii="Times New Roman" w:hAnsi="Times New Roman" w:eastAsia="宋体" w:cs="Times New Roman"/>
      <w:kern w:val="2"/>
      <w:sz w:val="21"/>
      <w:szCs w:val="24"/>
      <w:lang w:val="en-US" w:eastAsia="zh-CN" w:bidi="ar-SA"/>
    </w:rPr>
  </w:style>
  <w:style w:type="paragraph" w:customStyle="1" w:styleId="119">
    <w:name w:val="Normal_0"/>
    <w:autoRedefine/>
    <w:qFormat/>
    <w:uiPriority w:val="0"/>
    <w:pPr>
      <w:widowControl w:val="0"/>
      <w:jc w:val="both"/>
    </w:pPr>
    <w:rPr>
      <w:rFonts w:ascii="Calibri" w:hAnsi="Calibri" w:eastAsia="宋体" w:cs="Times New Roman"/>
      <w:lang w:val="en-US" w:eastAsia="zh-CN" w:bidi="ar-SA"/>
    </w:rPr>
  </w:style>
  <w:style w:type="paragraph" w:customStyle="1" w:styleId="120">
    <w:name w:val="正文0"/>
    <w:basedOn w:val="1"/>
    <w:autoRedefine/>
    <w:qFormat/>
    <w:uiPriority w:val="0"/>
    <w:pPr>
      <w:adjustRightInd w:val="0"/>
      <w:snapToGrid w:val="0"/>
      <w:spacing w:line="440" w:lineRule="exact"/>
      <w:ind w:left="420" w:leftChars="200" w:firstLine="428" w:firstLineChars="200"/>
    </w:pPr>
    <w:rPr>
      <w:spacing w:val="2"/>
      <w:szCs w:val="21"/>
      <w:u w:val="single"/>
    </w:rPr>
  </w:style>
  <w:style w:type="paragraph" w:customStyle="1" w:styleId="121">
    <w:name w:val="样式 标题 2 + Times New Roman 四号 非加粗 段前: 5 磅 段后: 0 磅 行距: 固定值 20..._0"/>
    <w:basedOn w:val="122"/>
    <w:autoRedefine/>
    <w:qFormat/>
    <w:uiPriority w:val="0"/>
    <w:pPr>
      <w:spacing w:before="100" w:after="0" w:line="360" w:lineRule="auto"/>
    </w:pPr>
    <w:rPr>
      <w:rFonts w:ascii="Times New Roman" w:hAnsi="Times New Roman" w:eastAsia="Times New Roman" w:cs="宋体"/>
      <w:b w:val="0"/>
      <w:bCs w:val="0"/>
      <w:sz w:val="28"/>
      <w:szCs w:val="20"/>
    </w:rPr>
  </w:style>
  <w:style w:type="paragraph" w:customStyle="1" w:styleId="122">
    <w:name w:val="标题 2_0"/>
    <w:basedOn w:val="123"/>
    <w:next w:val="123"/>
    <w:autoRedefine/>
    <w:unhideWhenUsed/>
    <w:qFormat/>
    <w:uiPriority w:val="0"/>
    <w:pPr>
      <w:keepNext/>
      <w:keepLines/>
      <w:spacing w:before="260" w:after="260" w:line="416" w:lineRule="auto"/>
      <w:outlineLvl w:val="1"/>
    </w:pPr>
    <w:rPr>
      <w:rFonts w:ascii="Cambria" w:hAnsi="Cambria"/>
      <w:b/>
      <w:bCs/>
      <w:sz w:val="32"/>
      <w:szCs w:val="32"/>
    </w:rPr>
  </w:style>
  <w:style w:type="paragraph" w:customStyle="1" w:styleId="123">
    <w:name w:val="正文_0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4">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5">
    <w:name w:val="Blockquote_0_0"/>
    <w:basedOn w:val="123"/>
    <w:autoRedefine/>
    <w:qFormat/>
    <w:uiPriority w:val="0"/>
    <w:pPr>
      <w:autoSpaceDE w:val="0"/>
      <w:autoSpaceDN w:val="0"/>
      <w:adjustRightInd w:val="0"/>
      <w:spacing w:before="100" w:after="100"/>
      <w:ind w:left="360" w:right="360"/>
      <w:jc w:val="left"/>
    </w:pPr>
    <w:rPr>
      <w:rFonts w:ascii="Calibri" w:hAnsi="Calibri" w:eastAsia="Times New Roman"/>
      <w:sz w:val="24"/>
      <w:szCs w:val="20"/>
    </w:rPr>
  </w:style>
  <w:style w:type="paragraph" w:customStyle="1" w:styleId="126">
    <w:name w:val="正文_1"/>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7">
    <w:name w:val="Comment Text"/>
    <w:basedOn w:val="119"/>
    <w:autoRedefine/>
    <w:unhideWhenUsed/>
    <w:qFormat/>
    <w:uiPriority w:val="0"/>
    <w:pPr>
      <w:jc w:val="left"/>
    </w:pPr>
    <w:rPr>
      <w:rFonts w:eastAsia="Times New Roman"/>
    </w:rPr>
  </w:style>
  <w:style w:type="paragraph" w:customStyle="1" w:styleId="128">
    <w:name w:val="TOC 标题1"/>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129">
    <w:name w:val="标题 55"/>
    <w:basedOn w:val="6"/>
    <w:autoRedefine/>
    <w:qFormat/>
    <w:uiPriority w:val="0"/>
    <w:rPr>
      <w:rFonts w:ascii="方正黑体简体" w:eastAsia="方正黑体简体"/>
      <w:b w:val="0"/>
      <w:bCs w:val="0"/>
    </w:rPr>
  </w:style>
  <w:style w:type="paragraph" w:customStyle="1" w:styleId="130">
    <w:name w:val="ml2"/>
    <w:basedOn w:val="39"/>
    <w:autoRedefine/>
    <w:qFormat/>
    <w:uiPriority w:val="0"/>
    <w:pPr>
      <w:autoSpaceDE/>
      <w:autoSpaceDN/>
      <w:adjustRightInd/>
      <w:spacing w:line="240" w:lineRule="auto"/>
      <w:ind w:left="420" w:leftChars="200" w:right="0"/>
      <w:jc w:val="left"/>
    </w:pPr>
    <w:rPr>
      <w:rFonts w:ascii="Calibri" w:hAnsi="Calibri" w:eastAsia="宋体" w:cs="Calibri"/>
      <w:b/>
      <w:bCs/>
      <w:kern w:val="2"/>
      <w:sz w:val="24"/>
      <w:szCs w:val="20"/>
    </w:rPr>
  </w:style>
  <w:style w:type="paragraph" w:customStyle="1" w:styleId="131">
    <w:name w:val="样式 标题 3 + (中文) 黑体 小四 非加粗 段前: 7.8 磅 段后: 0 磅 行距: 固定值 20 磅"/>
    <w:basedOn w:val="5"/>
    <w:autoRedefine/>
    <w:qFormat/>
    <w:uiPriority w:val="0"/>
    <w:pPr>
      <w:autoSpaceDE/>
      <w:autoSpaceDN/>
      <w:adjustRightInd/>
      <w:spacing w:before="0" w:after="0" w:line="400" w:lineRule="exact"/>
      <w:ind w:firstLine="480" w:firstLineChars="200"/>
    </w:pPr>
    <w:rPr>
      <w:rFonts w:ascii="Times New Roman" w:hAnsi="Arial" w:cs="宋体"/>
      <w:kern w:val="2"/>
      <w:sz w:val="24"/>
      <w:szCs w:val="24"/>
    </w:rPr>
  </w:style>
  <w:style w:type="paragraph" w:customStyle="1" w:styleId="13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33">
    <w:name w:val="Blockquote_0"/>
    <w:basedOn w:val="126"/>
    <w:autoRedefine/>
    <w:qFormat/>
    <w:uiPriority w:val="0"/>
    <w:pPr>
      <w:autoSpaceDE w:val="0"/>
      <w:autoSpaceDN w:val="0"/>
      <w:adjustRightInd w:val="0"/>
      <w:spacing w:before="100" w:after="100"/>
      <w:ind w:left="360" w:right="360"/>
      <w:jc w:val="left"/>
    </w:pPr>
    <w:rPr>
      <w:rFonts w:ascii="Calibri" w:hAnsi="Calibri" w:eastAsia="Times New Roman"/>
      <w:sz w:val="24"/>
      <w:szCs w:val="20"/>
    </w:rPr>
  </w:style>
  <w:style w:type="paragraph" w:customStyle="1" w:styleId="134">
    <w:name w:val="修订1"/>
    <w:autoRedefine/>
    <w:unhideWhenUsed/>
    <w:qFormat/>
    <w:uiPriority w:val="0"/>
    <w:rPr>
      <w:rFonts w:ascii="Times New Roman" w:hAnsi="Times New Roman" w:eastAsia="宋体" w:cs="Times New Roman"/>
      <w:kern w:val="2"/>
      <w:sz w:val="21"/>
      <w:szCs w:val="24"/>
      <w:lang w:val="en-US" w:eastAsia="zh-CN" w:bidi="ar-SA"/>
    </w:rPr>
  </w:style>
  <w:style w:type="paragraph" w:customStyle="1" w:styleId="135">
    <w:name w:val="正文_0"/>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36">
    <w:name w:val="正文_1_0"/>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37">
    <w:name w:val="列出段落2"/>
    <w:basedOn w:val="1"/>
    <w:autoRedefine/>
    <w:qFormat/>
    <w:uiPriority w:val="34"/>
    <w:pPr>
      <w:ind w:firstLine="420" w:firstLineChars="200"/>
    </w:pPr>
    <w:rPr>
      <w:szCs w:val="20"/>
    </w:rPr>
  </w:style>
  <w:style w:type="paragraph" w:customStyle="1" w:styleId="138">
    <w:name w:val="Blockquote_1"/>
    <w:basedOn w:val="136"/>
    <w:autoRedefine/>
    <w:qFormat/>
    <w:uiPriority w:val="0"/>
    <w:pPr>
      <w:autoSpaceDE w:val="0"/>
      <w:autoSpaceDN w:val="0"/>
      <w:adjustRightInd w:val="0"/>
      <w:spacing w:before="100" w:after="100"/>
      <w:ind w:left="360" w:right="360"/>
      <w:jc w:val="left"/>
    </w:pPr>
    <w:rPr>
      <w:rFonts w:ascii="Calibri" w:hAnsi="Calibri" w:eastAsia="Times New Roman"/>
      <w:sz w:val="24"/>
      <w:szCs w:val="20"/>
    </w:rPr>
  </w:style>
  <w:style w:type="paragraph" w:customStyle="1" w:styleId="139">
    <w:name w:val="bt1bt1"/>
    <w:basedOn w:val="3"/>
    <w:autoRedefine/>
    <w:qFormat/>
    <w:uiPriority w:val="0"/>
    <w:pPr>
      <w:spacing w:line="240" w:lineRule="auto"/>
    </w:pPr>
    <w:rPr>
      <w:rFonts w:ascii="黑体"/>
      <w:sz w:val="36"/>
      <w:szCs w:val="36"/>
    </w:rPr>
  </w:style>
  <w:style w:type="paragraph" w:customStyle="1" w:styleId="140">
    <w:name w:val="TOC 标题111"/>
    <w:basedOn w:val="3"/>
    <w:next w:val="1"/>
    <w:autoRedefine/>
    <w:qFormat/>
    <w:uiPriority w:val="0"/>
    <w:pPr>
      <w:widowControl/>
      <w:spacing w:before="480" w:line="276" w:lineRule="auto"/>
      <w:jc w:val="left"/>
      <w:outlineLvl w:val="9"/>
    </w:pPr>
    <w:rPr>
      <w:rFonts w:ascii="Cambria" w:hAnsi="Cambria" w:eastAsia="宋体"/>
      <w:b/>
      <w:bCs w:val="0"/>
      <w:color w:val="365F91"/>
      <w:kern w:val="0"/>
      <w:sz w:val="28"/>
      <w:szCs w:val="28"/>
    </w:rPr>
  </w:style>
  <w:style w:type="paragraph" w:customStyle="1" w:styleId="141">
    <w:name w:val="正文11"/>
    <w:autoRedefine/>
    <w:qFormat/>
    <w:uiPriority w:val="99"/>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42">
    <w:name w:val="标题 60"/>
    <w:basedOn w:val="7"/>
    <w:autoRedefine/>
    <w:qFormat/>
    <w:uiPriority w:val="0"/>
    <w:pPr>
      <w:spacing w:line="319" w:lineRule="auto"/>
      <w:ind w:firstLine="200" w:firstLineChars="200"/>
    </w:pPr>
    <w:rPr>
      <w:b w:val="0"/>
      <w:bCs w:val="0"/>
    </w:rPr>
  </w:style>
  <w:style w:type="paragraph" w:customStyle="1" w:styleId="143">
    <w:name w:val="列出段落11"/>
    <w:basedOn w:val="1"/>
    <w:autoRedefine/>
    <w:qFormat/>
    <w:uiPriority w:val="99"/>
    <w:pPr>
      <w:ind w:firstLine="420" w:firstLineChars="200"/>
    </w:pPr>
    <w:rPr>
      <w:szCs w:val="20"/>
    </w:rPr>
  </w:style>
  <w:style w:type="paragraph" w:customStyle="1" w:styleId="144">
    <w:name w:val="TOC 标题2"/>
    <w:basedOn w:val="3"/>
    <w:next w:val="1"/>
    <w:autoRedefine/>
    <w:unhideWhenUsed/>
    <w:qFormat/>
    <w:uiPriority w:val="0"/>
    <w:pPr>
      <w:widowControl/>
      <w:spacing w:before="480" w:line="276" w:lineRule="auto"/>
      <w:jc w:val="left"/>
      <w:outlineLvl w:val="9"/>
    </w:pPr>
    <w:rPr>
      <w:rFonts w:ascii="Cambria" w:hAnsi="Cambria" w:eastAsia="方正黑体简体" w:cs="黑体"/>
      <w:b/>
      <w:bCs w:val="0"/>
      <w:color w:val="365F90"/>
      <w:kern w:val="0"/>
      <w:sz w:val="28"/>
      <w:szCs w:val="28"/>
    </w:rPr>
  </w:style>
  <w:style w:type="paragraph" w:customStyle="1" w:styleId="145">
    <w:name w:val="ml"/>
    <w:basedOn w:val="39"/>
    <w:autoRedefine/>
    <w:qFormat/>
    <w:uiPriority w:val="0"/>
    <w:pPr>
      <w:autoSpaceDE/>
      <w:autoSpaceDN/>
      <w:adjustRightInd/>
      <w:spacing w:line="240" w:lineRule="auto"/>
      <w:ind w:right="0"/>
      <w:jc w:val="left"/>
    </w:pPr>
    <w:rPr>
      <w:rFonts w:ascii="Calibri" w:hAnsi="Calibri" w:eastAsia="宋体" w:cs="Calibri"/>
      <w:b/>
      <w:sz w:val="24"/>
      <w:szCs w:val="20"/>
    </w:rPr>
  </w:style>
  <w:style w:type="paragraph" w:customStyle="1" w:styleId="146">
    <w:name w:val="_Style 36"/>
    <w:basedOn w:val="1"/>
    <w:autoRedefine/>
    <w:qFormat/>
    <w:uiPriority w:val="0"/>
    <w:pPr>
      <w:ind w:firstLine="420" w:firstLineChars="200"/>
    </w:pPr>
    <w:rPr>
      <w:szCs w:val="20"/>
    </w:rPr>
  </w:style>
  <w:style w:type="paragraph" w:customStyle="1" w:styleId="147">
    <w:name w:val="正文00"/>
    <w:basedOn w:val="1"/>
    <w:autoRedefine/>
    <w:qFormat/>
    <w:uiPriority w:val="0"/>
    <w:pPr>
      <w:topLinePunct/>
      <w:spacing w:line="360" w:lineRule="auto"/>
      <w:ind w:firstLine="200" w:firstLineChars="200"/>
    </w:pPr>
    <w:rPr>
      <w:sz w:val="24"/>
      <w:szCs w:val="21"/>
    </w:rPr>
  </w:style>
  <w:style w:type="paragraph" w:customStyle="1" w:styleId="148">
    <w:name w:val="TOC 标题11"/>
    <w:basedOn w:val="3"/>
    <w:next w:val="1"/>
    <w:autoRedefine/>
    <w:qFormat/>
    <w:uiPriority w:val="0"/>
    <w:pPr>
      <w:widowControl/>
      <w:spacing w:before="480" w:line="276" w:lineRule="auto"/>
      <w:jc w:val="left"/>
      <w:outlineLvl w:val="9"/>
    </w:pPr>
    <w:rPr>
      <w:rFonts w:ascii="Cambria" w:hAnsi="Cambria" w:eastAsia="方正黑体简体"/>
      <w:b/>
      <w:bCs w:val="0"/>
      <w:color w:val="365F91"/>
      <w:kern w:val="0"/>
      <w:sz w:val="28"/>
      <w:szCs w:val="28"/>
    </w:rPr>
  </w:style>
  <w:style w:type="paragraph" w:customStyle="1" w:styleId="149">
    <w:name w:val="列出段落1"/>
    <w:basedOn w:val="1"/>
    <w:autoRedefine/>
    <w:qFormat/>
    <w:uiPriority w:val="34"/>
    <w:pPr>
      <w:ind w:firstLine="420" w:firstLineChars="200"/>
    </w:pPr>
  </w:style>
  <w:style w:type="paragraph" w:customStyle="1" w:styleId="150">
    <w:name w:val="ml3"/>
    <w:basedOn w:val="39"/>
    <w:autoRedefine/>
    <w:qFormat/>
    <w:uiPriority w:val="0"/>
    <w:pPr>
      <w:autoSpaceDE/>
      <w:autoSpaceDN/>
      <w:adjustRightInd/>
      <w:spacing w:line="240" w:lineRule="auto"/>
      <w:ind w:left="840" w:leftChars="400" w:right="0"/>
      <w:jc w:val="left"/>
    </w:pPr>
    <w:rPr>
      <w:rFonts w:ascii="Calibri" w:hAnsi="Calibri" w:eastAsia="宋体" w:cs="Calibri"/>
      <w:b/>
      <w:bCs/>
      <w:kern w:val="2"/>
      <w:sz w:val="24"/>
      <w:szCs w:val="20"/>
    </w:rPr>
  </w:style>
  <w:style w:type="paragraph" w:customStyle="1" w:styleId="151">
    <w:name w:val="正文_0_1"/>
    <w:autoRedefine/>
    <w:qFormat/>
    <w:uiPriority w:val="0"/>
    <w:pPr>
      <w:widowControl w:val="0"/>
      <w:jc w:val="both"/>
    </w:pPr>
    <w:rPr>
      <w:rFonts w:ascii="Calibri" w:hAnsi="Calibri" w:eastAsia="宋体" w:cs="Times New Roman"/>
      <w:lang w:val="en-US" w:eastAsia="zh-CN" w:bidi="ar-SA"/>
    </w:rPr>
  </w:style>
  <w:style w:type="paragraph" w:customStyle="1" w:styleId="152">
    <w:name w:val="节"/>
    <w:basedOn w:val="4"/>
    <w:autoRedefine/>
    <w:qFormat/>
    <w:uiPriority w:val="0"/>
    <w:pPr>
      <w:spacing w:line="240" w:lineRule="auto"/>
    </w:pPr>
    <w:rPr>
      <w:rFonts w:ascii="黑体"/>
      <w:szCs w:val="28"/>
    </w:rPr>
  </w:style>
  <w:style w:type="paragraph" w:customStyle="1" w:styleId="153">
    <w:name w:val="新定义正文"/>
    <w:basedOn w:val="1"/>
    <w:autoRedefine/>
    <w:qFormat/>
    <w:uiPriority w:val="0"/>
    <w:pPr>
      <w:widowControl/>
    </w:pPr>
    <w:rPr>
      <w:color w:val="000000"/>
      <w:szCs w:val="21"/>
    </w:rPr>
  </w:style>
  <w:style w:type="paragraph" w:customStyle="1" w:styleId="154">
    <w:name w:val="纯文本1"/>
    <w:basedOn w:val="1"/>
    <w:autoRedefine/>
    <w:qFormat/>
    <w:uiPriority w:val="0"/>
    <w:rPr>
      <w:rFonts w:ascii="宋体" w:hAnsi="Courier New"/>
      <w:szCs w:val="20"/>
    </w:rPr>
  </w:style>
  <w:style w:type="paragraph" w:customStyle="1" w:styleId="155">
    <w:name w:val="Char Char Char Char Char Char Char Char Char Char Char Char Char"/>
    <w:basedOn w:val="17"/>
    <w:autoRedefine/>
    <w:qFormat/>
    <w:uiPriority w:val="0"/>
    <w:pPr>
      <w:shd w:val="clear" w:color="auto" w:fill="000080"/>
    </w:pPr>
    <w:rPr>
      <w:rFonts w:ascii="Tahoma" w:hAnsi="Tahoma"/>
      <w:sz w:val="24"/>
      <w:szCs w:val="24"/>
    </w:rPr>
  </w:style>
  <w:style w:type="paragraph" w:customStyle="1" w:styleId="156">
    <w:name w:val="标题 10"/>
    <w:basedOn w:val="4"/>
    <w:autoRedefine/>
    <w:qFormat/>
    <w:uiPriority w:val="0"/>
    <w:pPr>
      <w:spacing w:before="280" w:after="290" w:line="377" w:lineRule="auto"/>
      <w:jc w:val="center"/>
    </w:pPr>
    <w:rPr>
      <w:rFonts w:ascii="方正黑体简体" w:hAnsi="Times New Roman" w:eastAsia="方正黑体简体"/>
      <w:b/>
      <w:bCs w:val="0"/>
      <w:kern w:val="0"/>
      <w:szCs w:val="28"/>
    </w:rPr>
  </w:style>
  <w:style w:type="character" w:customStyle="1" w:styleId="157">
    <w:name w:val="Heading 9 Char"/>
    <w:autoRedefine/>
    <w:semiHidden/>
    <w:qFormat/>
    <w:locked/>
    <w:uiPriority w:val="99"/>
    <w:rPr>
      <w:rFonts w:ascii="Cambria" w:hAnsi="Cambria" w:eastAsia="宋体" w:cs="Times New Roman"/>
      <w:kern w:val="2"/>
    </w:rPr>
  </w:style>
  <w:style w:type="character" w:customStyle="1" w:styleId="158">
    <w:name w:val="Style Heading A + (Latin) Times New Roman (Asian) 楷体_GB2312 Char"/>
    <w:autoRedefine/>
    <w:qFormat/>
    <w:uiPriority w:val="99"/>
    <w:rPr>
      <w:rFonts w:ascii="Arial" w:hAnsi="Arial" w:eastAsia="楷体_GB2312" w:cs="Arial"/>
      <w:b/>
      <w:kern w:val="28"/>
      <w:sz w:val="36"/>
      <w:lang w:val="en-US" w:eastAsia="zh-CN" w:bidi="ar-SA"/>
    </w:rPr>
  </w:style>
  <w:style w:type="character" w:customStyle="1" w:styleId="159">
    <w:name w:val="项目 1 Char Char Char"/>
    <w:autoRedefine/>
    <w:qFormat/>
    <w:uiPriority w:val="99"/>
    <w:rPr>
      <w:rFonts w:ascii="Tahoma" w:hAnsi="Tahoma" w:eastAsia="宋体" w:cs="Times New Roman"/>
      <w:kern w:val="2"/>
      <w:sz w:val="24"/>
      <w:szCs w:val="24"/>
      <w:lang w:val="en-US" w:eastAsia="zh-CN" w:bidi="ar-SA"/>
    </w:rPr>
  </w:style>
  <w:style w:type="character" w:customStyle="1" w:styleId="160">
    <w:name w:val="p131"/>
    <w:autoRedefine/>
    <w:qFormat/>
    <w:uiPriority w:val="99"/>
    <w:rPr>
      <w:rFonts w:cs="Times New Roman"/>
      <w:sz w:val="22"/>
      <w:szCs w:val="22"/>
      <w:u w:val="none"/>
    </w:rPr>
  </w:style>
  <w:style w:type="character" w:customStyle="1" w:styleId="161">
    <w:name w:val="样式 标题 3h3H3l3CTheading 3Level 3 Headlevel_3PIM 3sect1.2... Char"/>
    <w:link w:val="162"/>
    <w:autoRedefine/>
    <w:qFormat/>
    <w:uiPriority w:val="0"/>
    <w:rPr>
      <w:rFonts w:ascii="Arial" w:hAnsi="Arial" w:eastAsia="黑体"/>
      <w:bCs/>
      <w:sz w:val="24"/>
      <w:szCs w:val="32"/>
    </w:rPr>
  </w:style>
  <w:style w:type="paragraph" w:customStyle="1" w:styleId="162">
    <w:name w:val="样式 标题 3h3H3l3CTheading 3Level 3 Headlevel_3PIM 3sect1.2..."/>
    <w:basedOn w:val="5"/>
    <w:link w:val="161"/>
    <w:autoRedefine/>
    <w:qFormat/>
    <w:uiPriority w:val="0"/>
    <w:pPr>
      <w:autoSpaceDE/>
      <w:autoSpaceDN/>
      <w:adjustRightInd/>
      <w:spacing w:beforeLines="50" w:afterLines="50" w:line="360" w:lineRule="auto"/>
    </w:pPr>
    <w:rPr>
      <w:rFonts w:ascii="Arial" w:hAnsi="Arial" w:cstheme="minorBidi"/>
      <w:bCs/>
      <w:kern w:val="2"/>
      <w:sz w:val="24"/>
      <w:szCs w:val="32"/>
    </w:rPr>
  </w:style>
  <w:style w:type="character" w:customStyle="1" w:styleId="163">
    <w:name w:val="Heading 3 Char"/>
    <w:autoRedefine/>
    <w:semiHidden/>
    <w:qFormat/>
    <w:uiPriority w:val="9"/>
    <w:rPr>
      <w:rFonts w:ascii="Cambria" w:hAnsi="Cambria" w:eastAsia="宋体" w:cs="Times New Roman"/>
      <w:b/>
      <w:bCs/>
      <w:kern w:val="2"/>
      <w:sz w:val="26"/>
      <w:szCs w:val="26"/>
    </w:rPr>
  </w:style>
  <w:style w:type="character" w:customStyle="1" w:styleId="164">
    <w:name w:val="无间距字符"/>
    <w:link w:val="165"/>
    <w:autoRedefine/>
    <w:qFormat/>
    <w:uiPriority w:val="1"/>
    <w:rPr>
      <w:sz w:val="22"/>
    </w:rPr>
  </w:style>
  <w:style w:type="paragraph" w:customStyle="1" w:styleId="165">
    <w:name w:val="无间距"/>
    <w:link w:val="164"/>
    <w:autoRedefine/>
    <w:qFormat/>
    <w:uiPriority w:val="1"/>
    <w:rPr>
      <w:rFonts w:asciiTheme="minorHAnsi" w:hAnsiTheme="minorHAnsi" w:eastAsiaTheme="minorEastAsia" w:cstheme="minorBidi"/>
      <w:kern w:val="2"/>
      <w:sz w:val="22"/>
      <w:szCs w:val="22"/>
      <w:lang w:val="en-US" w:eastAsia="zh-CN" w:bidi="ar-SA"/>
    </w:rPr>
  </w:style>
  <w:style w:type="character" w:customStyle="1" w:styleId="166">
    <w:name w:val="5级标题nbm Char"/>
    <w:link w:val="167"/>
    <w:autoRedefine/>
    <w:qFormat/>
    <w:uiPriority w:val="0"/>
    <w:rPr>
      <w:rFonts w:ascii="宋体" w:hAnsi="宋体"/>
      <w:szCs w:val="21"/>
    </w:rPr>
  </w:style>
  <w:style w:type="paragraph" w:customStyle="1" w:styleId="167">
    <w:name w:val="5级标题nbm"/>
    <w:basedOn w:val="4"/>
    <w:link w:val="166"/>
    <w:autoRedefine/>
    <w:qFormat/>
    <w:uiPriority w:val="0"/>
    <w:pPr>
      <w:tabs>
        <w:tab w:val="left" w:pos="1008"/>
      </w:tabs>
      <w:spacing w:line="360" w:lineRule="auto"/>
      <w:ind w:left="1008" w:hanging="1008"/>
      <w:outlineLvl w:val="4"/>
    </w:pPr>
    <w:rPr>
      <w:rFonts w:ascii="宋体" w:eastAsiaTheme="minorEastAsia" w:cstheme="minorBidi"/>
      <w:bCs w:val="0"/>
      <w:sz w:val="21"/>
      <w:szCs w:val="21"/>
    </w:rPr>
  </w:style>
  <w:style w:type="character" w:customStyle="1" w:styleId="168">
    <w:name w:val="Heading 6 Char"/>
    <w:autoRedefine/>
    <w:semiHidden/>
    <w:qFormat/>
    <w:locked/>
    <w:uiPriority w:val="99"/>
    <w:rPr>
      <w:rFonts w:ascii="Calibri" w:hAnsi="Calibri" w:eastAsia="宋体" w:cs="Times New Roman"/>
      <w:b/>
      <w:bCs/>
      <w:kern w:val="2"/>
    </w:rPr>
  </w:style>
  <w:style w:type="character" w:customStyle="1" w:styleId="169">
    <w:name w:val="Heading 3 Char2"/>
    <w:autoRedefine/>
    <w:qFormat/>
    <w:locked/>
    <w:uiPriority w:val="99"/>
    <w:rPr>
      <w:rFonts w:eastAsia="宋体" w:cs="Times New Roman"/>
      <w:b/>
      <w:bCs/>
      <w:kern w:val="2"/>
      <w:sz w:val="32"/>
      <w:szCs w:val="32"/>
      <w:lang w:val="en-US" w:eastAsia="zh-CN" w:bidi="ar-SA"/>
    </w:rPr>
  </w:style>
  <w:style w:type="character" w:customStyle="1" w:styleId="170">
    <w:name w:val="2级标题nbm Char"/>
    <w:link w:val="171"/>
    <w:autoRedefine/>
    <w:qFormat/>
    <w:uiPriority w:val="0"/>
    <w:rPr>
      <w:rFonts w:ascii="宋体" w:hAnsi="宋体"/>
      <w:bCs/>
      <w:szCs w:val="21"/>
    </w:rPr>
  </w:style>
  <w:style w:type="paragraph" w:customStyle="1" w:styleId="171">
    <w:name w:val="2级标题nbm"/>
    <w:basedOn w:val="4"/>
    <w:link w:val="170"/>
    <w:autoRedefine/>
    <w:qFormat/>
    <w:uiPriority w:val="0"/>
    <w:pPr>
      <w:tabs>
        <w:tab w:val="left" w:pos="756"/>
      </w:tabs>
      <w:spacing w:line="360" w:lineRule="auto"/>
      <w:ind w:left="756" w:hanging="576"/>
    </w:pPr>
    <w:rPr>
      <w:rFonts w:ascii="宋体" w:eastAsiaTheme="minorEastAsia" w:cstheme="minorBidi"/>
      <w:sz w:val="21"/>
      <w:szCs w:val="21"/>
    </w:rPr>
  </w:style>
  <w:style w:type="character" w:customStyle="1" w:styleId="172">
    <w:name w:val="3级标题nbm Char"/>
    <w:link w:val="173"/>
    <w:autoRedefine/>
    <w:qFormat/>
    <w:uiPriority w:val="0"/>
    <w:rPr>
      <w:rFonts w:ascii="宋体" w:hAnsi="宋体"/>
      <w:bCs/>
      <w:szCs w:val="21"/>
    </w:rPr>
  </w:style>
  <w:style w:type="paragraph" w:customStyle="1" w:styleId="173">
    <w:name w:val="3级标题nbm"/>
    <w:basedOn w:val="171"/>
    <w:link w:val="172"/>
    <w:autoRedefine/>
    <w:qFormat/>
    <w:uiPriority w:val="0"/>
    <w:pPr>
      <w:tabs>
        <w:tab w:val="left" w:pos="720"/>
        <w:tab w:val="clear" w:pos="756"/>
      </w:tabs>
      <w:ind w:left="720" w:hanging="720"/>
      <w:outlineLvl w:val="2"/>
    </w:pPr>
  </w:style>
  <w:style w:type="character" w:customStyle="1" w:styleId="174">
    <w:name w:val="font1"/>
    <w:autoRedefine/>
    <w:qFormat/>
    <w:uiPriority w:val="99"/>
    <w:rPr>
      <w:rFonts w:cs="Times New Roman"/>
      <w:color w:val="000000"/>
      <w:sz w:val="18"/>
      <w:szCs w:val="18"/>
    </w:rPr>
  </w:style>
  <w:style w:type="character" w:customStyle="1" w:styleId="175">
    <w:name w:val="t181"/>
    <w:autoRedefine/>
    <w:qFormat/>
    <w:uiPriority w:val="99"/>
    <w:rPr>
      <w:rFonts w:cs="Times New Roman"/>
      <w:color w:val="000000"/>
      <w:sz w:val="21"/>
      <w:szCs w:val="21"/>
    </w:rPr>
  </w:style>
  <w:style w:type="character" w:customStyle="1" w:styleId="176">
    <w:name w:val="标题 4 Char1"/>
    <w:autoRedefine/>
    <w:qFormat/>
    <w:uiPriority w:val="99"/>
    <w:rPr>
      <w:rFonts w:eastAsia="宋体" w:cs="Times New Roman"/>
      <w:b/>
      <w:bCs/>
      <w:kern w:val="2"/>
      <w:sz w:val="28"/>
      <w:szCs w:val="28"/>
      <w:lang w:val="en-US" w:eastAsia="zh-CN" w:bidi="ar-SA"/>
    </w:rPr>
  </w:style>
  <w:style w:type="character" w:customStyle="1" w:styleId="177">
    <w:name w:val="标题 2 Char1"/>
    <w:autoRedefine/>
    <w:qFormat/>
    <w:uiPriority w:val="99"/>
    <w:rPr>
      <w:rFonts w:ascii="Arial" w:hAnsi="Arial" w:eastAsia="黑体" w:cs="Times New Roman"/>
      <w:b/>
      <w:bCs/>
      <w:kern w:val="2"/>
      <w:sz w:val="32"/>
      <w:szCs w:val="32"/>
      <w:lang w:val="en-US" w:eastAsia="zh-CN" w:bidi="ar-SA"/>
    </w:rPr>
  </w:style>
  <w:style w:type="character" w:customStyle="1" w:styleId="178">
    <w:name w:val="Heading 2 Char"/>
    <w:autoRedefine/>
    <w:semiHidden/>
    <w:qFormat/>
    <w:locked/>
    <w:uiPriority w:val="99"/>
    <w:rPr>
      <w:rFonts w:ascii="Cambria" w:hAnsi="Cambria" w:eastAsia="宋体" w:cs="Times New Roman"/>
      <w:b/>
      <w:bCs/>
      <w:i/>
      <w:iCs/>
      <w:kern w:val="2"/>
      <w:sz w:val="28"/>
      <w:szCs w:val="28"/>
    </w:rPr>
  </w:style>
  <w:style w:type="character" w:customStyle="1" w:styleId="179">
    <w:name w:val="4级标题nbm Char"/>
    <w:link w:val="180"/>
    <w:autoRedefine/>
    <w:qFormat/>
    <w:uiPriority w:val="0"/>
    <w:rPr>
      <w:rFonts w:ascii="宋体" w:hAnsi="宋体"/>
      <w:szCs w:val="21"/>
    </w:rPr>
  </w:style>
  <w:style w:type="paragraph" w:customStyle="1" w:styleId="180">
    <w:name w:val="4级标题nbm"/>
    <w:basedOn w:val="4"/>
    <w:link w:val="179"/>
    <w:autoRedefine/>
    <w:qFormat/>
    <w:uiPriority w:val="0"/>
    <w:pPr>
      <w:tabs>
        <w:tab w:val="left" w:pos="864"/>
      </w:tabs>
      <w:spacing w:line="360" w:lineRule="auto"/>
      <w:ind w:left="864" w:hanging="864"/>
      <w:outlineLvl w:val="3"/>
    </w:pPr>
    <w:rPr>
      <w:rFonts w:ascii="宋体" w:eastAsiaTheme="minorEastAsia" w:cstheme="minorBidi"/>
      <w:bCs w:val="0"/>
      <w:sz w:val="21"/>
      <w:szCs w:val="21"/>
    </w:rPr>
  </w:style>
  <w:style w:type="character" w:customStyle="1" w:styleId="181">
    <w:name w:val="Heading 8 Char"/>
    <w:autoRedefine/>
    <w:semiHidden/>
    <w:qFormat/>
    <w:locked/>
    <w:uiPriority w:val="99"/>
    <w:rPr>
      <w:rFonts w:ascii="Calibri" w:hAnsi="Calibri" w:eastAsia="宋体" w:cs="Times New Roman"/>
      <w:i/>
      <w:iCs/>
      <w:kern w:val="2"/>
      <w:sz w:val="24"/>
      <w:szCs w:val="24"/>
    </w:rPr>
  </w:style>
  <w:style w:type="character" w:customStyle="1" w:styleId="182">
    <w:name w:val="表正文 Char1"/>
    <w:autoRedefine/>
    <w:qFormat/>
    <w:uiPriority w:val="99"/>
    <w:rPr>
      <w:rFonts w:eastAsia="宋体" w:cs="Times New Roman"/>
      <w:kern w:val="2"/>
      <w:sz w:val="24"/>
      <w:szCs w:val="24"/>
      <w:lang w:val="en-US" w:eastAsia="zh-CN" w:bidi="ar-SA"/>
    </w:rPr>
  </w:style>
  <w:style w:type="character" w:customStyle="1" w:styleId="183">
    <w:name w:val="样式3 Char"/>
    <w:autoRedefine/>
    <w:qFormat/>
    <w:uiPriority w:val="99"/>
    <w:rPr>
      <w:rFonts w:eastAsia="宋体" w:cs="Times New Roman"/>
      <w:kern w:val="2"/>
      <w:sz w:val="24"/>
      <w:szCs w:val="24"/>
      <w:lang w:val="en-US" w:eastAsia="zh-CN" w:bidi="ar-SA"/>
    </w:rPr>
  </w:style>
  <w:style w:type="character" w:customStyle="1" w:styleId="184">
    <w:name w:val="Heading 3 Char3"/>
    <w:autoRedefine/>
    <w:semiHidden/>
    <w:qFormat/>
    <w:locked/>
    <w:uiPriority w:val="99"/>
    <w:rPr>
      <w:rFonts w:ascii="Cambria" w:hAnsi="Cambria" w:eastAsia="宋体" w:cs="Times New Roman"/>
      <w:b/>
      <w:bCs/>
      <w:kern w:val="2"/>
      <w:sz w:val="26"/>
      <w:szCs w:val="26"/>
    </w:rPr>
  </w:style>
  <w:style w:type="character" w:customStyle="1" w:styleId="185">
    <w:name w:val="Style Heading A + (Latin) 楷体_GB2312 (Asian) 楷体_GB2312 Char"/>
    <w:autoRedefine/>
    <w:qFormat/>
    <w:uiPriority w:val="99"/>
    <w:rPr>
      <w:rFonts w:ascii="楷体_GB2312" w:hAnsi="楷体_GB2312" w:eastAsia="楷体_GB2312" w:cs="Arial"/>
      <w:b/>
      <w:kern w:val="28"/>
      <w:sz w:val="36"/>
      <w:lang w:val="en-US" w:eastAsia="zh-CN" w:bidi="ar-SA"/>
    </w:rPr>
  </w:style>
  <w:style w:type="character" w:customStyle="1" w:styleId="186">
    <w:name w:val="编号列表 Char"/>
    <w:autoRedefine/>
    <w:qFormat/>
    <w:uiPriority w:val="99"/>
    <w:rPr>
      <w:rFonts w:ascii="Verdana" w:hAnsi="Verdana" w:eastAsia="宋体" w:cs="Times New Roman"/>
      <w:kern w:val="2"/>
      <w:sz w:val="24"/>
      <w:szCs w:val="24"/>
      <w:lang w:val="en-US" w:eastAsia="zh-CN" w:bidi="ar-SA"/>
    </w:rPr>
  </w:style>
  <w:style w:type="character" w:customStyle="1" w:styleId="187">
    <w:name w:val="二级条标题 Char"/>
    <w:link w:val="188"/>
    <w:autoRedefine/>
    <w:qFormat/>
    <w:locked/>
    <w:uiPriority w:val="99"/>
    <w:rPr>
      <w:rFonts w:ascii="宋体"/>
    </w:rPr>
  </w:style>
  <w:style w:type="paragraph" w:customStyle="1" w:styleId="188">
    <w:name w:val="二级条标题"/>
    <w:basedOn w:val="1"/>
    <w:next w:val="1"/>
    <w:link w:val="187"/>
    <w:autoRedefine/>
    <w:qFormat/>
    <w:uiPriority w:val="99"/>
    <w:pPr>
      <w:widowControl/>
      <w:spacing w:beforeLines="50" w:afterLines="50"/>
      <w:outlineLvl w:val="3"/>
    </w:pPr>
    <w:rPr>
      <w:rFonts w:ascii="宋体" w:hAnsiTheme="minorHAnsi" w:eastAsiaTheme="minorEastAsia" w:cstheme="minorBidi"/>
      <w:szCs w:val="22"/>
    </w:rPr>
  </w:style>
  <w:style w:type="character" w:customStyle="1" w:styleId="189">
    <w:name w:val="Heading 4 Char"/>
    <w:autoRedefine/>
    <w:semiHidden/>
    <w:qFormat/>
    <w:locked/>
    <w:uiPriority w:val="99"/>
    <w:rPr>
      <w:rFonts w:ascii="Calibri" w:hAnsi="Calibri" w:eastAsia="宋体" w:cs="Times New Roman"/>
      <w:b/>
      <w:bCs/>
      <w:kern w:val="2"/>
      <w:sz w:val="28"/>
      <w:szCs w:val="28"/>
    </w:rPr>
  </w:style>
  <w:style w:type="character" w:customStyle="1" w:styleId="190">
    <w:name w:val="Heading 5 Char"/>
    <w:autoRedefine/>
    <w:semiHidden/>
    <w:qFormat/>
    <w:locked/>
    <w:uiPriority w:val="99"/>
    <w:rPr>
      <w:rFonts w:ascii="Calibri" w:hAnsi="Calibri" w:eastAsia="宋体" w:cs="Times New Roman"/>
      <w:b/>
      <w:bCs/>
      <w:i/>
      <w:iCs/>
      <w:kern w:val="2"/>
      <w:sz w:val="26"/>
      <w:szCs w:val="26"/>
    </w:rPr>
  </w:style>
  <w:style w:type="character" w:customStyle="1" w:styleId="191">
    <w:name w:val="title_emph1"/>
    <w:autoRedefine/>
    <w:qFormat/>
    <w:uiPriority w:val="99"/>
    <w:rPr>
      <w:rFonts w:ascii="Arial" w:hAnsi="Arial" w:cs="Arial"/>
      <w:b/>
      <w:bCs/>
      <w:sz w:val="20"/>
      <w:szCs w:val="20"/>
    </w:rPr>
  </w:style>
  <w:style w:type="paragraph" w:customStyle="1" w:styleId="192">
    <w:name w:val="样式 正文缩进正文（首行缩进两字）表正文正文非缩进特点标题4段1 + 首行缩进:  2 字符"/>
    <w:basedOn w:val="15"/>
    <w:autoRedefine/>
    <w:qFormat/>
    <w:uiPriority w:val="99"/>
    <w:pPr>
      <w:autoSpaceDE/>
      <w:autoSpaceDN/>
      <w:snapToGrid w:val="0"/>
      <w:spacing w:line="360" w:lineRule="auto"/>
      <w:ind w:firstLine="480" w:firstLineChars="200"/>
      <w:jc w:val="both"/>
    </w:pPr>
    <w:rPr>
      <w:rFonts w:ascii="Times New Roman" w:eastAsia="宋体"/>
      <w:kern w:val="2"/>
      <w:sz w:val="24"/>
    </w:rPr>
  </w:style>
  <w:style w:type="paragraph" w:customStyle="1" w:styleId="193">
    <w:name w:val="项目 1"/>
    <w:basedOn w:val="1"/>
    <w:autoRedefine/>
    <w:qFormat/>
    <w:uiPriority w:val="99"/>
    <w:pPr>
      <w:tabs>
        <w:tab w:val="left" w:pos="1446"/>
      </w:tabs>
      <w:adjustRightInd w:val="0"/>
      <w:snapToGrid w:val="0"/>
      <w:spacing w:afterLines="50"/>
      <w:ind w:left="1446" w:hanging="488"/>
    </w:pPr>
    <w:rPr>
      <w:rFonts w:ascii="Tahoma" w:hAnsi="Tahoma"/>
      <w:sz w:val="24"/>
    </w:rPr>
  </w:style>
  <w:style w:type="character" w:customStyle="1" w:styleId="194">
    <w:name w:val="正文首行缩进 Char1"/>
    <w:autoRedefine/>
    <w:qFormat/>
    <w:uiPriority w:val="0"/>
    <w:rPr>
      <w:kern w:val="2"/>
      <w:sz w:val="21"/>
      <w:szCs w:val="24"/>
    </w:rPr>
  </w:style>
  <w:style w:type="paragraph" w:customStyle="1" w:styleId="195">
    <w:name w:val="2"/>
    <w:basedOn w:val="1"/>
    <w:next w:val="22"/>
    <w:autoRedefine/>
    <w:qFormat/>
    <w:uiPriority w:val="99"/>
    <w:pPr>
      <w:spacing w:line="440" w:lineRule="exact"/>
      <w:ind w:firstLine="420"/>
    </w:pPr>
    <w:rPr>
      <w:sz w:val="28"/>
      <w:szCs w:val="20"/>
    </w:rPr>
  </w:style>
  <w:style w:type="paragraph" w:customStyle="1" w:styleId="196">
    <w:name w:val="Char1 Char Char Char"/>
    <w:basedOn w:val="1"/>
    <w:autoRedefine/>
    <w:qFormat/>
    <w:uiPriority w:val="0"/>
    <w:pPr>
      <w:tabs>
        <w:tab w:val="left" w:pos="420"/>
      </w:tabs>
      <w:ind w:left="420" w:hanging="420"/>
    </w:pPr>
    <w:rPr>
      <w:rFonts w:ascii="Tahoma" w:hAnsi="Tahoma"/>
      <w:sz w:val="24"/>
      <w:szCs w:val="20"/>
    </w:rPr>
  </w:style>
  <w:style w:type="paragraph" w:customStyle="1" w:styleId="197">
    <w:name w:val="font10"/>
    <w:basedOn w:val="1"/>
    <w:autoRedefine/>
    <w:qFormat/>
    <w:uiPriority w:val="99"/>
    <w:pPr>
      <w:widowControl/>
      <w:spacing w:before="100" w:beforeAutospacing="1" w:after="100" w:afterAutospacing="1"/>
      <w:jc w:val="left"/>
    </w:pPr>
    <w:rPr>
      <w:kern w:val="0"/>
      <w:sz w:val="20"/>
      <w:szCs w:val="20"/>
    </w:rPr>
  </w:style>
  <w:style w:type="paragraph" w:customStyle="1" w:styleId="198">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99">
    <w:name w:val="xl42"/>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200">
    <w:name w:val="正文文字（缩进2字）"/>
    <w:basedOn w:val="21"/>
    <w:autoRedefine/>
    <w:qFormat/>
    <w:uiPriority w:val="99"/>
    <w:pPr>
      <w:spacing w:beforeLines="50" w:afterLines="50"/>
      <w:ind w:firstLine="200" w:firstLineChars="200"/>
    </w:pPr>
    <w:rPr>
      <w:kern w:val="0"/>
      <w:sz w:val="20"/>
    </w:rPr>
  </w:style>
  <w:style w:type="paragraph" w:customStyle="1" w:styleId="201">
    <w:name w:val="Char Char2"/>
    <w:basedOn w:val="1"/>
    <w:autoRedefine/>
    <w:qFormat/>
    <w:uiPriority w:val="99"/>
    <w:rPr>
      <w:rFonts w:ascii="Tahoma" w:hAnsi="Tahoma"/>
      <w:sz w:val="24"/>
      <w:szCs w:val="20"/>
    </w:rPr>
  </w:style>
  <w:style w:type="paragraph" w:customStyle="1" w:styleId="202">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03">
    <w:name w:val="Char Char Char"/>
    <w:basedOn w:val="17"/>
    <w:autoRedefine/>
    <w:qFormat/>
    <w:uiPriority w:val="0"/>
    <w:pPr>
      <w:shd w:val="clear" w:color="auto" w:fill="000080"/>
    </w:pPr>
    <w:rPr>
      <w:rFonts w:ascii="Tahoma" w:hAnsi="Tahoma"/>
      <w:kern w:val="0"/>
      <w:sz w:val="24"/>
      <w:szCs w:val="24"/>
    </w:rPr>
  </w:style>
  <w:style w:type="paragraph" w:customStyle="1" w:styleId="204">
    <w:name w:val="默认段落字体 Para Char Char Char Char Char Char Char"/>
    <w:basedOn w:val="1"/>
    <w:autoRedefine/>
    <w:qFormat/>
    <w:uiPriority w:val="99"/>
    <w:rPr>
      <w:rFonts w:ascii="Tahoma" w:hAnsi="Tahoma"/>
      <w:sz w:val="24"/>
      <w:szCs w:val="20"/>
    </w:rPr>
  </w:style>
  <w:style w:type="paragraph" w:customStyle="1" w:styleId="205">
    <w:name w:val="文章标题"/>
    <w:basedOn w:val="1"/>
    <w:autoRedefine/>
    <w:qFormat/>
    <w:uiPriority w:val="99"/>
    <w:pPr>
      <w:spacing w:beforeLines="200" w:afterLines="200"/>
      <w:jc w:val="center"/>
    </w:pPr>
    <w:rPr>
      <w:b/>
      <w:sz w:val="44"/>
    </w:rPr>
  </w:style>
  <w:style w:type="paragraph" w:customStyle="1" w:styleId="206">
    <w:name w:val="文档正文 Char Char Char Char Char"/>
    <w:basedOn w:val="1"/>
    <w:autoRedefine/>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207">
    <w:name w:val="List Bullet1"/>
    <w:basedOn w:val="1"/>
    <w:autoRedefine/>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208">
    <w:name w:val="P6"/>
    <w:autoRedefine/>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09">
    <w:name w:val="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210">
    <w:name w:val="Centered"/>
    <w:basedOn w:val="1"/>
    <w:next w:val="21"/>
    <w:autoRedefine/>
    <w:qFormat/>
    <w:uiPriority w:val="99"/>
    <w:pPr>
      <w:widowControl/>
      <w:spacing w:after="240" w:line="240" w:lineRule="exact"/>
      <w:jc w:val="center"/>
    </w:pPr>
    <w:rPr>
      <w:kern w:val="0"/>
      <w:sz w:val="24"/>
      <w:lang w:val="en-GB"/>
    </w:rPr>
  </w:style>
  <w:style w:type="paragraph" w:customStyle="1" w:styleId="211">
    <w:name w:val="样式3"/>
    <w:basedOn w:val="4"/>
    <w:autoRedefine/>
    <w:qFormat/>
    <w:uiPriority w:val="99"/>
    <w:pPr>
      <w:keepNext w:val="0"/>
      <w:keepLines w:val="0"/>
      <w:tabs>
        <w:tab w:val="left" w:pos="576"/>
      </w:tabs>
      <w:spacing w:line="360" w:lineRule="auto"/>
      <w:ind w:left="576" w:hanging="576"/>
    </w:pPr>
    <w:rPr>
      <w:rFonts w:ascii="宋体" w:eastAsia="宋体"/>
      <w:b/>
      <w:kern w:val="0"/>
      <w:szCs w:val="28"/>
    </w:rPr>
  </w:style>
  <w:style w:type="paragraph" w:customStyle="1" w:styleId="212">
    <w:name w:val="xl34"/>
    <w:basedOn w:val="1"/>
    <w:autoRedefine/>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213">
    <w:name w:val="样式4"/>
    <w:autoRedefine/>
    <w:qFormat/>
    <w:uiPriority w:val="99"/>
    <w:rPr>
      <w:rFonts w:ascii="宋体" w:hAnsi="宋体" w:eastAsia="宋体" w:cs="Times New Roman"/>
      <w:b/>
      <w:bCs/>
      <w:kern w:val="2"/>
      <w:sz w:val="28"/>
      <w:szCs w:val="28"/>
      <w:lang w:val="en-US" w:eastAsia="zh-CN" w:bidi="ar-SA"/>
    </w:rPr>
  </w:style>
  <w:style w:type="paragraph" w:customStyle="1" w:styleId="214">
    <w:name w:val="文档正文"/>
    <w:basedOn w:val="1"/>
    <w:autoRedefine/>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215">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Char Char21"/>
    <w:basedOn w:val="1"/>
    <w:autoRedefine/>
    <w:qFormat/>
    <w:uiPriority w:val="99"/>
    <w:rPr>
      <w:rFonts w:ascii="Tahoma" w:hAnsi="Tahoma"/>
      <w:sz w:val="24"/>
      <w:szCs w:val="20"/>
    </w:rPr>
  </w:style>
  <w:style w:type="paragraph" w:customStyle="1" w:styleId="217">
    <w:name w:val="样式 普通(网站) + 仿宋_GB2312 段前: 自动 段后: 自动 行距: 1.5 倍行距1"/>
    <w:basedOn w:val="1"/>
    <w:autoRedefine/>
    <w:qFormat/>
    <w:uiPriority w:val="99"/>
    <w:pPr>
      <w:widowControl/>
      <w:tabs>
        <w:tab w:val="left" w:pos="1134"/>
      </w:tabs>
      <w:spacing w:after="120"/>
      <w:ind w:left="1134" w:hanging="294"/>
      <w:jc w:val="left"/>
    </w:pPr>
    <w:rPr>
      <w:rFonts w:ascii="Arial" w:hAnsi="Arial"/>
      <w:kern w:val="0"/>
      <w:sz w:val="20"/>
      <w:szCs w:val="20"/>
      <w:lang w:val="en-GB"/>
    </w:rPr>
  </w:style>
  <w:style w:type="paragraph" w:customStyle="1" w:styleId="218">
    <w:name w:val="附件小标题"/>
    <w:basedOn w:val="2"/>
    <w:autoRedefine/>
    <w:qFormat/>
    <w:uiPriority w:val="99"/>
    <w:pPr>
      <w:keepLines/>
      <w:tabs>
        <w:tab w:val="left" w:pos="720"/>
      </w:tabs>
      <w:spacing w:before="120" w:after="120" w:line="240" w:lineRule="atLeast"/>
      <w:ind w:left="720" w:hanging="720"/>
      <w:jc w:val="left"/>
    </w:pPr>
    <w:rPr>
      <w:rFonts w:ascii="Verdana" w:hAnsi="Verdana"/>
      <w:b/>
      <w:bCs/>
      <w:sz w:val="20"/>
      <w:szCs w:val="28"/>
    </w:rPr>
  </w:style>
  <w:style w:type="paragraph" w:customStyle="1" w:styleId="219">
    <w:name w:val="P8"/>
    <w:basedOn w:val="208"/>
    <w:autoRedefine/>
    <w:qFormat/>
    <w:uiPriority w:val="99"/>
    <w:pPr>
      <w:ind w:left="4032"/>
    </w:pPr>
  </w:style>
  <w:style w:type="paragraph" w:customStyle="1" w:styleId="220">
    <w:name w:val="xl23"/>
    <w:basedOn w:val="1"/>
    <w:autoRedefine/>
    <w:qFormat/>
    <w:uiPriority w:val="99"/>
    <w:pPr>
      <w:widowControl/>
      <w:spacing w:beforeAutospacing="1" w:afterAutospacing="1"/>
    </w:pPr>
    <w:rPr>
      <w:rFonts w:eastAsia="Arial Unicode MS"/>
      <w:kern w:val="0"/>
      <w:szCs w:val="20"/>
    </w:rPr>
  </w:style>
  <w:style w:type="paragraph" w:customStyle="1" w:styleId="221">
    <w:name w:val="项目2"/>
    <w:autoRedefine/>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222">
    <w:name w:val="6"/>
    <w:basedOn w:val="1"/>
    <w:next w:val="49"/>
    <w:autoRedefine/>
    <w:qFormat/>
    <w:uiPriority w:val="99"/>
    <w:pPr>
      <w:adjustRightInd w:val="0"/>
      <w:snapToGrid w:val="0"/>
    </w:pPr>
    <w:rPr>
      <w:sz w:val="24"/>
    </w:rPr>
  </w:style>
  <w:style w:type="paragraph" w:customStyle="1" w:styleId="223">
    <w:name w:val="正文表格"/>
    <w:basedOn w:val="1"/>
    <w:autoRedefine/>
    <w:qFormat/>
    <w:uiPriority w:val="99"/>
    <w:pPr>
      <w:ind w:left="10" w:leftChars="10" w:right="10" w:rightChars="10"/>
    </w:pPr>
    <w:rPr>
      <w:bCs/>
    </w:rPr>
  </w:style>
  <w:style w:type="paragraph" w:customStyle="1" w:styleId="224">
    <w:name w:val="图中文字"/>
    <w:basedOn w:val="1"/>
    <w:autoRedefine/>
    <w:qFormat/>
    <w:uiPriority w:val="99"/>
    <w:pPr>
      <w:adjustRightInd w:val="0"/>
      <w:snapToGrid w:val="0"/>
      <w:spacing w:line="240" w:lineRule="atLeast"/>
      <w:jc w:val="center"/>
    </w:pPr>
    <w:rPr>
      <w:szCs w:val="20"/>
    </w:rPr>
  </w:style>
  <w:style w:type="paragraph" w:customStyle="1" w:styleId="225">
    <w:name w:val="正文（首行缩进）"/>
    <w:basedOn w:val="1"/>
    <w:autoRedefine/>
    <w:qFormat/>
    <w:uiPriority w:val="99"/>
    <w:pPr>
      <w:spacing w:line="360" w:lineRule="auto"/>
      <w:ind w:firstLine="420"/>
    </w:pPr>
    <w:rPr>
      <w:sz w:val="24"/>
      <w:szCs w:val="20"/>
    </w:rPr>
  </w:style>
  <w:style w:type="paragraph" w:customStyle="1" w:styleId="226">
    <w:name w:val="font6"/>
    <w:basedOn w:val="1"/>
    <w:autoRedefine/>
    <w:qFormat/>
    <w:uiPriority w:val="99"/>
    <w:pPr>
      <w:widowControl/>
      <w:spacing w:before="100" w:beforeAutospacing="1" w:after="100" w:afterAutospacing="1"/>
      <w:jc w:val="left"/>
    </w:pPr>
    <w:rPr>
      <w:rFonts w:ascii="Arial" w:hAnsi="Arial" w:cs="Arial"/>
      <w:kern w:val="0"/>
      <w:sz w:val="16"/>
      <w:szCs w:val="16"/>
    </w:rPr>
  </w:style>
  <w:style w:type="paragraph" w:customStyle="1" w:styleId="227">
    <w:name w:val="样式 Tahoma 行距: 单倍行距"/>
    <w:basedOn w:val="1"/>
    <w:autoRedefine/>
    <w:qFormat/>
    <w:uiPriority w:val="0"/>
    <w:pPr>
      <w:ind w:firstLine="420" w:firstLineChars="200"/>
    </w:pPr>
    <w:rPr>
      <w:rFonts w:ascii="Tahoma" w:hAnsi="Tahoma" w:cs="宋体"/>
      <w:szCs w:val="21"/>
    </w:rPr>
  </w:style>
  <w:style w:type="paragraph" w:customStyle="1" w:styleId="228">
    <w:name w:val="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29">
    <w:name w:val="操作步骤"/>
    <w:basedOn w:val="1"/>
    <w:autoRedefine/>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230">
    <w:name w:val="彩色列表 - 强调文字颜色 11"/>
    <w:basedOn w:val="1"/>
    <w:autoRedefine/>
    <w:qFormat/>
    <w:uiPriority w:val="99"/>
    <w:pPr>
      <w:ind w:firstLine="420" w:firstLineChars="200"/>
    </w:pPr>
  </w:style>
  <w:style w:type="paragraph" w:customStyle="1" w:styleId="231">
    <w:name w:val="xl4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232">
    <w:name w:val="招标文件1.1.1.1"/>
    <w:basedOn w:val="1"/>
    <w:autoRedefine/>
    <w:qFormat/>
    <w:uiPriority w:val="99"/>
    <w:pPr>
      <w:spacing w:before="120" w:after="120" w:line="480" w:lineRule="exact"/>
      <w:ind w:left="200"/>
      <w:jc w:val="left"/>
      <w:outlineLvl w:val="4"/>
    </w:pPr>
    <w:rPr>
      <w:rFonts w:ascii="宋体"/>
      <w:b/>
      <w:spacing w:val="10"/>
      <w:w w:val="95"/>
    </w:rPr>
  </w:style>
  <w:style w:type="paragraph" w:customStyle="1" w:styleId="233">
    <w:name w:val="Normal Cenered"/>
    <w:basedOn w:val="1"/>
    <w:autoRedefine/>
    <w:qFormat/>
    <w:uiPriority w:val="99"/>
    <w:pPr>
      <w:widowControl/>
      <w:tabs>
        <w:tab w:val="left" w:pos="6660"/>
      </w:tabs>
      <w:spacing w:before="240" w:after="120" w:line="288" w:lineRule="auto"/>
      <w:jc w:val="center"/>
    </w:pPr>
    <w:rPr>
      <w:kern w:val="0"/>
    </w:rPr>
  </w:style>
  <w:style w:type="paragraph" w:customStyle="1" w:styleId="234">
    <w:name w:val="xl41"/>
    <w:basedOn w:val="1"/>
    <w:autoRedefine/>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235">
    <w:name w:val="Table Text"/>
    <w:basedOn w:val="1"/>
    <w:autoRedefine/>
    <w:qFormat/>
    <w:uiPriority w:val="99"/>
    <w:pPr>
      <w:widowControl/>
      <w:autoSpaceDE w:val="0"/>
      <w:autoSpaceDN w:val="0"/>
      <w:spacing w:before="60" w:after="60"/>
      <w:jc w:val="left"/>
    </w:pPr>
    <w:rPr>
      <w:kern w:val="0"/>
      <w:szCs w:val="20"/>
    </w:rPr>
  </w:style>
  <w:style w:type="paragraph" w:customStyle="1" w:styleId="236">
    <w:name w:val="项目 1 Char Char"/>
    <w:basedOn w:val="1"/>
    <w:autoRedefine/>
    <w:qFormat/>
    <w:uiPriority w:val="99"/>
    <w:pPr>
      <w:tabs>
        <w:tab w:val="left" w:pos="907"/>
      </w:tabs>
      <w:adjustRightInd w:val="0"/>
      <w:snapToGrid w:val="0"/>
      <w:spacing w:afterLines="50"/>
      <w:ind w:left="902" w:hanging="420"/>
    </w:pPr>
    <w:rPr>
      <w:rFonts w:ascii="Tahoma" w:hAnsi="Tahoma"/>
      <w:sz w:val="24"/>
    </w:rPr>
  </w:style>
  <w:style w:type="paragraph" w:customStyle="1" w:styleId="237">
    <w:name w:val="强调列表"/>
    <w:basedOn w:val="1"/>
    <w:autoRedefine/>
    <w:qFormat/>
    <w:uiPriority w:val="99"/>
    <w:pPr>
      <w:tabs>
        <w:tab w:val="left" w:pos="1742"/>
      </w:tabs>
      <w:ind w:left="1742" w:hanging="420"/>
    </w:pPr>
    <w:rPr>
      <w:sz w:val="24"/>
      <w:szCs w:val="20"/>
    </w:rPr>
  </w:style>
  <w:style w:type="paragraph" w:customStyle="1" w:styleId="238">
    <w:name w:val="Char"/>
    <w:basedOn w:val="1"/>
    <w:autoRedefine/>
    <w:qFormat/>
    <w:uiPriority w:val="99"/>
    <w:pPr>
      <w:tabs>
        <w:tab w:val="left" w:pos="360"/>
      </w:tabs>
      <w:ind w:left="360" w:hanging="360" w:hangingChars="200"/>
    </w:pPr>
    <w:rPr>
      <w:sz w:val="24"/>
    </w:rPr>
  </w:style>
  <w:style w:type="character" w:customStyle="1" w:styleId="239">
    <w:name w:val="正文文本 2 Char1"/>
    <w:autoRedefine/>
    <w:semiHidden/>
    <w:qFormat/>
    <w:uiPriority w:val="0"/>
    <w:rPr>
      <w:kern w:val="2"/>
      <w:sz w:val="21"/>
      <w:szCs w:val="24"/>
    </w:rPr>
  </w:style>
  <w:style w:type="paragraph" w:customStyle="1" w:styleId="240">
    <w:name w:val="招标文件正文"/>
    <w:autoRedefine/>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41">
    <w:name w:val="P1"/>
    <w:autoRedefine/>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42">
    <w:name w:val="编号列表"/>
    <w:basedOn w:val="1"/>
    <w:autoRedefine/>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243">
    <w:name w:val="xl45"/>
    <w:basedOn w:val="1"/>
    <w:autoRedefine/>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244">
    <w:name w:val="表格项目符号 2"/>
    <w:basedOn w:val="25"/>
    <w:autoRedefine/>
    <w:qFormat/>
    <w:uiPriority w:val="99"/>
    <w:pPr>
      <w:keepLines w:val="0"/>
      <w:tabs>
        <w:tab w:val="left" w:pos="624"/>
        <w:tab w:val="left" w:pos="720"/>
        <w:tab w:val="clear" w:pos="780"/>
      </w:tabs>
      <w:snapToGrid w:val="0"/>
      <w:spacing w:line="300" w:lineRule="auto"/>
      <w:ind w:left="623" w:hanging="374"/>
    </w:pPr>
    <w:rPr>
      <w:rFonts w:ascii="Times New Roman"/>
      <w:sz w:val="21"/>
      <w:szCs w:val="24"/>
    </w:rPr>
  </w:style>
  <w:style w:type="paragraph" w:customStyle="1" w:styleId="245">
    <w:name w:val="招标文件1.1"/>
    <w:autoRedefine/>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246">
    <w:name w:val="Heading B"/>
    <w:basedOn w:val="4"/>
    <w:next w:val="21"/>
    <w:autoRedefine/>
    <w:qFormat/>
    <w:uiPriority w:val="99"/>
    <w:pPr>
      <w:keepLines w:val="0"/>
      <w:widowControl/>
      <w:pBdr>
        <w:top w:val="single" w:color="auto" w:sz="6" w:space="1"/>
      </w:pBdr>
      <w:tabs>
        <w:tab w:val="left" w:pos="435"/>
      </w:tabs>
      <w:overflowPunct w:val="0"/>
      <w:autoSpaceDE w:val="0"/>
      <w:autoSpaceDN w:val="0"/>
      <w:adjustRightInd w:val="0"/>
      <w:spacing w:before="425" w:after="113" w:line="240" w:lineRule="auto"/>
      <w:jc w:val="left"/>
      <w:textAlignment w:val="baseline"/>
      <w:outlineLvl w:val="9"/>
    </w:pPr>
    <w:rPr>
      <w:rFonts w:eastAsia="仿宋_GB2312" w:cs="Arial"/>
      <w:b/>
      <w:bCs w:val="0"/>
      <w:kern w:val="0"/>
      <w:szCs w:val="20"/>
    </w:rPr>
  </w:style>
  <w:style w:type="paragraph" w:customStyle="1" w:styleId="247">
    <w:name w:val="Table Heading"/>
    <w:basedOn w:val="235"/>
    <w:autoRedefine/>
    <w:qFormat/>
    <w:uiPriority w:val="0"/>
    <w:pPr>
      <w:autoSpaceDE/>
      <w:autoSpaceDN/>
      <w:spacing w:line="288" w:lineRule="auto"/>
      <w:jc w:val="center"/>
    </w:pPr>
    <w:rPr>
      <w:rFonts w:ascii="宋体" w:hAnsi="宋体"/>
      <w:b/>
    </w:rPr>
  </w:style>
  <w:style w:type="paragraph" w:customStyle="1" w:styleId="248">
    <w:name w:val="Heading A"/>
    <w:basedOn w:val="3"/>
    <w:next w:val="21"/>
    <w:autoRedefine/>
    <w:qFormat/>
    <w:uiPriority w:val="99"/>
    <w:pPr>
      <w:widowControl/>
      <w:tabs>
        <w:tab w:val="left" w:pos="435"/>
      </w:tabs>
      <w:overflowPunct w:val="0"/>
      <w:autoSpaceDE w:val="0"/>
      <w:autoSpaceDN w:val="0"/>
      <w:adjustRightInd w:val="0"/>
      <w:spacing w:before="142" w:after="113"/>
      <w:jc w:val="left"/>
      <w:textAlignment w:val="baseline"/>
      <w:outlineLvl w:val="9"/>
    </w:pPr>
    <w:rPr>
      <w:rFonts w:ascii="Arial" w:hAnsi="Arial" w:eastAsia="仿宋_GB2312" w:cs="Arial"/>
      <w:b/>
      <w:bCs w:val="0"/>
      <w:kern w:val="28"/>
      <w:sz w:val="36"/>
      <w:szCs w:val="20"/>
    </w:rPr>
  </w:style>
  <w:style w:type="paragraph" w:customStyle="1" w:styleId="249">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50">
    <w:name w:val="标题5"/>
    <w:basedOn w:val="1"/>
    <w:autoRedefine/>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251">
    <w:name w:val="xl53"/>
    <w:basedOn w:val="1"/>
    <w:autoRedefine/>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prop1"/>
    <w:basedOn w:val="2"/>
    <w:autoRedefine/>
    <w:qFormat/>
    <w:uiPriority w:val="99"/>
    <w:pPr>
      <w:keepLines/>
      <w:tabs>
        <w:tab w:val="left" w:pos="540"/>
      </w:tabs>
      <w:spacing w:before="280" w:after="290" w:line="360" w:lineRule="auto"/>
      <w:ind w:left="540" w:hanging="540"/>
    </w:pPr>
    <w:rPr>
      <w:rFonts w:ascii="Arial" w:hAnsi="Arial" w:eastAsia="黑体"/>
      <w:b/>
      <w:sz w:val="20"/>
    </w:rPr>
  </w:style>
  <w:style w:type="paragraph" w:customStyle="1" w:styleId="253">
    <w:name w:val="Char1 Char Char Char Char Char Char"/>
    <w:basedOn w:val="1"/>
    <w:autoRedefine/>
    <w:qFormat/>
    <w:uiPriority w:val="99"/>
    <w:rPr>
      <w:rFonts w:ascii="Tahoma" w:hAnsi="Tahoma"/>
      <w:sz w:val="24"/>
      <w:szCs w:val="20"/>
    </w:rPr>
  </w:style>
  <w:style w:type="paragraph" w:customStyle="1" w:styleId="254">
    <w:name w:val="Char Char2 Char Char Char Char Char Char"/>
    <w:basedOn w:val="1"/>
    <w:autoRedefine/>
    <w:qFormat/>
    <w:uiPriority w:val="99"/>
    <w:pPr>
      <w:tabs>
        <w:tab w:val="left" w:pos="360"/>
      </w:tabs>
      <w:ind w:firstLine="420" w:firstLineChars="150"/>
    </w:pPr>
    <w:rPr>
      <w:rFonts w:ascii="Arial" w:hAnsi="Arial" w:cs="Arial"/>
      <w:sz w:val="20"/>
      <w:szCs w:val="20"/>
    </w:rPr>
  </w:style>
  <w:style w:type="paragraph" w:customStyle="1" w:styleId="255">
    <w:name w:val="招标文件1"/>
    <w:basedOn w:val="1"/>
    <w:autoRedefine/>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256">
    <w:name w:val="xl47"/>
    <w:basedOn w:val="1"/>
    <w:autoRedefine/>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57">
    <w:name w:val="c"/>
    <w:autoRedefine/>
    <w:qFormat/>
    <w:uiPriority w:val="99"/>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8">
    <w:name w:val="CN Title"/>
    <w:basedOn w:val="1"/>
    <w:autoRedefine/>
    <w:qFormat/>
    <w:uiPriority w:val="99"/>
    <w:pPr>
      <w:widowControl/>
      <w:tabs>
        <w:tab w:val="left" w:pos="720"/>
      </w:tabs>
      <w:spacing w:before="144" w:after="72"/>
      <w:ind w:left="720" w:hanging="360"/>
      <w:jc w:val="center"/>
    </w:pPr>
    <w:rPr>
      <w:b/>
      <w:bCs/>
      <w:kern w:val="0"/>
      <w:sz w:val="28"/>
      <w:szCs w:val="28"/>
    </w:rPr>
  </w:style>
  <w:style w:type="paragraph" w:customStyle="1" w:styleId="259">
    <w:name w:val="P5"/>
    <w:autoRedefine/>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GB" w:eastAsia="zh-TW" w:bidi="ar-SA"/>
    </w:rPr>
  </w:style>
  <w:style w:type="paragraph" w:customStyle="1" w:styleId="260">
    <w:name w:val="xl3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261">
    <w:name w:val="空项目内容"/>
    <w:basedOn w:val="1"/>
    <w:autoRedefine/>
    <w:qFormat/>
    <w:uiPriority w:val="99"/>
    <w:pPr>
      <w:tabs>
        <w:tab w:val="left" w:pos="720"/>
      </w:tabs>
      <w:spacing w:line="360" w:lineRule="auto"/>
      <w:ind w:left="720" w:hanging="720"/>
    </w:pPr>
    <w:rPr>
      <w:sz w:val="24"/>
    </w:rPr>
  </w:style>
  <w:style w:type="paragraph" w:customStyle="1" w:styleId="262">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263">
    <w:name w:val="Body"/>
    <w:basedOn w:val="1"/>
    <w:next w:val="1"/>
    <w:autoRedefine/>
    <w:qFormat/>
    <w:uiPriority w:val="99"/>
    <w:pPr>
      <w:autoSpaceDE w:val="0"/>
      <w:autoSpaceDN w:val="0"/>
      <w:adjustRightInd w:val="0"/>
      <w:spacing w:after="140"/>
      <w:jc w:val="left"/>
    </w:pPr>
    <w:rPr>
      <w:rFonts w:ascii="Arial" w:hAnsi="Arial" w:cs="Arial"/>
      <w:kern w:val="0"/>
      <w:sz w:val="24"/>
    </w:rPr>
  </w:style>
  <w:style w:type="paragraph" w:customStyle="1" w:styleId="264">
    <w:name w:val="Char2"/>
    <w:basedOn w:val="1"/>
    <w:autoRedefine/>
    <w:qFormat/>
    <w:uiPriority w:val="99"/>
    <w:pPr>
      <w:spacing w:line="360" w:lineRule="auto"/>
      <w:ind w:firstLine="200" w:firstLineChars="200"/>
    </w:pPr>
    <w:rPr>
      <w:rFonts w:ascii="Tahoma" w:hAnsi="Tahoma"/>
      <w:sz w:val="24"/>
      <w:szCs w:val="20"/>
    </w:rPr>
  </w:style>
  <w:style w:type="paragraph" w:customStyle="1" w:styleId="265">
    <w:name w:val="标题下列示"/>
    <w:basedOn w:val="266"/>
    <w:next w:val="267"/>
    <w:autoRedefine/>
    <w:qFormat/>
    <w:uiPriority w:val="99"/>
    <w:pPr>
      <w:tabs>
        <w:tab w:val="left" w:pos="420"/>
        <w:tab w:val="left" w:pos="1680"/>
      </w:tabs>
      <w:ind w:left="1680"/>
    </w:pPr>
  </w:style>
  <w:style w:type="paragraph" w:customStyle="1" w:styleId="266">
    <w:name w:val="标题下顺序"/>
    <w:basedOn w:val="1"/>
    <w:autoRedefine/>
    <w:qFormat/>
    <w:uiPriority w:val="99"/>
    <w:pPr>
      <w:tabs>
        <w:tab w:val="left" w:pos="420"/>
      </w:tabs>
      <w:spacing w:beforeLines="50" w:line="240" w:lineRule="atLeast"/>
      <w:ind w:left="420" w:hanging="420"/>
    </w:pPr>
    <w:rPr>
      <w:rFonts w:ascii="宋体" w:hAnsi="宋体"/>
      <w:sz w:val="28"/>
      <w:szCs w:val="20"/>
    </w:rPr>
  </w:style>
  <w:style w:type="paragraph" w:customStyle="1" w:styleId="267">
    <w:name w:val="标题下顺序正文"/>
    <w:basedOn w:val="1"/>
    <w:autoRedefine/>
    <w:qFormat/>
    <w:uiPriority w:val="99"/>
    <w:pPr>
      <w:spacing w:beforeLines="50" w:line="240" w:lineRule="atLeast"/>
      <w:ind w:left="1049" w:leftChars="437" w:firstLine="1"/>
    </w:pPr>
    <w:rPr>
      <w:rFonts w:ascii="宋体"/>
      <w:sz w:val="24"/>
      <w:szCs w:val="20"/>
    </w:rPr>
  </w:style>
  <w:style w:type="paragraph" w:customStyle="1" w:styleId="268">
    <w:name w:val="图片"/>
    <w:basedOn w:val="1"/>
    <w:next w:val="269"/>
    <w:autoRedefine/>
    <w:qFormat/>
    <w:uiPriority w:val="99"/>
    <w:pPr>
      <w:spacing w:beforeLines="50" w:afterLines="50"/>
      <w:jc w:val="center"/>
    </w:pPr>
  </w:style>
  <w:style w:type="paragraph" w:customStyle="1" w:styleId="269">
    <w:name w:val="图名"/>
    <w:basedOn w:val="1"/>
    <w:next w:val="15"/>
    <w:autoRedefine/>
    <w:qFormat/>
    <w:uiPriority w:val="99"/>
    <w:pPr>
      <w:spacing w:line="360" w:lineRule="auto"/>
      <w:jc w:val="center"/>
    </w:pPr>
    <w:rPr>
      <w:rFonts w:ascii="Arial" w:hAnsi="Arial" w:eastAsia="黑体"/>
      <w:b/>
    </w:rPr>
  </w:style>
  <w:style w:type="paragraph" w:customStyle="1" w:styleId="270">
    <w:name w:val="日期1"/>
    <w:basedOn w:val="1"/>
    <w:next w:val="1"/>
    <w:autoRedefine/>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271">
    <w:name w:val="正文带点"/>
    <w:basedOn w:val="1"/>
    <w:autoRedefine/>
    <w:qFormat/>
    <w:uiPriority w:val="99"/>
    <w:pPr>
      <w:tabs>
        <w:tab w:val="left" w:pos="927"/>
      </w:tabs>
      <w:spacing w:line="360" w:lineRule="auto"/>
      <w:ind w:left="567"/>
      <w:jc w:val="left"/>
    </w:pPr>
    <w:rPr>
      <w:rFonts w:ascii="楷体_GB2312" w:eastAsia="楷体_GB2312"/>
      <w:bCs/>
      <w:sz w:val="28"/>
    </w:rPr>
  </w:style>
  <w:style w:type="paragraph" w:customStyle="1" w:styleId="272">
    <w:name w:val="xl3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73">
    <w:name w:val="一级标题"/>
    <w:basedOn w:val="17"/>
    <w:autoRedefine/>
    <w:semiHidden/>
    <w:qFormat/>
    <w:uiPriority w:val="99"/>
    <w:pPr>
      <w:shd w:val="clear" w:color="auto" w:fill="000080"/>
      <w:adjustRightInd w:val="0"/>
      <w:spacing w:line="360" w:lineRule="auto"/>
      <w:ind w:left="1985" w:hanging="709"/>
      <w:jc w:val="center"/>
      <w:outlineLvl w:val="3"/>
    </w:pPr>
    <w:rPr>
      <w:rFonts w:ascii="Tahoma" w:hAnsi="Tahoma"/>
      <w:kern w:val="0"/>
      <w:sz w:val="24"/>
      <w:szCs w:val="24"/>
    </w:rPr>
  </w:style>
  <w:style w:type="paragraph" w:customStyle="1" w:styleId="274">
    <w:name w:val="xl24"/>
    <w:basedOn w:val="1"/>
    <w:autoRedefine/>
    <w:qFormat/>
    <w:uiPriority w:val="99"/>
    <w:pPr>
      <w:widowControl/>
      <w:spacing w:before="100" w:beforeAutospacing="1" w:after="100" w:afterAutospacing="1"/>
      <w:jc w:val="left"/>
    </w:pPr>
    <w:rPr>
      <w:rFonts w:ascii="宋体" w:hAnsi="宋体" w:cs="Arial Unicode MS"/>
      <w:kern w:val="0"/>
      <w:sz w:val="24"/>
    </w:rPr>
  </w:style>
  <w:style w:type="paragraph" w:customStyle="1" w:styleId="275">
    <w:name w:val="P3"/>
    <w:autoRedefine/>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276">
    <w:name w:val="正文文字(ALT+W)"/>
    <w:basedOn w:val="1"/>
    <w:next w:val="15"/>
    <w:autoRedefine/>
    <w:qFormat/>
    <w:uiPriority w:val="99"/>
    <w:pPr>
      <w:adjustRightInd w:val="0"/>
      <w:snapToGrid w:val="0"/>
      <w:spacing w:line="360" w:lineRule="auto"/>
      <w:ind w:firstLine="420"/>
    </w:pPr>
    <w:rPr>
      <w:sz w:val="24"/>
      <w:szCs w:val="20"/>
    </w:rPr>
  </w:style>
  <w:style w:type="paragraph" w:customStyle="1" w:styleId="277">
    <w:name w:val="黑列表"/>
    <w:basedOn w:val="1"/>
    <w:autoRedefine/>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278">
    <w:name w:val="项目"/>
    <w:basedOn w:val="22"/>
    <w:autoRedefine/>
    <w:qFormat/>
    <w:uiPriority w:val="99"/>
    <w:pPr>
      <w:autoSpaceDE/>
      <w:autoSpaceDN/>
      <w:adjustRightInd/>
      <w:spacing w:line="240" w:lineRule="auto"/>
      <w:ind w:left="0"/>
      <w:jc w:val="center"/>
    </w:pPr>
    <w:rPr>
      <w:b/>
      <w:sz w:val="24"/>
    </w:rPr>
  </w:style>
  <w:style w:type="paragraph" w:customStyle="1" w:styleId="279">
    <w:name w:val="招标文件1.1.1"/>
    <w:autoRedefine/>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80">
    <w:name w:val="xl46"/>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81">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282">
    <w:name w:val="Char Char Char Char Char Char1 Char Char Char Char Char Char"/>
    <w:basedOn w:val="1"/>
    <w:autoRedefine/>
    <w:qFormat/>
    <w:uiPriority w:val="99"/>
    <w:rPr>
      <w:rFonts w:ascii="Tahoma" w:hAnsi="Tahoma"/>
      <w:sz w:val="24"/>
      <w:szCs w:val="20"/>
    </w:rPr>
  </w:style>
  <w:style w:type="paragraph" w:customStyle="1" w:styleId="283">
    <w:name w:val="xl48"/>
    <w:basedOn w:val="1"/>
    <w:autoRedefine/>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284">
    <w:name w:val="xl3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285">
    <w:name w:val="MM Topic 3"/>
    <w:basedOn w:val="2"/>
    <w:autoRedefine/>
    <w:qFormat/>
    <w:uiPriority w:val="0"/>
    <w:pPr>
      <w:keepLines/>
      <w:tabs>
        <w:tab w:val="left" w:pos="1418"/>
      </w:tabs>
      <w:adjustRightInd w:val="0"/>
      <w:spacing w:beforeLines="50" w:line="300" w:lineRule="auto"/>
      <w:ind w:left="1260" w:hanging="420"/>
    </w:pPr>
    <w:rPr>
      <w:rFonts w:hAnsi="Arial" w:eastAsia="黑体"/>
      <w:sz w:val="24"/>
    </w:rPr>
  </w:style>
  <w:style w:type="paragraph" w:customStyle="1" w:styleId="286">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287">
    <w:name w:val="Bullet2"/>
    <w:basedOn w:val="1"/>
    <w:next w:val="1"/>
    <w:autoRedefine/>
    <w:qFormat/>
    <w:uiPriority w:val="99"/>
    <w:pPr>
      <w:autoSpaceDE w:val="0"/>
      <w:autoSpaceDN w:val="0"/>
      <w:adjustRightInd w:val="0"/>
      <w:spacing w:after="60"/>
      <w:jc w:val="left"/>
    </w:pPr>
    <w:rPr>
      <w:rFonts w:ascii="Arial" w:hAnsi="Arial" w:cs="Arial"/>
      <w:kern w:val="0"/>
      <w:sz w:val="24"/>
    </w:rPr>
  </w:style>
  <w:style w:type="paragraph" w:customStyle="1" w:styleId="288">
    <w:name w:val="font8"/>
    <w:basedOn w:val="1"/>
    <w:autoRedefine/>
    <w:qFormat/>
    <w:uiPriority w:val="99"/>
    <w:pPr>
      <w:widowControl/>
      <w:spacing w:before="100" w:beforeAutospacing="1" w:after="100" w:afterAutospacing="1"/>
      <w:jc w:val="left"/>
    </w:pPr>
    <w:rPr>
      <w:rFonts w:ascii="宋体" w:hAnsi="宋体"/>
      <w:b/>
      <w:bCs/>
      <w:kern w:val="0"/>
      <w:sz w:val="20"/>
      <w:szCs w:val="20"/>
    </w:rPr>
  </w:style>
  <w:style w:type="paragraph" w:customStyle="1" w:styleId="289">
    <w:name w:val="文本框样式1"/>
    <w:basedOn w:val="1"/>
    <w:autoRedefine/>
    <w:qFormat/>
    <w:uiPriority w:val="99"/>
    <w:pPr>
      <w:adjustRightInd w:val="0"/>
      <w:snapToGrid w:val="0"/>
      <w:spacing w:before="60" w:line="180" w:lineRule="exact"/>
      <w:jc w:val="center"/>
    </w:pPr>
    <w:rPr>
      <w:szCs w:val="21"/>
    </w:rPr>
  </w:style>
  <w:style w:type="paragraph" w:customStyle="1" w:styleId="290">
    <w:name w:val="aria"/>
    <w:basedOn w:val="1"/>
    <w:autoRedefine/>
    <w:qFormat/>
    <w:uiPriority w:val="99"/>
    <w:pPr>
      <w:spacing w:line="360" w:lineRule="auto"/>
    </w:pPr>
    <w:rPr>
      <w:b/>
      <w:sz w:val="24"/>
    </w:rPr>
  </w:style>
  <w:style w:type="paragraph" w:customStyle="1" w:styleId="291">
    <w:name w:val="首行缩进 1"/>
    <w:basedOn w:val="1"/>
    <w:autoRedefine/>
    <w:qFormat/>
    <w:uiPriority w:val="99"/>
    <w:pPr>
      <w:spacing w:after="120" w:line="360" w:lineRule="auto"/>
      <w:ind w:firstLine="200" w:firstLineChars="200"/>
    </w:pPr>
    <w:rPr>
      <w:sz w:val="24"/>
    </w:rPr>
  </w:style>
  <w:style w:type="paragraph" w:customStyle="1" w:styleId="292">
    <w:name w:val="P2"/>
    <w:autoRedefine/>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293">
    <w:name w:val="表格"/>
    <w:basedOn w:val="1"/>
    <w:autoRedefine/>
    <w:qFormat/>
    <w:uiPriority w:val="99"/>
    <w:pPr>
      <w:jc w:val="left"/>
    </w:pPr>
    <w:rPr>
      <w:bCs/>
      <w:color w:val="000000"/>
      <w:szCs w:val="21"/>
    </w:rPr>
  </w:style>
  <w:style w:type="paragraph" w:customStyle="1" w:styleId="294">
    <w:name w:val="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295">
    <w:name w:val="彩色底纹 - 强调文字颜色 11"/>
    <w:autoRedefine/>
    <w:semiHidden/>
    <w:qFormat/>
    <w:uiPriority w:val="99"/>
    <w:rPr>
      <w:rFonts w:ascii="Times New Roman" w:hAnsi="Times New Roman" w:eastAsia="宋体" w:cs="Times New Roman"/>
      <w:kern w:val="2"/>
      <w:sz w:val="21"/>
      <w:lang w:val="en-US" w:eastAsia="zh-CN" w:bidi="ar-SA"/>
    </w:rPr>
  </w:style>
  <w:style w:type="paragraph" w:customStyle="1" w:styleId="296">
    <w:name w:val="缺省文本"/>
    <w:basedOn w:val="1"/>
    <w:autoRedefine/>
    <w:qFormat/>
    <w:uiPriority w:val="99"/>
    <w:pPr>
      <w:autoSpaceDE w:val="0"/>
      <w:autoSpaceDN w:val="0"/>
      <w:adjustRightInd w:val="0"/>
      <w:jc w:val="left"/>
    </w:pPr>
    <w:rPr>
      <w:kern w:val="0"/>
      <w:sz w:val="24"/>
      <w:szCs w:val="20"/>
    </w:rPr>
  </w:style>
  <w:style w:type="paragraph" w:customStyle="1" w:styleId="297">
    <w:name w:val="序4"/>
    <w:basedOn w:val="1"/>
    <w:autoRedefine/>
    <w:qFormat/>
    <w:uiPriority w:val="99"/>
    <w:pPr>
      <w:tabs>
        <w:tab w:val="left" w:pos="1680"/>
      </w:tabs>
      <w:spacing w:before="120"/>
      <w:ind w:left="1680" w:hanging="420"/>
      <w:jc w:val="left"/>
    </w:pPr>
    <w:rPr>
      <w:rFonts w:eastAsia="黑体"/>
      <w:b/>
      <w:bCs/>
      <w:caps/>
      <w:sz w:val="24"/>
    </w:rPr>
  </w:style>
  <w:style w:type="paragraph" w:customStyle="1" w:styleId="298">
    <w:name w:val="我的正文下级"/>
    <w:basedOn w:val="1"/>
    <w:autoRedefine/>
    <w:qFormat/>
    <w:uiPriority w:val="99"/>
    <w:rPr>
      <w:rFonts w:ascii="仿宋_GB2312" w:hAnsi="宋体" w:eastAsia="仿宋_GB2312"/>
      <w:kern w:val="0"/>
      <w:sz w:val="28"/>
    </w:rPr>
  </w:style>
  <w:style w:type="paragraph" w:customStyle="1" w:styleId="299">
    <w:name w:val="黑正文"/>
    <w:basedOn w:val="1"/>
    <w:autoRedefine/>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300">
    <w:name w:val="序3"/>
    <w:basedOn w:val="1"/>
    <w:autoRedefine/>
    <w:qFormat/>
    <w:uiPriority w:val="99"/>
    <w:pPr>
      <w:tabs>
        <w:tab w:val="left" w:pos="0"/>
        <w:tab w:val="left" w:pos="643"/>
      </w:tabs>
      <w:ind w:left="643" w:hanging="360"/>
    </w:pPr>
    <w:rPr>
      <w:rFonts w:eastAsia="楷体_GB2312"/>
      <w:b/>
      <w:bCs/>
      <w:sz w:val="32"/>
    </w:rPr>
  </w:style>
  <w:style w:type="paragraph" w:customStyle="1" w:styleId="301">
    <w:name w:val="Char Char1 Char Char Char Char1 Char Char Char Char Char Char Char Char Char Char Char Char"/>
    <w:basedOn w:val="1"/>
    <w:autoRedefine/>
    <w:qFormat/>
    <w:uiPriority w:val="99"/>
    <w:rPr>
      <w:rFonts w:ascii="Tahoma" w:hAnsi="Tahoma"/>
      <w:sz w:val="24"/>
      <w:szCs w:val="20"/>
    </w:rPr>
  </w:style>
  <w:style w:type="paragraph" w:customStyle="1" w:styleId="302">
    <w:name w:val="xl43"/>
    <w:basedOn w:val="1"/>
    <w:autoRedefine/>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303">
    <w:name w:val="EmailStyle2"/>
    <w:basedOn w:val="1"/>
    <w:next w:val="1"/>
    <w:autoRedefine/>
    <w:qFormat/>
    <w:uiPriority w:val="0"/>
    <w:pPr>
      <w:keepNext/>
      <w:keepLines/>
      <w:adjustRightInd w:val="0"/>
      <w:spacing w:before="160" w:after="160" w:line="160" w:lineRule="atLeast"/>
      <w:ind w:left="851" w:hanging="851"/>
      <w:textAlignment w:val="baseline"/>
      <w:outlineLvl w:val="1"/>
    </w:pPr>
    <w:rPr>
      <w:rFonts w:ascii="黑体" w:hAnsi="Tahoma" w:eastAsia="黑体" w:cs="Tahoma"/>
      <w:b/>
      <w:sz w:val="28"/>
    </w:rPr>
  </w:style>
  <w:style w:type="paragraph" w:customStyle="1" w:styleId="304">
    <w:name w:val="Reader's comments"/>
    <w:basedOn w:val="1"/>
    <w:autoRedefine/>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305">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06">
    <w:name w:val="黑正文次级"/>
    <w:basedOn w:val="1"/>
    <w:autoRedefine/>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307">
    <w:name w:val="*8. General Text"/>
    <w:basedOn w:val="124"/>
    <w:next w:val="124"/>
    <w:autoRedefine/>
    <w:qFormat/>
    <w:uiPriority w:val="99"/>
    <w:pPr>
      <w:spacing w:after="120"/>
    </w:pPr>
    <w:rPr>
      <w:color w:val="auto"/>
    </w:rPr>
  </w:style>
  <w:style w:type="paragraph" w:customStyle="1" w:styleId="308">
    <w:name w:val="font9"/>
    <w:basedOn w:val="1"/>
    <w:autoRedefine/>
    <w:qFormat/>
    <w:uiPriority w:val="99"/>
    <w:pPr>
      <w:widowControl/>
      <w:spacing w:before="100" w:beforeAutospacing="1" w:after="100" w:afterAutospacing="1"/>
      <w:jc w:val="left"/>
    </w:pPr>
    <w:rPr>
      <w:rFonts w:ascii="华文楷体" w:hAnsi="华文楷体" w:eastAsia="华文楷体"/>
      <w:b/>
      <w:bCs/>
      <w:kern w:val="0"/>
      <w:sz w:val="20"/>
      <w:szCs w:val="20"/>
    </w:rPr>
  </w:style>
  <w:style w:type="paragraph" w:customStyle="1" w:styleId="309">
    <w:name w:val="样式2"/>
    <w:basedOn w:val="3"/>
    <w:autoRedefine/>
    <w:qFormat/>
    <w:uiPriority w:val="99"/>
    <w:pPr>
      <w:tabs>
        <w:tab w:val="left" w:pos="840"/>
      </w:tabs>
      <w:adjustRightInd w:val="0"/>
      <w:snapToGrid w:val="0"/>
      <w:spacing w:before="240" w:after="240"/>
      <w:ind w:left="840" w:hanging="420"/>
      <w:jc w:val="both"/>
    </w:pPr>
    <w:rPr>
      <w:sz w:val="24"/>
      <w:szCs w:val="28"/>
    </w:rPr>
  </w:style>
  <w:style w:type="paragraph" w:customStyle="1" w:styleId="310">
    <w:name w:val="font0"/>
    <w:basedOn w:val="1"/>
    <w:autoRedefine/>
    <w:qFormat/>
    <w:uiPriority w:val="99"/>
    <w:pPr>
      <w:widowControl/>
      <w:spacing w:before="100" w:beforeAutospacing="1" w:after="100" w:afterAutospacing="1"/>
      <w:jc w:val="left"/>
    </w:pPr>
    <w:rPr>
      <w:rFonts w:ascii="Arial" w:hAnsi="Arial" w:eastAsia="Arial Unicode MS" w:cs="Arial"/>
      <w:kern w:val="0"/>
      <w:sz w:val="20"/>
      <w:szCs w:val="20"/>
    </w:rPr>
  </w:style>
  <w:style w:type="paragraph" w:customStyle="1" w:styleId="311">
    <w:name w:val="section list2"/>
    <w:basedOn w:val="1"/>
    <w:autoRedefine/>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312">
    <w:name w:val="注释文字"/>
    <w:basedOn w:val="1"/>
    <w:autoRedefine/>
    <w:qFormat/>
    <w:uiPriority w:val="99"/>
    <w:pPr>
      <w:tabs>
        <w:tab w:val="left" w:pos="620"/>
        <w:tab w:val="left" w:pos="720"/>
      </w:tabs>
      <w:ind w:left="620" w:hanging="420"/>
      <w:jc w:val="left"/>
    </w:pPr>
    <w:rPr>
      <w:color w:val="008080"/>
      <w:sz w:val="24"/>
      <w:u w:val="words"/>
    </w:rPr>
  </w:style>
  <w:style w:type="paragraph" w:customStyle="1" w:styleId="313">
    <w:name w:val="可研正文"/>
    <w:basedOn w:val="21"/>
    <w:autoRedefine/>
    <w:qFormat/>
    <w:uiPriority w:val="99"/>
    <w:pPr>
      <w:adjustRightInd w:val="0"/>
      <w:snapToGrid w:val="0"/>
      <w:spacing w:line="440" w:lineRule="exact"/>
      <w:ind w:firstLine="567"/>
    </w:pPr>
    <w:rPr>
      <w:rFonts w:ascii="仿宋_GB2312" w:eastAsia="仿宋_GB2312"/>
      <w:kern w:val="0"/>
    </w:rPr>
  </w:style>
  <w:style w:type="paragraph" w:customStyle="1" w:styleId="314">
    <w:name w:val="表格文字（大）"/>
    <w:basedOn w:val="1"/>
    <w:autoRedefine/>
    <w:qFormat/>
    <w:uiPriority w:val="99"/>
    <w:pPr>
      <w:spacing w:before="20" w:after="20"/>
    </w:pPr>
    <w:rPr>
      <w:rFonts w:ascii="Century Gothic" w:hAnsi="Century Gothic"/>
      <w:sz w:val="24"/>
      <w:szCs w:val="20"/>
    </w:rPr>
  </w:style>
  <w:style w:type="paragraph" w:customStyle="1" w:styleId="315">
    <w:name w:val="Char1 Char Char Char Char Char Char Char Char Char Char Char Char Char"/>
    <w:basedOn w:val="1"/>
    <w:autoRedefine/>
    <w:qFormat/>
    <w:uiPriority w:val="99"/>
    <w:pPr>
      <w:adjustRightInd w:val="0"/>
      <w:spacing w:line="360" w:lineRule="auto"/>
    </w:pPr>
    <w:rPr>
      <w:kern w:val="0"/>
      <w:sz w:val="24"/>
      <w:szCs w:val="20"/>
    </w:rPr>
  </w:style>
  <w:style w:type="paragraph" w:customStyle="1" w:styleId="316">
    <w:name w:val="xl27"/>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7">
    <w:name w:val="标题四"/>
    <w:basedOn w:val="5"/>
    <w:autoRedefine/>
    <w:qFormat/>
    <w:uiPriority w:val="99"/>
    <w:pPr>
      <w:autoSpaceDE/>
      <w:autoSpaceDN/>
      <w:adjustRightInd/>
      <w:spacing w:before="260" w:after="260" w:line="416" w:lineRule="auto"/>
    </w:pPr>
    <w:rPr>
      <w:rFonts w:ascii="Times New Roman" w:eastAsia="宋体"/>
      <w:b/>
      <w:bCs/>
      <w:szCs w:val="32"/>
    </w:rPr>
  </w:style>
  <w:style w:type="paragraph" w:customStyle="1" w:styleId="318">
    <w:name w:val="xl4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319">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20">
    <w:name w:val="正文样式1"/>
    <w:basedOn w:val="1"/>
    <w:autoRedefine/>
    <w:qFormat/>
    <w:uiPriority w:val="99"/>
    <w:pPr>
      <w:spacing w:line="300" w:lineRule="auto"/>
      <w:ind w:firstLine="560" w:firstLineChars="200"/>
    </w:pPr>
    <w:rPr>
      <w:rFonts w:ascii="楷体_GB2312" w:eastAsia="楷体_GB2312"/>
      <w:kern w:val="0"/>
      <w:sz w:val="28"/>
    </w:rPr>
  </w:style>
  <w:style w:type="paragraph" w:customStyle="1" w:styleId="321">
    <w:name w:val="规范正文"/>
    <w:basedOn w:val="1"/>
    <w:autoRedefine/>
    <w:qFormat/>
    <w:uiPriority w:val="99"/>
    <w:pPr>
      <w:tabs>
        <w:tab w:val="left" w:pos="900"/>
      </w:tabs>
      <w:adjustRightInd w:val="0"/>
      <w:spacing w:beforeLines="50" w:line="360" w:lineRule="auto"/>
      <w:ind w:left="900" w:hanging="420"/>
      <w:textAlignment w:val="baseline"/>
    </w:pPr>
    <w:rPr>
      <w:szCs w:val="20"/>
    </w:rPr>
  </w:style>
  <w:style w:type="paragraph" w:customStyle="1" w:styleId="322">
    <w:name w:val="xl49"/>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323">
    <w:name w:val="gczx正文"/>
    <w:basedOn w:val="1"/>
    <w:autoRedefine/>
    <w:qFormat/>
    <w:uiPriority w:val="99"/>
    <w:pPr>
      <w:spacing w:beforeLines="25" w:afterLines="25" w:line="440" w:lineRule="exact"/>
      <w:ind w:firstLine="200" w:firstLineChars="200"/>
    </w:pPr>
    <w:rPr>
      <w:sz w:val="24"/>
      <w:szCs w:val="20"/>
    </w:rPr>
  </w:style>
  <w:style w:type="paragraph" w:customStyle="1" w:styleId="324">
    <w:name w:val="Char1 Char Char Char Char Char"/>
    <w:basedOn w:val="1"/>
    <w:autoRedefine/>
    <w:qFormat/>
    <w:uiPriority w:val="99"/>
    <w:pPr>
      <w:adjustRightInd w:val="0"/>
    </w:pPr>
    <w:rPr>
      <w:rFonts w:ascii="Tahoma" w:hAnsi="Tahoma"/>
      <w:sz w:val="24"/>
      <w:szCs w:val="20"/>
    </w:rPr>
  </w:style>
  <w:style w:type="paragraph" w:customStyle="1" w:styleId="325">
    <w:name w:val="序2"/>
    <w:basedOn w:val="1"/>
    <w:autoRedefine/>
    <w:qFormat/>
    <w:uiPriority w:val="99"/>
    <w:pPr>
      <w:tabs>
        <w:tab w:val="left" w:pos="360"/>
        <w:tab w:val="left" w:pos="840"/>
      </w:tabs>
      <w:ind w:left="360" w:hanging="360"/>
    </w:pPr>
    <w:rPr>
      <w:rFonts w:eastAsia="黑体"/>
      <w:b/>
      <w:bCs/>
      <w:sz w:val="44"/>
    </w:rPr>
  </w:style>
  <w:style w:type="paragraph" w:customStyle="1" w:styleId="326">
    <w:name w:val="xl37"/>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327">
    <w:name w:val="P4"/>
    <w:autoRedefine/>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GB" w:eastAsia="zh-TW" w:bidi="ar-SA"/>
    </w:rPr>
  </w:style>
  <w:style w:type="paragraph" w:customStyle="1" w:styleId="328">
    <w:name w:val="段"/>
    <w:autoRedefine/>
    <w:qFormat/>
    <w:uiPriority w:val="0"/>
    <w:pPr>
      <w:widowControl w:val="0"/>
      <w:autoSpaceDE w:val="0"/>
      <w:autoSpaceDN w:val="0"/>
      <w:adjustRightInd w:val="0"/>
      <w:spacing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329">
    <w:name w:val="附录 Heading 2"/>
    <w:basedOn w:val="4"/>
    <w:autoRedefine/>
    <w:qFormat/>
    <w:uiPriority w:val="99"/>
    <w:pPr>
      <w:keepLines w:val="0"/>
      <w:widowControl/>
      <w:tabs>
        <w:tab w:val="left" w:pos="0"/>
        <w:tab w:val="left" w:pos="420"/>
      </w:tabs>
      <w:spacing w:before="480" w:after="120" w:line="288" w:lineRule="auto"/>
      <w:ind w:left="420" w:hanging="420"/>
      <w:jc w:val="left"/>
    </w:pPr>
    <w:rPr>
      <w:rFonts w:ascii="Microsoft Sans Serif" w:hAnsi="Microsoft Sans Serif" w:eastAsia="仿宋_GB2312" w:cs="Microsoft Sans Serif"/>
      <w:b/>
      <w:iCs/>
      <w:kern w:val="0"/>
      <w:szCs w:val="28"/>
    </w:rPr>
  </w:style>
  <w:style w:type="paragraph" w:customStyle="1" w:styleId="330">
    <w:name w:val="编号正文"/>
    <w:basedOn w:val="214"/>
    <w:autoRedefine/>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331">
    <w:name w:val="楷体粗正文文字"/>
    <w:basedOn w:val="1"/>
    <w:next w:val="45"/>
    <w:autoRedefine/>
    <w:qFormat/>
    <w:uiPriority w:val="99"/>
    <w:pPr>
      <w:snapToGrid w:val="0"/>
      <w:spacing w:line="480" w:lineRule="exact"/>
      <w:ind w:firstLine="560"/>
    </w:pPr>
    <w:rPr>
      <w:sz w:val="28"/>
      <w:szCs w:val="20"/>
    </w:rPr>
  </w:style>
  <w:style w:type="paragraph" w:customStyle="1" w:styleId="332">
    <w:name w:val="标题下列示顺序"/>
    <w:basedOn w:val="267"/>
    <w:autoRedefine/>
    <w:qFormat/>
    <w:uiPriority w:val="99"/>
    <w:pPr>
      <w:tabs>
        <w:tab w:val="left" w:pos="1680"/>
      </w:tabs>
      <w:ind w:left="1680" w:leftChars="0" w:hanging="420"/>
    </w:pPr>
  </w:style>
  <w:style w:type="paragraph" w:customStyle="1" w:styleId="333">
    <w:name w:val="xl68"/>
    <w:basedOn w:val="1"/>
    <w:autoRedefine/>
    <w:qFormat/>
    <w:uiPriority w:val="99"/>
    <w:pPr>
      <w:widowControl/>
      <w:spacing w:before="100" w:beforeAutospacing="1" w:after="100" w:afterAutospacing="1"/>
      <w:jc w:val="center"/>
    </w:pPr>
    <w:rPr>
      <w:rFonts w:ascii="Arial" w:hAnsi="Arial" w:cs="Arial"/>
      <w:kern w:val="0"/>
      <w:sz w:val="20"/>
      <w:szCs w:val="20"/>
    </w:rPr>
  </w:style>
  <w:style w:type="paragraph" w:customStyle="1" w:styleId="334">
    <w:name w:val="招标文件1）"/>
    <w:autoRedefine/>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335">
    <w:name w:val="招标文件》"/>
    <w:basedOn w:val="240"/>
    <w:autoRedefine/>
    <w:qFormat/>
    <w:uiPriority w:val="99"/>
    <w:pPr>
      <w:tabs>
        <w:tab w:val="left" w:pos="560"/>
      </w:tabs>
      <w:ind w:left="200" w:firstLine="0" w:firstLineChars="0"/>
    </w:pPr>
  </w:style>
  <w:style w:type="paragraph" w:customStyle="1" w:styleId="336">
    <w:name w:val="样式 样式 列项· + 段后: 0.5 行 + 段前: 0.5 行"/>
    <w:basedOn w:val="1"/>
    <w:autoRedefine/>
    <w:qFormat/>
    <w:uiPriority w:val="99"/>
    <w:pPr>
      <w:widowControl/>
      <w:tabs>
        <w:tab w:val="left" w:pos="814"/>
      </w:tabs>
      <w:spacing w:beforeLines="50"/>
      <w:ind w:firstLine="454"/>
      <w:jc w:val="left"/>
    </w:pPr>
    <w:rPr>
      <w:rFonts w:ascii="宋体" w:cs="宋体"/>
      <w:kern w:val="0"/>
      <w:sz w:val="24"/>
      <w:szCs w:val="20"/>
    </w:rPr>
  </w:style>
  <w:style w:type="paragraph" w:customStyle="1" w:styleId="337">
    <w:name w:val="font7"/>
    <w:basedOn w:val="1"/>
    <w:autoRedefine/>
    <w:qFormat/>
    <w:uiPriority w:val="99"/>
    <w:pPr>
      <w:widowControl/>
      <w:spacing w:before="100" w:beforeAutospacing="1" w:after="100" w:afterAutospacing="1"/>
      <w:jc w:val="left"/>
    </w:pPr>
    <w:rPr>
      <w:rFonts w:ascii="Arial" w:hAnsi="Arial" w:cs="Arial"/>
      <w:b/>
      <w:bCs/>
      <w:kern w:val="0"/>
      <w:sz w:val="20"/>
      <w:szCs w:val="20"/>
    </w:rPr>
  </w:style>
  <w:style w:type="paragraph" w:customStyle="1" w:styleId="338">
    <w:name w:val="1 Char"/>
    <w:basedOn w:val="1"/>
    <w:autoRedefine/>
    <w:qFormat/>
    <w:uiPriority w:val="99"/>
    <w:rPr>
      <w:rFonts w:ascii="Tahoma" w:hAnsi="Tahoma"/>
      <w:sz w:val="24"/>
      <w:szCs w:val="20"/>
    </w:rPr>
  </w:style>
  <w:style w:type="paragraph" w:customStyle="1" w:styleId="339">
    <w:name w:val="*4. Head 1"/>
    <w:basedOn w:val="124"/>
    <w:next w:val="124"/>
    <w:autoRedefine/>
    <w:qFormat/>
    <w:uiPriority w:val="99"/>
    <w:pPr>
      <w:spacing w:before="180" w:after="60"/>
    </w:pPr>
    <w:rPr>
      <w:rFonts w:ascii="Arial" w:hAnsi="Arial"/>
      <w:color w:val="auto"/>
    </w:rPr>
  </w:style>
  <w:style w:type="paragraph" w:customStyle="1" w:styleId="340">
    <w:name w:val="Default Text"/>
    <w:basedOn w:val="1"/>
    <w:autoRedefine/>
    <w:qFormat/>
    <w:uiPriority w:val="99"/>
    <w:pPr>
      <w:autoSpaceDE w:val="0"/>
      <w:autoSpaceDN w:val="0"/>
      <w:adjustRightInd w:val="0"/>
      <w:spacing w:after="100"/>
      <w:jc w:val="left"/>
    </w:pPr>
    <w:rPr>
      <w:rFonts w:ascii="Arial" w:hAnsi="Arial" w:cs="Arial"/>
      <w:kern w:val="0"/>
      <w:sz w:val="20"/>
      <w:szCs w:val="20"/>
    </w:rPr>
  </w:style>
  <w:style w:type="paragraph" w:customStyle="1" w:styleId="341">
    <w:name w:val="xl5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342">
    <w:name w:val="Bullet 1"/>
    <w:basedOn w:val="1"/>
    <w:autoRedefine/>
    <w:qFormat/>
    <w:uiPriority w:val="99"/>
    <w:pPr>
      <w:widowControl/>
      <w:tabs>
        <w:tab w:val="left" w:pos="420"/>
      </w:tabs>
      <w:autoSpaceDE w:val="0"/>
      <w:autoSpaceDN w:val="0"/>
      <w:spacing w:after="72"/>
      <w:ind w:left="420" w:hanging="420"/>
    </w:pPr>
    <w:rPr>
      <w:kern w:val="0"/>
      <w:sz w:val="24"/>
      <w:szCs w:val="20"/>
    </w:rPr>
  </w:style>
  <w:style w:type="paragraph" w:customStyle="1" w:styleId="343">
    <w:name w:val="Char1 Char Char Char Char Char Char Char Char Char Char Char Char Char Char Char"/>
    <w:basedOn w:val="1"/>
    <w:autoRedefine/>
    <w:qFormat/>
    <w:uiPriority w:val="99"/>
    <w:pPr>
      <w:adjustRightInd w:val="0"/>
      <w:spacing w:line="360" w:lineRule="auto"/>
    </w:pPr>
    <w:rPr>
      <w:kern w:val="0"/>
      <w:sz w:val="24"/>
      <w:szCs w:val="20"/>
    </w:rPr>
  </w:style>
  <w:style w:type="paragraph" w:customStyle="1" w:styleId="344">
    <w:name w:val="Char Char Char Char"/>
    <w:basedOn w:val="1"/>
    <w:next w:val="1"/>
    <w:autoRedefine/>
    <w:qFormat/>
    <w:uiPriority w:val="99"/>
    <w:pPr>
      <w:widowControl/>
      <w:tabs>
        <w:tab w:val="left" w:pos="360"/>
      </w:tabs>
      <w:ind w:left="360" w:hanging="360"/>
      <w:jc w:val="left"/>
    </w:pPr>
    <w:rPr>
      <w:rFonts w:eastAsia="MS Mincho"/>
      <w:kern w:val="0"/>
      <w:sz w:val="24"/>
      <w:lang w:eastAsia="ja-JP"/>
    </w:rPr>
  </w:style>
  <w:style w:type="paragraph" w:customStyle="1" w:styleId="345">
    <w:name w:val="xl51"/>
    <w:basedOn w:val="1"/>
    <w:autoRedefine/>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346">
    <w:name w:val="默认段落字体 Para Char Char Char1 Char Char Char Char Char Char Char"/>
    <w:basedOn w:val="1"/>
    <w:autoRedefine/>
    <w:qFormat/>
    <w:uiPriority w:val="99"/>
    <w:pPr>
      <w:adjustRightInd w:val="0"/>
      <w:spacing w:line="360" w:lineRule="auto"/>
    </w:pPr>
    <w:rPr>
      <w:kern w:val="0"/>
      <w:sz w:val="24"/>
      <w:szCs w:val="20"/>
    </w:rPr>
  </w:style>
  <w:style w:type="paragraph" w:customStyle="1" w:styleId="347">
    <w:name w:val="样式1"/>
    <w:basedOn w:val="1"/>
    <w:autoRedefine/>
    <w:qFormat/>
    <w:uiPriority w:val="99"/>
    <w:pPr>
      <w:tabs>
        <w:tab w:val="left" w:pos="-210"/>
        <w:tab w:val="left" w:pos="1680"/>
      </w:tabs>
      <w:autoSpaceDE w:val="0"/>
      <w:autoSpaceDN w:val="0"/>
      <w:adjustRightInd w:val="0"/>
      <w:spacing w:beforeLines="50" w:line="360" w:lineRule="atLeast"/>
      <w:ind w:left="1680" w:right="-180" w:hanging="420" w:firstLineChars="200"/>
    </w:pPr>
    <w:rPr>
      <w:rFonts w:ascii="楷体_GB2312" w:hAnsi="Arial" w:eastAsia="楷体_GB2312"/>
      <w:spacing w:val="20"/>
      <w:sz w:val="24"/>
      <w:szCs w:val="20"/>
    </w:rPr>
  </w:style>
  <w:style w:type="paragraph" w:customStyle="1" w:styleId="348">
    <w:name w:val="xl52"/>
    <w:basedOn w:val="1"/>
    <w:autoRedefine/>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349">
    <w:name w:val="xl5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350">
    <w:name w:val="默认段落字体 Para Char"/>
    <w:basedOn w:val="1"/>
    <w:autoRedefine/>
    <w:qFormat/>
    <w:uiPriority w:val="99"/>
    <w:rPr>
      <w:rFonts w:ascii="Tahoma" w:hAnsi="Tahoma"/>
      <w:sz w:val="24"/>
      <w:szCs w:val="20"/>
    </w:rPr>
  </w:style>
  <w:style w:type="paragraph" w:customStyle="1" w:styleId="351">
    <w:name w:val="Comment"/>
    <w:basedOn w:val="1"/>
    <w:autoRedefine/>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352">
    <w:name w:val="MM Topic 2"/>
    <w:basedOn w:val="4"/>
    <w:autoRedefine/>
    <w:qFormat/>
    <w:uiPriority w:val="0"/>
    <w:pPr>
      <w:keepLines w:val="0"/>
      <w:widowControl/>
      <w:tabs>
        <w:tab w:val="left" w:pos="992"/>
        <w:tab w:val="left" w:pos="1440"/>
      </w:tabs>
      <w:spacing w:line="240" w:lineRule="auto"/>
      <w:ind w:hanging="1440"/>
    </w:pPr>
    <w:rPr>
      <w:bCs w:val="0"/>
      <w:kern w:val="0"/>
      <w:szCs w:val="20"/>
    </w:rPr>
  </w:style>
  <w:style w:type="paragraph" w:customStyle="1" w:styleId="353">
    <w:name w:val="表格首行"/>
    <w:basedOn w:val="1"/>
    <w:autoRedefine/>
    <w:qFormat/>
    <w:uiPriority w:val="99"/>
    <w:pPr>
      <w:jc w:val="center"/>
    </w:pPr>
    <w:rPr>
      <w:rFonts w:ascii="宋体" w:hAnsi="宋体"/>
    </w:rPr>
  </w:style>
  <w:style w:type="paragraph" w:customStyle="1" w:styleId="354">
    <w:name w:val="font11"/>
    <w:basedOn w:val="1"/>
    <w:autoRedefine/>
    <w:qFormat/>
    <w:uiPriority w:val="99"/>
    <w:pPr>
      <w:widowControl/>
      <w:spacing w:before="100" w:beforeAutospacing="1" w:after="100" w:afterAutospacing="1"/>
      <w:jc w:val="left"/>
    </w:pPr>
    <w:rPr>
      <w:rFonts w:ascii="宋体" w:hAnsi="宋体" w:cs="Arial Unicode MS"/>
      <w:color w:val="FF0000"/>
      <w:kern w:val="0"/>
      <w:sz w:val="24"/>
    </w:rPr>
  </w:style>
  <w:style w:type="paragraph" w:customStyle="1" w:styleId="355">
    <w:name w:val="黑正体次次级"/>
    <w:basedOn w:val="306"/>
    <w:autoRedefine/>
    <w:qFormat/>
    <w:uiPriority w:val="99"/>
    <w:pPr>
      <w:tabs>
        <w:tab w:val="left" w:pos="425"/>
      </w:tabs>
      <w:ind w:left="1417" w:hanging="425"/>
    </w:pPr>
    <w:rPr>
      <w:i/>
      <w:sz w:val="20"/>
    </w:rPr>
  </w:style>
  <w:style w:type="paragraph" w:customStyle="1" w:styleId="356">
    <w:name w:val="Char11"/>
    <w:basedOn w:val="1"/>
    <w:autoRedefine/>
    <w:qFormat/>
    <w:uiPriority w:val="0"/>
    <w:rPr>
      <w:rFonts w:ascii="宋体" w:hAnsi="宋体"/>
      <w:sz w:val="24"/>
      <w:szCs w:val="20"/>
    </w:rPr>
  </w:style>
  <w:style w:type="paragraph" w:customStyle="1" w:styleId="357">
    <w:name w:val="xl29"/>
    <w:basedOn w:val="1"/>
    <w:autoRedefine/>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358">
    <w:name w:val="注释"/>
    <w:basedOn w:val="1"/>
    <w:autoRedefine/>
    <w:qFormat/>
    <w:uiPriority w:val="99"/>
    <w:pPr>
      <w:shd w:val="clear" w:color="auto" w:fill="E0E0E0"/>
      <w:spacing w:beforeLines="50" w:afterLines="50"/>
    </w:pPr>
    <w:rPr>
      <w:rFonts w:ascii="Arial" w:hAnsi="Arial" w:eastAsia="仿宋_GB2312"/>
    </w:rPr>
  </w:style>
  <w:style w:type="paragraph" w:customStyle="1" w:styleId="359">
    <w:name w:val="MM Topic 1"/>
    <w:basedOn w:val="3"/>
    <w:autoRedefine/>
    <w:qFormat/>
    <w:uiPriority w:val="0"/>
    <w:pPr>
      <w:keepLines w:val="0"/>
      <w:widowControl/>
      <w:tabs>
        <w:tab w:val="left" w:pos="425"/>
        <w:tab w:val="left" w:pos="1440"/>
      </w:tabs>
      <w:spacing w:before="240" w:after="240" w:line="240" w:lineRule="auto"/>
      <w:ind w:left="1440" w:hanging="1440"/>
      <w:jc w:val="both"/>
    </w:pPr>
    <w:rPr>
      <w:rFonts w:ascii="Arial" w:hAnsi="Arial"/>
      <w:b/>
      <w:bCs w:val="0"/>
      <w:kern w:val="0"/>
      <w:sz w:val="32"/>
      <w:szCs w:val="20"/>
    </w:rPr>
  </w:style>
  <w:style w:type="character" w:customStyle="1" w:styleId="360">
    <w:name w:val="apple-converted-space"/>
    <w:autoRedefine/>
    <w:qFormat/>
    <w:uiPriority w:val="0"/>
  </w:style>
  <w:style w:type="paragraph" w:customStyle="1" w:styleId="361">
    <w:name w:val="Normal Paragraph"/>
    <w:basedOn w:val="1"/>
    <w:link w:val="373"/>
    <w:autoRedefine/>
    <w:qFormat/>
    <w:uiPriority w:val="0"/>
    <w:pPr>
      <w:widowControl/>
      <w:spacing w:before="120" w:line="360" w:lineRule="auto"/>
      <w:ind w:firstLine="425"/>
    </w:pPr>
    <w:rPr>
      <w:kern w:val="0"/>
      <w:sz w:val="24"/>
    </w:rPr>
  </w:style>
  <w:style w:type="paragraph" w:customStyle="1" w:styleId="362">
    <w:name w:val="正文小四（首行缩进两字）"/>
    <w:autoRedefine/>
    <w:qFormat/>
    <w:uiPriority w:val="0"/>
    <w:pPr>
      <w:spacing w:line="360" w:lineRule="auto"/>
      <w:ind w:firstLine="200" w:firstLineChars="200"/>
    </w:pPr>
    <w:rPr>
      <w:rFonts w:ascii="Times New Roman" w:hAnsi="Times New Roman" w:eastAsia="宋体" w:cs="Times New Roman"/>
      <w:sz w:val="24"/>
      <w:lang w:val="en-US" w:eastAsia="zh-CN" w:bidi="ar-SA"/>
    </w:rPr>
  </w:style>
  <w:style w:type="paragraph" w:customStyle="1" w:styleId="363">
    <w:name w:val="NeusoftPMS正文"/>
    <w:basedOn w:val="1"/>
    <w:link w:val="364"/>
    <w:autoRedefine/>
    <w:qFormat/>
    <w:uiPriority w:val="0"/>
    <w:pPr>
      <w:widowControl/>
      <w:ind w:firstLine="200" w:firstLineChars="200"/>
      <w:jc w:val="left"/>
    </w:pPr>
    <w:rPr>
      <w:szCs w:val="20"/>
    </w:rPr>
  </w:style>
  <w:style w:type="character" w:customStyle="1" w:styleId="364">
    <w:name w:val="NeusoftPMS正文 Char"/>
    <w:link w:val="363"/>
    <w:autoRedefine/>
    <w:qFormat/>
    <w:uiPriority w:val="0"/>
    <w:rPr>
      <w:rFonts w:ascii="Times New Roman" w:hAnsi="Times New Roman" w:eastAsia="宋体" w:cs="Times New Roman"/>
      <w:szCs w:val="20"/>
    </w:rPr>
  </w:style>
  <w:style w:type="character" w:customStyle="1" w:styleId="365">
    <w:name w:val="明显参考1"/>
    <w:autoRedefine/>
    <w:qFormat/>
    <w:uiPriority w:val="32"/>
    <w:rPr>
      <w:b/>
      <w:bCs/>
      <w:smallCaps/>
      <w:color w:val="4F81BD"/>
      <w:spacing w:val="5"/>
    </w:rPr>
  </w:style>
  <w:style w:type="paragraph" w:customStyle="1" w:styleId="366">
    <w:name w:val="QB正文"/>
    <w:basedOn w:val="328"/>
    <w:autoRedefine/>
    <w:qFormat/>
    <w:uiPriority w:val="0"/>
    <w:pPr>
      <w:widowControl/>
      <w:ind w:firstLine="200" w:firstLineChars="200"/>
    </w:pPr>
  </w:style>
  <w:style w:type="paragraph" w:customStyle="1" w:styleId="367">
    <w:name w:val="TOC 标题3"/>
    <w:basedOn w:val="3"/>
    <w:next w:val="1"/>
    <w:autoRedefine/>
    <w:qFormat/>
    <w:uiPriority w:val="39"/>
    <w:pPr>
      <w:widowControl/>
      <w:spacing w:before="240" w:line="259" w:lineRule="auto"/>
      <w:jc w:val="left"/>
      <w:outlineLvl w:val="9"/>
    </w:pPr>
    <w:rPr>
      <w:rFonts w:ascii="Cambria" w:hAnsi="Cambria" w:eastAsia="宋体"/>
      <w:bCs w:val="0"/>
      <w:color w:val="365F91"/>
      <w:kern w:val="0"/>
      <w:sz w:val="32"/>
      <w:szCs w:val="32"/>
    </w:rPr>
  </w:style>
  <w:style w:type="paragraph" w:customStyle="1" w:styleId="368">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69">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370">
    <w:name w:val="样式 仿宋_GB2312 小四"/>
    <w:autoRedefine/>
    <w:qFormat/>
    <w:uiPriority w:val="0"/>
    <w:rPr>
      <w:rFonts w:ascii="仿宋_GB2312" w:hAnsi="仿宋_GB2312" w:eastAsia="仿宋_GB2312"/>
      <w:sz w:val="24"/>
    </w:rPr>
  </w:style>
  <w:style w:type="paragraph" w:customStyle="1" w:styleId="371">
    <w:name w:val="kevin标题1"/>
    <w:basedOn w:val="1"/>
    <w:autoRedefine/>
    <w:qFormat/>
    <w:uiPriority w:val="0"/>
    <w:pPr>
      <w:spacing w:afterLines="50"/>
      <w:ind w:left="1" w:firstLine="538" w:firstLineChars="192"/>
    </w:pPr>
    <w:rPr>
      <w:rFonts w:eastAsia="黑体"/>
      <w:sz w:val="24"/>
      <w:szCs w:val="20"/>
    </w:rPr>
  </w:style>
  <w:style w:type="character" w:customStyle="1" w:styleId="372">
    <w:name w:val="msonormal1"/>
    <w:autoRedefine/>
    <w:qFormat/>
    <w:uiPriority w:val="0"/>
  </w:style>
  <w:style w:type="character" w:customStyle="1" w:styleId="373">
    <w:name w:val="Normal Paragraph Char1"/>
    <w:link w:val="361"/>
    <w:autoRedefine/>
    <w:qFormat/>
    <w:locked/>
    <w:uiPriority w:val="0"/>
    <w:rPr>
      <w:rFonts w:ascii="Times New Roman" w:hAnsi="Times New Roman" w:eastAsia="宋体" w:cs="Times New Roman"/>
      <w:kern w:val="0"/>
      <w:sz w:val="24"/>
      <w:szCs w:val="24"/>
    </w:rPr>
  </w:style>
  <w:style w:type="character" w:customStyle="1" w:styleId="374">
    <w:name w:val="未处理的提及1"/>
    <w:basedOn w:val="55"/>
    <w:autoRedefine/>
    <w:semiHidden/>
    <w:unhideWhenUsed/>
    <w:qFormat/>
    <w:uiPriority w:val="99"/>
    <w:rPr>
      <w:color w:val="605E5C"/>
      <w:shd w:val="clear" w:color="auto" w:fill="E1DFDD"/>
    </w:rPr>
  </w:style>
  <w:style w:type="character" w:customStyle="1" w:styleId="375">
    <w:name w:val="3级标题 Char"/>
    <w:link w:val="376"/>
    <w:autoRedefine/>
    <w:qFormat/>
    <w:uiPriority w:val="0"/>
    <w:rPr>
      <w:b/>
    </w:rPr>
  </w:style>
  <w:style w:type="paragraph" w:customStyle="1" w:styleId="376">
    <w:name w:val="3级标题"/>
    <w:basedOn w:val="1"/>
    <w:link w:val="375"/>
    <w:autoRedefine/>
    <w:qFormat/>
    <w:uiPriority w:val="0"/>
    <w:pPr>
      <w:spacing w:line="360" w:lineRule="auto"/>
      <w:outlineLvl w:val="1"/>
    </w:pPr>
    <w:rPr>
      <w:rFonts w:asciiTheme="minorHAnsi" w:hAnsiTheme="minorHAnsi" w:eastAsiaTheme="minorEastAsia" w:cstheme="minorBidi"/>
      <w:b/>
      <w:szCs w:val="22"/>
    </w:rPr>
  </w:style>
  <w:style w:type="paragraph" w:customStyle="1" w:styleId="377">
    <w:name w:val="4级标题"/>
    <w:basedOn w:val="1"/>
    <w:autoRedefine/>
    <w:qFormat/>
    <w:uiPriority w:val="0"/>
    <w:pPr>
      <w:numPr>
        <w:ilvl w:val="1"/>
        <w:numId w:val="2"/>
      </w:numPr>
      <w:spacing w:line="360" w:lineRule="auto"/>
      <w:outlineLvl w:val="2"/>
    </w:pPr>
  </w:style>
  <w:style w:type="paragraph" w:customStyle="1" w:styleId="378">
    <w:name w:val="whh正文"/>
    <w:basedOn w:val="1"/>
    <w:autoRedefine/>
    <w:qFormat/>
    <w:uiPriority w:val="0"/>
    <w:pPr>
      <w:adjustRightInd w:val="0"/>
      <w:snapToGrid w:val="0"/>
      <w:spacing w:line="360" w:lineRule="auto"/>
      <w:ind w:firstLine="420"/>
    </w:pPr>
    <w:rPr>
      <w:rFonts w:ascii="宋体" w:hAnsi="宋体"/>
      <w:szCs w:val="21"/>
    </w:rPr>
  </w:style>
  <w:style w:type="paragraph" w:customStyle="1" w:styleId="379">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380">
    <w:name w:val="项"/>
    <w:basedOn w:val="1"/>
    <w:autoRedefine/>
    <w:qFormat/>
    <w:uiPriority w:val="0"/>
    <w:pPr>
      <w:numPr>
        <w:ilvl w:val="0"/>
        <w:numId w:val="3"/>
      </w:numPr>
      <w:spacing w:line="360" w:lineRule="auto"/>
    </w:pPr>
    <w:rPr>
      <w:sz w:val="24"/>
    </w:rPr>
  </w:style>
  <w:style w:type="paragraph" w:customStyle="1" w:styleId="381">
    <w:name w:val="修订5"/>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82">
    <w:name w:val="批注文字 字符1"/>
    <w:autoRedefine/>
    <w:qFormat/>
    <w:uiPriority w:val="99"/>
    <w:rPr>
      <w:rFonts w:eastAsia="宋体"/>
      <w:kern w:val="2"/>
      <w:sz w:val="21"/>
      <w:lang w:val="en-US" w:eastAsia="zh-CN" w:bidi="ar-SA"/>
    </w:rPr>
  </w:style>
  <w:style w:type="paragraph" w:customStyle="1" w:styleId="383">
    <w:name w:val="无格式正文"/>
    <w:basedOn w:val="1"/>
    <w:autoRedefine/>
    <w:qFormat/>
    <w:uiPriority w:val="0"/>
    <w:rPr>
      <w:szCs w:val="20"/>
    </w:rPr>
  </w:style>
  <w:style w:type="character" w:customStyle="1" w:styleId="384">
    <w:name w:val="fontstyle01"/>
    <w:autoRedefine/>
    <w:qFormat/>
    <w:uiPriority w:val="0"/>
    <w:rPr>
      <w:rFonts w:ascii="宋体 + FPEF" w:hAnsi="宋体 + FPEF" w:eastAsia="宋体 + FPEF" w:cs="宋体 + FPEF"/>
      <w:color w:val="000000"/>
      <w:sz w:val="22"/>
      <w:szCs w:val="22"/>
    </w:rPr>
  </w:style>
  <w:style w:type="paragraph" w:customStyle="1" w:styleId="385">
    <w:name w:val="QB标题3"/>
    <w:basedOn w:val="386"/>
    <w:autoRedefine/>
    <w:qFormat/>
    <w:uiPriority w:val="0"/>
    <w:pPr>
      <w:tabs>
        <w:tab w:val="left" w:pos="567"/>
        <w:tab w:val="left" w:pos="709"/>
      </w:tabs>
      <w:ind w:left="709" w:hanging="709"/>
      <w:outlineLvl w:val="2"/>
    </w:pPr>
  </w:style>
  <w:style w:type="paragraph" w:customStyle="1" w:styleId="386">
    <w:name w:val="QB标题2"/>
    <w:basedOn w:val="4"/>
    <w:autoRedefine/>
    <w:qFormat/>
    <w:uiPriority w:val="0"/>
    <w:pPr>
      <w:tabs>
        <w:tab w:val="left" w:pos="567"/>
      </w:tabs>
      <w:ind w:left="567" w:hanging="567"/>
    </w:pPr>
    <w:rPr>
      <w:rFonts w:ascii="黑体" w:hAnsi="黑体"/>
      <w:sz w:val="21"/>
      <w:szCs w:val="21"/>
    </w:rPr>
  </w:style>
  <w:style w:type="paragraph" w:customStyle="1" w:styleId="387">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88">
    <w:name w:val="修订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89">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QB图标题"/>
    <w:basedOn w:val="1"/>
    <w:autoRedefine/>
    <w:qFormat/>
    <w:uiPriority w:val="0"/>
    <w:pPr>
      <w:numPr>
        <w:ilvl w:val="6"/>
        <w:numId w:val="4"/>
      </w:numPr>
      <w:spacing w:after="120"/>
      <w:ind w:firstLine="0"/>
      <w:jc w:val="center"/>
    </w:pPr>
    <w:rPr>
      <w:rFonts w:hAnsi="宋体"/>
      <w:bCs/>
    </w:rPr>
  </w:style>
  <w:style w:type="paragraph" w:customStyle="1" w:styleId="391">
    <w:name w:val="p0"/>
    <w:basedOn w:val="1"/>
    <w:autoRedefine/>
    <w:qFormat/>
    <w:uiPriority w:val="0"/>
    <w:pPr>
      <w:widowControl/>
      <w:adjustRightInd w:val="0"/>
      <w:spacing w:line="360" w:lineRule="atLeast"/>
      <w:textAlignment w:val="baseline"/>
    </w:pPr>
    <w:rPr>
      <w:rFonts w:eastAsia="Times New Roman"/>
      <w:kern w:val="0"/>
      <w:szCs w:val="20"/>
    </w:rPr>
  </w:style>
  <w:style w:type="paragraph" w:customStyle="1" w:styleId="392">
    <w:name w:val="列表段落1"/>
    <w:basedOn w:val="1"/>
    <w:qFormat/>
    <w:uiPriority w:val="0"/>
    <w:pPr>
      <w:widowControl/>
      <w:spacing w:before="240" w:after="100" w:afterAutospacing="1" w:line="240" w:lineRule="atLeast"/>
      <w:ind w:firstLine="420" w:firstLineChars="200"/>
      <w:jc w:val="left"/>
    </w:pPr>
    <w:rPr>
      <w:rFonts w:ascii="Wingdings" w:hAnsi="Wingdings" w:cs="宋体"/>
      <w:kern w:val="0"/>
      <w:szCs w:val="21"/>
    </w:rPr>
  </w:style>
  <w:style w:type="character" w:customStyle="1" w:styleId="393">
    <w:name w:val="font31"/>
    <w:qFormat/>
    <w:uiPriority w:val="0"/>
    <w:rPr>
      <w:rFonts w:hint="eastAsia" w:ascii="宋体" w:hAnsi="宋体" w:eastAsia="宋体" w:cs="宋体"/>
      <w:color w:val="FF0000"/>
      <w:kern w:val="2"/>
      <w:sz w:val="22"/>
      <w:szCs w:val="22"/>
      <w:lang w:val="en-US" w:eastAsia="zh-CN" w:bidi="ar-SA"/>
    </w:rPr>
  </w:style>
  <w:style w:type="paragraph" w:customStyle="1" w:styleId="394">
    <w:name w:val="修订9"/>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7F2DB-E19F-4FE3-9DD1-6721A39F95A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55</Pages>
  <Words>1489</Words>
  <Characters>1676</Characters>
  <Lines>200</Lines>
  <Paragraphs>56</Paragraphs>
  <TotalTime>163</TotalTime>
  <ScaleCrop>false</ScaleCrop>
  <LinksUpToDate>false</LinksUpToDate>
  <CharactersWithSpaces>1678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2025-09-22T07:45:00Z</dcterms:created>
  <dc:creator>张婷</dc:creator>
  <cp:lastModifiedBy>氨基酸</cp:lastModifiedBy>
  <dcterms:modified xsi:type="dcterms:W3CDTF">2025-10-14T08:40:46Z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eyJoZGlkIjoiZDk1MDk3MzczOGE3Mzc5M2VhZDhiZWRiMWNlYzRkNTYiLCJ1c2VySWQiOiI2NjM1OTI5MDQifQ==</vt:lpwstr>
  </property>
  <property fmtid="{D5CDD505-2E9C-101B-9397-08002B2CF9AE}" pid="3" name="KSOProductBuildVer">
    <vt:lpwstr>2052-12.1.0.22529</vt:lpwstr>
  </property>
  <property fmtid="{D5CDD505-2E9C-101B-9397-08002B2CF9AE}" pid="4" name="ICV">
    <vt:lpwstr>AF1BA0E889264D94BAE3B5F67677F575_13</vt:lpwstr>
  </property>
</Properties>
</file>